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pPr>
      <w:r>
        <w:rPr>
          <w:b/>
          <w:color w:val="595959"/>
          <w:sz w:val="22"/>
        </w:rPr>
        <w:t>VITAL PAKISTAN TRUST</w:t>
      </w:r>
    </w:p>
    <w:p>
      <w:pPr>
        <w:spacing w:after="40"/>
      </w:pPr>
      <w:r>
        <w:rPr>
          <w:b/>
          <w:color w:val="1F3B57"/>
          <w:sz w:val="60"/>
        </w:rPr>
        <w:t>Analytics Question Bank</w:t>
      </w:r>
    </w:p>
    <w:p>
      <w:pPr>
        <w:spacing w:after="40"/>
      </w:pPr>
      <w:r>
        <w:rPr>
          <w:color w:val="1F3B57"/>
          <w:sz w:val="36"/>
        </w:rPr>
        <w:t>&amp; Data Commentary Guide</w:t>
      </w:r>
    </w:p>
    <w:p>
      <w:pPr>
        <w:spacing w:after="240"/>
        <w:pBdr>
          <w:bottom w:val="single" w:sz="8" w:space="3" w:color="1F3B57"/>
        </w:pBdr>
      </w:pPr>
      <w:r>
        <w:rPr>
          <w:color w:val="595959"/>
          <w:sz w:val="24"/>
        </w:rPr>
        <w:t>Consumption Analysis in View of Current Projects and Products</w:t>
      </w:r>
    </w:p>
    <w:tbl>
      <w:tblPr>
        <w:tblStyle w:val="TableGrid"/>
        <w:tblW w:type="auto" w:w="0"/>
        <w:jc w:val="center"/>
        <w:tblLayout w:type="fixed"/>
        <w:tblLook w:firstColumn="1" w:firstRow="1" w:lastColumn="0" w:lastRow="0" w:noHBand="0" w:noVBand="1" w:val="04A0"/>
      </w:tblPr>
      <w:tblGrid>
        <w:gridCol w:w="5043"/>
        <w:gridCol w:w="5043"/>
      </w:tblGrid>
      <w:tr>
        <w:trPr>
          <w:tblHeader/>
        </w:trPr>
        <w:tc>
          <w:tcPr>
            <w:tcW w:type="dxa" w:w="2381"/>
            <w:shd w:val="clear" w:fill="1F3B57"/>
          </w:tcPr>
          <w:p>
            <w:pPr>
              <w:spacing w:after="20" w:before="20" w:line="240" w:lineRule="auto"/>
            </w:pPr>
            <w:r/>
            <w:r>
              <w:rPr>
                <w:rFonts w:ascii="Calibri" w:hAnsi="Calibri"/>
                <w:b/>
                <w:color w:val="FFFFFF"/>
                <w:sz w:val="18"/>
              </w:rPr>
              <w:t>Item</w:t>
            </w:r>
          </w:p>
        </w:tc>
        <w:tc>
          <w:tcPr>
            <w:tcW w:type="dxa" w:w="7370"/>
            <w:shd w:val="clear" w:fill="1F3B57"/>
          </w:tcPr>
          <w:p>
            <w:pPr>
              <w:spacing w:after="20" w:before="20" w:line="240" w:lineRule="auto"/>
            </w:pPr>
            <w:r/>
            <w:r>
              <w:rPr>
                <w:rFonts w:ascii="Calibri" w:hAnsi="Calibri"/>
                <w:b/>
                <w:color w:val="FFFFFF"/>
                <w:sz w:val="18"/>
              </w:rPr>
              <w:t>Detail</w:t>
            </w:r>
          </w:p>
        </w:tc>
      </w:tr>
      <w:tr>
        <w:tc>
          <w:tcPr>
            <w:tcW w:type="dxa" w:w="2381"/>
          </w:tcPr>
          <w:p>
            <w:pPr>
              <w:spacing w:after="20" w:before="20" w:line="240" w:lineRule="auto"/>
            </w:pPr>
            <w:r/>
            <w:r>
              <w:rPr>
                <w:rFonts w:ascii="Calibri" w:hAnsi="Calibri"/>
                <w:b w:val="0"/>
                <w:sz w:val="18"/>
              </w:rPr>
              <w:t>Document reference</w:t>
            </w:r>
          </w:p>
        </w:tc>
        <w:tc>
          <w:tcPr>
            <w:tcW w:type="dxa" w:w="7370"/>
          </w:tcPr>
          <w:p>
            <w:pPr>
              <w:spacing w:after="20" w:before="20" w:line="240" w:lineRule="auto"/>
            </w:pPr>
            <w:r/>
            <w:r>
              <w:rPr>
                <w:rFonts w:ascii="Calibri" w:hAnsi="Calibri"/>
                <w:b w:val="0"/>
                <w:sz w:val="18"/>
              </w:rPr>
              <w:t>VPT-QB-PRC-002</w:t>
            </w:r>
          </w:p>
        </w:tc>
      </w:tr>
      <w:tr>
        <w:tc>
          <w:tcPr>
            <w:tcW w:type="dxa" w:w="2381"/>
            <w:shd w:val="clear" w:fill="F7F9FB"/>
          </w:tcPr>
          <w:p>
            <w:pPr>
              <w:spacing w:after="20" w:before="20" w:line="240" w:lineRule="auto"/>
            </w:pPr>
            <w:r/>
            <w:r>
              <w:rPr>
                <w:rFonts w:ascii="Calibri" w:hAnsi="Calibri"/>
                <w:b w:val="0"/>
                <w:sz w:val="18"/>
              </w:rPr>
              <w:t>Version / date</w:t>
            </w:r>
          </w:p>
        </w:tc>
        <w:tc>
          <w:tcPr>
            <w:tcW w:type="dxa" w:w="7370"/>
            <w:shd w:val="clear" w:fill="F7F9FB"/>
          </w:tcPr>
          <w:p>
            <w:pPr>
              <w:spacing w:after="20" w:before="20" w:line="240" w:lineRule="auto"/>
            </w:pPr>
            <w:r/>
            <w:r>
              <w:rPr>
                <w:rFonts w:ascii="Calibri" w:hAnsi="Calibri"/>
                <w:b w:val="0"/>
                <w:sz w:val="18"/>
              </w:rPr>
              <w:t>1.0 – 29 October 2026</w:t>
            </w:r>
          </w:p>
        </w:tc>
      </w:tr>
      <w:tr>
        <w:tc>
          <w:tcPr>
            <w:tcW w:type="dxa" w:w="2381"/>
          </w:tcPr>
          <w:p>
            <w:pPr>
              <w:spacing w:after="20" w:before="20" w:line="240" w:lineRule="auto"/>
            </w:pPr>
            <w:r/>
            <w:r>
              <w:rPr>
                <w:rFonts w:ascii="Calibri" w:hAnsi="Calibri"/>
                <w:b w:val="0"/>
                <w:sz w:val="18"/>
              </w:rPr>
              <w:t>Companion documents</w:t>
            </w:r>
          </w:p>
        </w:tc>
        <w:tc>
          <w:tcPr>
            <w:tcW w:type="dxa" w:w="7370"/>
          </w:tcPr>
          <w:p>
            <w:pPr>
              <w:spacing w:after="20" w:before="20" w:line="240" w:lineRule="auto"/>
            </w:pPr>
            <w:r/>
            <w:r>
              <w:rPr>
                <w:rFonts w:ascii="Calibri" w:hAnsi="Calibri"/>
                <w:b w:val="0"/>
                <w:sz w:val="18"/>
              </w:rPr>
              <w:t>Problem Statement v1.0; BRD VPT-BRD-PRC-001; Analytics_Question_Bank.xlsx; VPT_Consumption_Analysis.xlsx</w:t>
            </w:r>
          </w:p>
        </w:tc>
      </w:tr>
      <w:tr>
        <w:tc>
          <w:tcPr>
            <w:tcW w:type="dxa" w:w="2381"/>
            <w:shd w:val="clear" w:fill="F7F9FB"/>
          </w:tcPr>
          <w:p>
            <w:pPr>
              <w:spacing w:after="20" w:before="20" w:line="240" w:lineRule="auto"/>
            </w:pPr>
            <w:r/>
            <w:r>
              <w:rPr>
                <w:rFonts w:ascii="Calibri" w:hAnsi="Calibri"/>
                <w:b w:val="0"/>
                <w:sz w:val="18"/>
              </w:rPr>
              <w:t>Business owner</w:t>
            </w:r>
          </w:p>
        </w:tc>
        <w:tc>
          <w:tcPr>
            <w:tcW w:type="dxa" w:w="7370"/>
            <w:shd w:val="clear" w:fill="F7F9FB"/>
          </w:tcPr>
          <w:p>
            <w:pPr>
              <w:spacing w:after="20" w:before="20" w:line="240" w:lineRule="auto"/>
            </w:pPr>
            <w:r/>
            <w:r>
              <w:rPr>
                <w:rFonts w:ascii="Calibri" w:hAnsi="Calibri"/>
                <w:b w:val="0"/>
                <w:sz w:val="18"/>
              </w:rPr>
              <w:t>Head of Procurement &amp; Supply Chain</w:t>
            </w:r>
          </w:p>
        </w:tc>
      </w:tr>
      <w:tr>
        <w:tc>
          <w:tcPr>
            <w:tcW w:type="dxa" w:w="2381"/>
          </w:tcPr>
          <w:p>
            <w:pPr>
              <w:spacing w:after="20" w:before="20" w:line="240" w:lineRule="auto"/>
            </w:pPr>
            <w:r/>
            <w:r>
              <w:rPr>
                <w:rFonts w:ascii="Calibri" w:hAnsi="Calibri"/>
                <w:b w:val="0"/>
                <w:sz w:val="18"/>
              </w:rPr>
              <w:t>Data as at</w:t>
            </w:r>
          </w:p>
        </w:tc>
        <w:tc>
          <w:tcPr>
            <w:tcW w:type="dxa" w:w="7370"/>
          </w:tcPr>
          <w:p>
            <w:pPr>
              <w:spacing w:after="20" w:before="20" w:line="240" w:lineRule="auto"/>
            </w:pPr>
            <w:r/>
            <w:r>
              <w:rPr>
                <w:rFonts w:ascii="Calibri" w:hAnsi="Calibri"/>
                <w:b w:val="0"/>
                <w:sz w:val="18"/>
              </w:rPr>
              <w:t>2026-09-30 (reporting window 2024-07-06 to 2026-09-30)</w:t>
            </w:r>
          </w:p>
        </w:tc>
      </w:tr>
      <w:tr>
        <w:tc>
          <w:tcPr>
            <w:tcW w:type="dxa" w:w="2381"/>
            <w:shd w:val="clear" w:fill="F7F9FB"/>
          </w:tcPr>
          <w:p>
            <w:pPr>
              <w:spacing w:after="20" w:before="20" w:line="240" w:lineRule="auto"/>
            </w:pPr>
            <w:r/>
            <w:r>
              <w:rPr>
                <w:rFonts w:ascii="Calibri" w:hAnsi="Calibri"/>
                <w:b w:val="0"/>
                <w:sz w:val="18"/>
              </w:rPr>
              <w:t>Purpose</w:t>
            </w:r>
          </w:p>
        </w:tc>
        <w:tc>
          <w:tcPr>
            <w:tcW w:type="dxa" w:w="7370"/>
            <w:shd w:val="clear" w:fill="F7F9FB"/>
          </w:tcPr>
          <w:p>
            <w:pPr>
              <w:spacing w:after="20" w:before="20" w:line="240" w:lineRule="auto"/>
            </w:pPr>
            <w:r/>
            <w:r>
              <w:rPr>
                <w:rFonts w:ascii="Calibri" w:hAnsi="Calibri"/>
                <w:b w:val="0"/>
                <w:sz w:val="18"/>
              </w:rPr>
              <w:t>A standing set of analytical questions with a live answer engine, and a rule-based method for writing data commentary at every refresh.</w:t>
            </w:r>
          </w:p>
        </w:tc>
      </w:tr>
      <w:tr>
        <w:tc>
          <w:tcPr>
            <w:tcW w:type="dxa" w:w="2381"/>
          </w:tcPr>
          <w:p>
            <w:pPr>
              <w:spacing w:after="20" w:before="20" w:line="240" w:lineRule="auto"/>
            </w:pPr>
            <w:r/>
            <w:r>
              <w:rPr>
                <w:rFonts w:ascii="Calibri" w:hAnsi="Calibri"/>
                <w:b w:val="0"/>
                <w:sz w:val="18"/>
              </w:rPr>
              <w:t>Distribution</w:t>
            </w:r>
          </w:p>
        </w:tc>
        <w:tc>
          <w:tcPr>
            <w:tcW w:type="dxa" w:w="7370"/>
          </w:tcPr>
          <w:p>
            <w:pPr>
              <w:spacing w:after="20" w:before="20" w:line="240" w:lineRule="auto"/>
            </w:pPr>
            <w:r/>
            <w:r>
              <w:rPr>
                <w:rFonts w:ascii="Calibri" w:hAnsi="Calibri"/>
                <w:b w:val="0"/>
                <w:sz w:val="18"/>
              </w:rPr>
              <w:t>Internal – Confidential</w:t>
            </w:r>
          </w:p>
        </w:tc>
      </w:tr>
    </w:tbl>
    <w:p>
      <w:pPr>
        <w:spacing w:after="20"/>
      </w:pPr>
    </w:p>
    <w:p/>
    <w:p>
      <w:pPr>
        <w:spacing w:after="100"/>
      </w:pPr>
      <w:r>
        <w:rPr>
          <w:b w:val="0"/>
          <w:i/>
          <w:color w:val="595959"/>
          <w:sz w:val="17"/>
        </w:rPr>
        <w:t>The questions in this document do not change when the data refreshes. The answers, the status flags and the commentary do — they are recomputed from the current extract and stamped with the data-as-at date. Every figure quoted in this guide is a snapshot illustrating the method, not a fixed result.</w:t>
      </w:r>
    </w:p>
    <w:p>
      <w:r>
        <w:br w:type="page"/>
      </w:r>
    </w:p>
    <w:p>
      <w:pPr>
        <w:pStyle w:val="Heading1"/>
      </w:pPr>
      <w:r>
        <w:t>Contents</w:t>
      </w:r>
    </w:p>
    <w:p>
      <w:pPr>
        <w:tabs>
          <w:tab w:pos="680" w:val="left"/>
        </w:tabs>
        <w:spacing w:after="20"/>
        <w:ind w:left="227"/>
      </w:pPr>
      <w:r>
        <w:rPr>
          <w:sz w:val="19"/>
        </w:rPr>
        <w:t>1.</w:t>
        <w:tab/>
        <w:t>Why a question bank, and how it stays current</w:t>
      </w:r>
    </w:p>
    <w:p>
      <w:pPr>
        <w:tabs>
          <w:tab w:pos="680" w:val="left"/>
        </w:tabs>
        <w:spacing w:after="20"/>
        <w:ind w:left="227"/>
      </w:pPr>
      <w:r>
        <w:rPr>
          <w:sz w:val="19"/>
        </w:rPr>
        <w:t>2.</w:t>
        <w:tab/>
        <w:t>The analytic ladder: descriptive → diagnostic → predictive → prescriptive</w:t>
      </w:r>
    </w:p>
    <w:p>
      <w:pPr>
        <w:tabs>
          <w:tab w:pos="680" w:val="left"/>
        </w:tabs>
        <w:spacing w:after="20"/>
        <w:ind w:left="227"/>
      </w:pPr>
      <w:r>
        <w:rPr>
          <w:sz w:val="19"/>
        </w:rPr>
        <w:t>3.</w:t>
        <w:tab/>
        <w:t>Descriptive questions – what happened</w:t>
      </w:r>
    </w:p>
    <w:p>
      <w:pPr>
        <w:tabs>
          <w:tab w:pos="680" w:val="left"/>
        </w:tabs>
        <w:spacing w:after="20"/>
        <w:ind w:left="227"/>
      </w:pPr>
      <w:r>
        <w:rPr>
          <w:sz w:val="19"/>
        </w:rPr>
        <w:t>4.</w:t>
        <w:tab/>
        <w:t>Diagnostic questions – why it happened</w:t>
      </w:r>
    </w:p>
    <w:p>
      <w:pPr>
        <w:tabs>
          <w:tab w:pos="680" w:val="left"/>
        </w:tabs>
        <w:spacing w:after="20"/>
        <w:ind w:left="227"/>
      </w:pPr>
      <w:r>
        <w:rPr>
          <w:sz w:val="19"/>
        </w:rPr>
        <w:t>5.</w:t>
        <w:tab/>
        <w:t>Predictive questions – what happens next</w:t>
      </w:r>
    </w:p>
    <w:p>
      <w:pPr>
        <w:tabs>
          <w:tab w:pos="680" w:val="left"/>
        </w:tabs>
        <w:spacing w:after="20"/>
        <w:ind w:left="227"/>
      </w:pPr>
      <w:r>
        <w:rPr>
          <w:sz w:val="19"/>
        </w:rPr>
        <w:t>6.</w:t>
        <w:tab/>
        <w:t>Prescriptive questions – what to do, when and who</w:t>
      </w:r>
    </w:p>
    <w:p>
      <w:pPr>
        <w:tabs>
          <w:tab w:pos="680" w:val="left"/>
        </w:tabs>
        <w:spacing w:after="20"/>
        <w:ind w:left="227"/>
      </w:pPr>
      <w:r>
        <w:rPr>
          <w:sz w:val="19"/>
        </w:rPr>
        <w:t>7.</w:t>
        <w:tab/>
        <w:t>Live answers at this refresh</w:t>
      </w:r>
    </w:p>
    <w:p>
      <w:pPr>
        <w:tabs>
          <w:tab w:pos="680" w:val="left"/>
        </w:tabs>
        <w:spacing w:after="20"/>
        <w:ind w:left="227"/>
      </w:pPr>
      <w:r>
        <w:rPr>
          <w:sz w:val="19"/>
        </w:rPr>
        <w:t>8.</w:t>
        <w:tab/>
        <w:t>The data commentary method</w:t>
      </w:r>
    </w:p>
    <w:p>
      <w:pPr>
        <w:tabs>
          <w:tab w:pos="680" w:val="left"/>
        </w:tabs>
        <w:spacing w:after="20"/>
        <w:ind w:left="227"/>
      </w:pPr>
      <w:r>
        <w:rPr>
          <w:sz w:val="19"/>
        </w:rPr>
        <w:t>9.</w:t>
        <w:tab/>
        <w:t>Commentary rules by metric</w:t>
      </w:r>
    </w:p>
    <w:p>
      <w:pPr>
        <w:tabs>
          <w:tab w:pos="680" w:val="left"/>
        </w:tabs>
        <w:spacing w:after="20"/>
        <w:ind w:left="227"/>
      </w:pPr>
      <w:r>
        <w:rPr>
          <w:sz w:val="19"/>
        </w:rPr>
        <w:t>10.</w:t>
        <w:tab/>
        <w:t>Worked commentary examples</w:t>
      </w:r>
    </w:p>
    <w:p>
      <w:pPr>
        <w:tabs>
          <w:tab w:pos="680" w:val="left"/>
        </w:tabs>
        <w:spacing w:after="20"/>
        <w:ind w:left="227"/>
      </w:pPr>
      <w:r>
        <w:rPr>
          <w:sz w:val="19"/>
        </w:rPr>
        <w:t>11.</w:t>
        <w:tab/>
        <w:t>Cadence, ownership and escalation</w:t>
      </w:r>
    </w:p>
    <w:p>
      <w:pPr>
        <w:tabs>
          <w:tab w:pos="680" w:val="left"/>
        </w:tabs>
        <w:spacing w:after="20"/>
        <w:ind w:left="227"/>
      </w:pPr>
      <w:r>
        <w:rPr>
          <w:sz w:val="19"/>
        </w:rPr>
        <w:t>12.</w:t>
        <w:tab/>
        <w:t>Refresh governance and thresholds</w:t>
      </w:r>
    </w:p>
    <w:p>
      <w:pPr>
        <w:tabs>
          <w:tab w:pos="680" w:val="left"/>
        </w:tabs>
        <w:spacing w:after="20"/>
        <w:ind w:left="227"/>
      </w:pPr>
      <w:r>
        <w:rPr>
          <w:sz w:val="19"/>
        </w:rPr>
        <w:t>13.</w:t>
        <w:tab/>
        <w:t>Data gaps and questions to add next</w:t>
      </w:r>
    </w:p>
    <w:p>
      <w:pPr>
        <w:tabs>
          <w:tab w:pos="680" w:val="left"/>
        </w:tabs>
        <w:spacing w:after="20"/>
        <w:ind w:left="227"/>
      </w:pPr>
      <w:r>
        <w:rPr>
          <w:sz w:val="19"/>
        </w:rPr>
        <w:t>14.</w:t>
        <w:tab/>
        <w:t>What-if and scenario analysis</w:t>
      </w:r>
    </w:p>
    <w:p>
      <w:pPr>
        <w:tabs>
          <w:tab w:pos="680" w:val="left"/>
        </w:tabs>
        <w:spacing w:after="20"/>
        <w:ind w:left="227"/>
      </w:pPr>
      <w:r>
        <w:rPr>
          <w:sz w:val="19"/>
        </w:rPr>
        <w:t>15.</w:t>
        <w:tab/>
        <w:t>Parameters, configuration and change control</w:t>
      </w:r>
    </w:p>
    <w:p>
      <w:pPr>
        <w:pStyle w:val="Heading1"/>
      </w:pPr>
      <w:r>
        <w:t>1. Why a question bank, and how it stays current</w:t>
      </w:r>
    </w:p>
    <w:p>
      <w:pPr>
        <w:spacing w:after="100"/>
      </w:pPr>
      <w:r>
        <w:rPr>
          <w:b w:val="0"/>
          <w:i w:val="0"/>
        </w:rPr>
        <w:t>A dashboard answers questions. If the questions are not written down, every review meeting starts from a different place, analysts rebuild the same analysis each month, and figures are compared without agreeing what is being measured. This question bank fixes the analysis agenda: the same questions, asked in the same order, at the same grain, every period — so that what changes between periods is the answer, not the method.</w:t>
      </w:r>
    </w:p>
    <w:p>
      <w:pPr>
        <w:pStyle w:val="Heading2"/>
      </w:pPr>
      <w:r>
        <w:t>1.1 The separation that makes it refresh-safe</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trPr>
        <w:tc>
          <w:tcPr>
            <w:tcW w:type="dxa" w:w="1701"/>
            <w:shd w:val="clear" w:fill="1F3B57"/>
          </w:tcPr>
          <w:p>
            <w:pPr>
              <w:spacing w:after="20" w:before="20" w:line="240" w:lineRule="auto"/>
            </w:pPr>
            <w:r/>
            <w:r>
              <w:rPr>
                <w:rFonts w:ascii="Calibri" w:hAnsi="Calibri"/>
                <w:b/>
                <w:color w:val="FFFFFF"/>
                <w:sz w:val="17"/>
              </w:rPr>
              <w:t>Layer</w:t>
            </w:r>
          </w:p>
        </w:tc>
        <w:tc>
          <w:tcPr>
            <w:tcW w:type="dxa" w:w="5443"/>
            <w:shd w:val="clear" w:fill="1F3B57"/>
          </w:tcPr>
          <w:p>
            <w:pPr>
              <w:spacing w:after="20" w:before="20" w:line="240" w:lineRule="auto"/>
            </w:pPr>
            <w:r/>
            <w:r>
              <w:rPr>
                <w:rFonts w:ascii="Calibri" w:hAnsi="Calibri"/>
                <w:b/>
                <w:color w:val="FFFFFF"/>
                <w:sz w:val="17"/>
              </w:rPr>
              <w:t>What it contains</w:t>
            </w:r>
          </w:p>
        </w:tc>
        <w:tc>
          <w:tcPr>
            <w:tcW w:type="dxa" w:w="2608"/>
            <w:shd w:val="clear" w:fill="1F3B57"/>
          </w:tcPr>
          <w:p>
            <w:pPr>
              <w:spacing w:after="20" w:before="20" w:line="240" w:lineRule="auto"/>
            </w:pPr>
            <w:r/>
            <w:r>
              <w:rPr>
                <w:rFonts w:ascii="Calibri" w:hAnsi="Calibri"/>
                <w:b/>
                <w:color w:val="FFFFFF"/>
                <w:sz w:val="17"/>
              </w:rPr>
              <w:t>Does it change on refresh?</w:t>
            </w:r>
          </w:p>
        </w:tc>
      </w:tr>
      <w:tr>
        <w:tc>
          <w:tcPr>
            <w:tcW w:type="dxa" w:w="1701"/>
          </w:tcPr>
          <w:p>
            <w:pPr>
              <w:spacing w:after="20" w:before="20" w:line="240" w:lineRule="auto"/>
            </w:pPr>
            <w:r/>
            <w:r>
              <w:rPr>
                <w:rFonts w:ascii="Calibri" w:hAnsi="Calibri"/>
                <w:b w:val="0"/>
                <w:sz w:val="17"/>
              </w:rPr>
              <w:t>Question layer</w:t>
            </w:r>
          </w:p>
        </w:tc>
        <w:tc>
          <w:tcPr>
            <w:tcW w:type="dxa" w:w="5443"/>
          </w:tcPr>
          <w:p>
            <w:pPr>
              <w:spacing w:after="20" w:before="20" w:line="240" w:lineRule="auto"/>
            </w:pPr>
            <w:r/>
            <w:r>
              <w:rPr>
                <w:rFonts w:ascii="Calibri" w:hAnsi="Calibri"/>
                <w:b w:val="0"/>
                <w:sz w:val="17"/>
              </w:rPr>
              <w:t>The question, why it matters, data fields, logic, output, cadence, owner (sheets 02–05 of the workbook)</w:t>
            </w:r>
          </w:p>
        </w:tc>
        <w:tc>
          <w:tcPr>
            <w:tcW w:type="dxa" w:w="2608"/>
          </w:tcPr>
          <w:p>
            <w:pPr>
              <w:spacing w:after="20" w:before="20" w:line="240" w:lineRule="auto"/>
            </w:pPr>
            <w:r/>
            <w:r>
              <w:rPr>
                <w:rFonts w:ascii="Calibri" w:hAnsi="Calibri"/>
                <w:b w:val="0"/>
                <w:sz w:val="17"/>
              </w:rPr>
              <w:t>No. It is the standing agenda and changes only through change control.</w:t>
            </w:r>
          </w:p>
        </w:tc>
      </w:tr>
      <w:tr>
        <w:tc>
          <w:tcPr>
            <w:tcW w:type="dxa" w:w="1701"/>
            <w:shd w:val="clear" w:fill="F7F9FB"/>
          </w:tcPr>
          <w:p>
            <w:pPr>
              <w:spacing w:after="20" w:before="20" w:line="240" w:lineRule="auto"/>
            </w:pPr>
            <w:r/>
            <w:r>
              <w:rPr>
                <w:rFonts w:ascii="Calibri" w:hAnsi="Calibri"/>
                <w:b w:val="0"/>
                <w:sz w:val="17"/>
              </w:rPr>
              <w:t>Threshold layer</w:t>
            </w:r>
          </w:p>
        </w:tc>
        <w:tc>
          <w:tcPr>
            <w:tcW w:type="dxa" w:w="5443"/>
            <w:shd w:val="clear" w:fill="F7F9FB"/>
          </w:tcPr>
          <w:p>
            <w:pPr>
              <w:spacing w:after="20" w:before="20" w:line="240" w:lineRule="auto"/>
            </w:pPr>
            <w:r/>
            <w:r>
              <w:rPr>
                <w:rFonts w:ascii="Calibri" w:hAnsi="Calibri"/>
                <w:b w:val="0"/>
                <w:sz w:val="17"/>
              </w:rPr>
              <w:t>Tolerances and bands: ratio band, variance %, cover days, expiry windows, materiality (sheet 01)</w:t>
            </w:r>
          </w:p>
        </w:tc>
        <w:tc>
          <w:tcPr>
            <w:tcW w:type="dxa" w:w="2608"/>
            <w:shd w:val="clear" w:fill="F7F9FB"/>
          </w:tcPr>
          <w:p>
            <w:pPr>
              <w:spacing w:after="20" w:before="20" w:line="240" w:lineRule="auto"/>
            </w:pPr>
            <w:r/>
            <w:r>
              <w:rPr>
                <w:rFonts w:ascii="Calibri" w:hAnsi="Calibri"/>
                <w:b w:val="0"/>
                <w:sz w:val="17"/>
              </w:rPr>
              <w:t>Only by business decision, not by data.</w:t>
            </w:r>
          </w:p>
        </w:tc>
      </w:tr>
      <w:tr>
        <w:tc>
          <w:tcPr>
            <w:tcW w:type="dxa" w:w="1701"/>
          </w:tcPr>
          <w:p>
            <w:pPr>
              <w:spacing w:after="20" w:before="20" w:line="240" w:lineRule="auto"/>
            </w:pPr>
            <w:r/>
            <w:r>
              <w:rPr>
                <w:rFonts w:ascii="Calibri" w:hAnsi="Calibri"/>
                <w:b w:val="0"/>
                <w:sz w:val="17"/>
              </w:rPr>
              <w:t>Answer layer</w:t>
            </w:r>
          </w:p>
        </w:tc>
        <w:tc>
          <w:tcPr>
            <w:tcW w:type="dxa" w:w="5443"/>
          </w:tcPr>
          <w:p>
            <w:pPr>
              <w:spacing w:after="20" w:before="20" w:line="240" w:lineRule="auto"/>
            </w:pPr>
            <w:r/>
            <w:r>
              <w:rPr>
                <w:rFonts w:ascii="Calibri" w:hAnsi="Calibri"/>
                <w:b w:val="0"/>
                <w:sz w:val="17"/>
              </w:rPr>
              <w:t>The computed value, the status flag and the commentary text (sheets 06 and 08)</w:t>
            </w:r>
          </w:p>
        </w:tc>
        <w:tc>
          <w:tcPr>
            <w:tcW w:type="dxa" w:w="2608"/>
          </w:tcPr>
          <w:p>
            <w:pPr>
              <w:spacing w:after="20" w:before="20" w:line="240" w:lineRule="auto"/>
            </w:pPr>
            <w:r/>
            <w:r>
              <w:rPr>
                <w:rFonts w:ascii="Calibri" w:hAnsi="Calibri"/>
                <w:b w:val="0"/>
                <w:sz w:val="17"/>
              </w:rPr>
              <w:t>Yes. Recomputed from the current extract at every refresh and stamped with the data-as-at date.</w:t>
            </w:r>
          </w:p>
        </w:tc>
      </w:tr>
    </w:tbl>
    <w:p>
      <w:pPr>
        <w:spacing w:after="20"/>
      </w:pPr>
    </w:p>
    <w:p>
      <w:pPr>
        <w:spacing w:after="100"/>
      </w:pPr>
      <w:r>
        <w:rPr>
          <w:b w:val="0"/>
          <w:i w:val="0"/>
        </w:rPr>
        <w:t>This is why the workbook needs no editing when data changes: the questions, the logic and the thresholds are stable, and the answers are derived. Re-running the refresh regenerates every value, every Red/Amber/Green flag and every commentary line.</w:t>
      </w:r>
    </w:p>
    <w:p>
      <w:pPr>
        <w:pStyle w:val="Heading2"/>
      </w:pPr>
      <w:r>
        <w:t>1.2 What each question record contains</w:t>
      </w:r>
    </w:p>
    <w:p>
      <w:pPr>
        <w:pStyle w:val="ListBullet"/>
        <w:spacing w:after="50"/>
        <w:ind w:left="340"/>
      </w:pPr>
      <w:r>
        <w:rPr>
          <w:b/>
        </w:rPr>
        <w:t>Question ID</w:t>
      </w:r>
      <w:r>
        <w:t xml:space="preserve"> A stable identifier (D-01, G-07, X-03, R-14) so that a meeting, a report or an audit can reference the question unambiguously.</w:t>
      </w:r>
    </w:p>
    <w:p>
      <w:pPr>
        <w:pStyle w:val="ListBullet"/>
        <w:spacing w:after="50"/>
        <w:ind w:left="340"/>
      </w:pPr>
      <w:r>
        <w:rPr>
          <w:b/>
        </w:rPr>
        <w:t>Why it matters</w:t>
      </w:r>
      <w:r>
        <w:t xml:space="preserve"> The decision the answer supports. A question without a decision behind it is removed.</w:t>
      </w:r>
    </w:p>
    <w:p>
      <w:pPr>
        <w:pStyle w:val="ListBullet"/>
        <w:spacing w:after="50"/>
        <w:ind w:left="340"/>
      </w:pPr>
      <w:r>
        <w:rPr>
          <w:b/>
        </w:rPr>
        <w:t>Data required</w:t>
      </w:r>
      <w:r>
        <w:t xml:space="preserve"> The exact fields, so the answer can be reproduced from Oracle or from the extract.</w:t>
      </w:r>
    </w:p>
    <w:p>
      <w:pPr>
        <w:pStyle w:val="ListBullet"/>
        <w:spacing w:after="50"/>
        <w:ind w:left="340"/>
      </w:pPr>
      <w:r>
        <w:rPr>
          <w:b/>
        </w:rPr>
        <w:t>How to answer</w:t>
      </w:r>
      <w:r>
        <w:t xml:space="preserve"> The calculation or comparison logic — written so that two analysts would produce the same number.</w:t>
      </w:r>
    </w:p>
    <w:p>
      <w:pPr>
        <w:pStyle w:val="ListBullet"/>
        <w:spacing w:after="50"/>
        <w:ind w:left="340"/>
      </w:pPr>
      <w:r>
        <w:rPr>
          <w:b/>
        </w:rPr>
        <w:t>Trigger</w:t>
      </w:r>
      <w:r>
        <w:t xml:space="preserve"> The threshold at which the answer requires commentary or action.</w:t>
      </w:r>
    </w:p>
    <w:p>
      <w:pPr>
        <w:pStyle w:val="ListBullet"/>
        <w:spacing w:after="50"/>
        <w:ind w:left="340"/>
      </w:pPr>
      <w:r>
        <w:rPr>
          <w:b/>
        </w:rPr>
        <w:t>Cadence and owner</w:t>
      </w:r>
      <w:r>
        <w:t xml:space="preserve"> When the question is asked, and who is accountable for the answer and the resulting action.</w:t>
      </w:r>
    </w:p>
    <w:p>
      <w:pPr>
        <w:pStyle w:val="Heading1"/>
      </w:pPr>
      <w:r>
        <w:t>2. The analytic ladder: descriptive → diagnostic → predictive → prescriptive</w:t>
      </w:r>
    </w:p>
    <w:p>
      <w:pPr>
        <w:spacing w:after="100"/>
      </w:pPr>
      <w:r>
        <w:rPr>
          <w:b w:val="0"/>
          <w:i w:val="0"/>
        </w:rPr>
        <w:t>Each stage answers a different question and produces a different kind of output. Skipping a stage is the most common cause of bad decisions: a prediction made without a diagnosis, or an action taken without a prediction.</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trPr>
        <w:tc>
          <w:tcPr>
            <w:tcW w:type="dxa" w:w="1247"/>
            <w:shd w:val="clear" w:fill="1F3B57"/>
          </w:tcPr>
          <w:p>
            <w:pPr>
              <w:spacing w:after="20" w:before="20" w:line="240" w:lineRule="auto"/>
            </w:pPr>
            <w:r/>
            <w:r>
              <w:rPr>
                <w:rFonts w:ascii="Calibri" w:hAnsi="Calibri"/>
                <w:b/>
                <w:color w:val="FFFFFF"/>
                <w:sz w:val="16"/>
              </w:rPr>
              <w:t>Stage</w:t>
            </w:r>
          </w:p>
        </w:tc>
        <w:tc>
          <w:tcPr>
            <w:tcW w:type="dxa" w:w="2494"/>
            <w:shd w:val="clear" w:fill="1F3B57"/>
          </w:tcPr>
          <w:p>
            <w:pPr>
              <w:spacing w:after="20" w:before="20" w:line="240" w:lineRule="auto"/>
            </w:pPr>
            <w:r/>
            <w:r>
              <w:rPr>
                <w:rFonts w:ascii="Calibri" w:hAnsi="Calibri"/>
                <w:b/>
                <w:color w:val="FFFFFF"/>
                <w:sz w:val="16"/>
              </w:rPr>
              <w:t>Question it answers</w:t>
            </w:r>
          </w:p>
        </w:tc>
        <w:tc>
          <w:tcPr>
            <w:tcW w:type="dxa" w:w="2041"/>
            <w:shd w:val="clear" w:fill="1F3B57"/>
          </w:tcPr>
          <w:p>
            <w:pPr>
              <w:spacing w:after="20" w:before="20" w:line="240" w:lineRule="auto"/>
            </w:pPr>
            <w:r/>
            <w:r>
              <w:rPr>
                <w:rFonts w:ascii="Calibri" w:hAnsi="Calibri"/>
                <w:b/>
                <w:color w:val="FFFFFF"/>
                <w:sz w:val="16"/>
              </w:rPr>
              <w:t>Output</w:t>
            </w:r>
          </w:p>
        </w:tc>
        <w:tc>
          <w:tcPr>
            <w:tcW w:type="dxa" w:w="2268"/>
            <w:shd w:val="clear" w:fill="1F3B57"/>
          </w:tcPr>
          <w:p>
            <w:pPr>
              <w:spacing w:after="20" w:before="20" w:line="240" w:lineRule="auto"/>
            </w:pPr>
            <w:r/>
            <w:r>
              <w:rPr>
                <w:rFonts w:ascii="Calibri" w:hAnsi="Calibri"/>
                <w:b/>
                <w:color w:val="FFFFFF"/>
                <w:sz w:val="16"/>
              </w:rPr>
              <w:t>Typical VPT use</w:t>
            </w:r>
          </w:p>
        </w:tc>
        <w:tc>
          <w:tcPr>
            <w:tcW w:type="dxa" w:w="1701"/>
            <w:shd w:val="clear" w:fill="1F3B57"/>
          </w:tcPr>
          <w:p>
            <w:pPr>
              <w:spacing w:after="20" w:before="20" w:line="240" w:lineRule="auto"/>
            </w:pPr>
            <w:r/>
            <w:r>
              <w:rPr>
                <w:rFonts w:ascii="Calibri" w:hAnsi="Calibri"/>
                <w:b/>
                <w:color w:val="FFFFFF"/>
                <w:sz w:val="16"/>
              </w:rPr>
              <w:t>Failure mode if skipped</w:t>
            </w:r>
          </w:p>
        </w:tc>
      </w:tr>
      <w:tr>
        <w:tc>
          <w:tcPr>
            <w:tcW w:type="dxa" w:w="1247"/>
          </w:tcPr>
          <w:p>
            <w:pPr>
              <w:spacing w:after="20" w:before="20" w:line="240" w:lineRule="auto"/>
            </w:pPr>
            <w:r/>
            <w:r>
              <w:rPr>
                <w:rFonts w:ascii="Calibri" w:hAnsi="Calibri"/>
                <w:b w:val="0"/>
                <w:sz w:val="16"/>
              </w:rPr>
              <w:t>Descriptive</w:t>
            </w:r>
          </w:p>
        </w:tc>
        <w:tc>
          <w:tcPr>
            <w:tcW w:type="dxa" w:w="2494"/>
          </w:tcPr>
          <w:p>
            <w:pPr>
              <w:spacing w:after="20" w:before="20" w:line="240" w:lineRule="auto"/>
            </w:pPr>
            <w:r/>
            <w:r>
              <w:rPr>
                <w:rFonts w:ascii="Calibri" w:hAnsi="Calibri"/>
                <w:b w:val="0"/>
                <w:sz w:val="16"/>
              </w:rPr>
              <w:t>What happened, how much, where, when?</w:t>
            </w:r>
          </w:p>
        </w:tc>
        <w:tc>
          <w:tcPr>
            <w:tcW w:type="dxa" w:w="2041"/>
          </w:tcPr>
          <w:p>
            <w:pPr>
              <w:spacing w:after="20" w:before="20" w:line="240" w:lineRule="auto"/>
            </w:pPr>
            <w:r/>
            <w:r>
              <w:rPr>
                <w:rFonts w:ascii="Calibri" w:hAnsi="Calibri"/>
                <w:b w:val="0"/>
                <w:sz w:val="16"/>
              </w:rPr>
              <w:t>Facts, totals, trends, rankings, distributions</w:t>
            </w:r>
          </w:p>
        </w:tc>
        <w:tc>
          <w:tcPr>
            <w:tcW w:type="dxa" w:w="2268"/>
          </w:tcPr>
          <w:p>
            <w:pPr>
              <w:spacing w:after="20" w:before="20" w:line="240" w:lineRule="auto"/>
            </w:pPr>
            <w:r/>
            <w:r>
              <w:rPr>
                <w:rFonts w:ascii="Calibri" w:hAnsi="Calibri"/>
                <w:b w:val="0"/>
                <w:sz w:val="16"/>
              </w:rPr>
              <w:t>Monthly consumption and investment position; project and product totals</w:t>
            </w:r>
          </w:p>
        </w:tc>
        <w:tc>
          <w:tcPr>
            <w:tcW w:type="dxa" w:w="1701"/>
          </w:tcPr>
          <w:p>
            <w:pPr>
              <w:spacing w:after="20" w:before="20" w:line="240" w:lineRule="auto"/>
            </w:pPr>
            <w:r/>
            <w:r>
              <w:rPr>
                <w:rFonts w:ascii="Calibri" w:hAnsi="Calibri"/>
                <w:b w:val="0"/>
                <w:sz w:val="16"/>
              </w:rPr>
              <w:t>Opinions replace facts; every meeting re-litigates the numbers</w:t>
            </w:r>
          </w:p>
        </w:tc>
      </w:tr>
      <w:tr>
        <w:tc>
          <w:tcPr>
            <w:tcW w:type="dxa" w:w="1247"/>
            <w:shd w:val="clear" w:fill="F7F9FB"/>
          </w:tcPr>
          <w:p>
            <w:pPr>
              <w:spacing w:after="20" w:before="20" w:line="240" w:lineRule="auto"/>
            </w:pPr>
            <w:r/>
            <w:r>
              <w:rPr>
                <w:rFonts w:ascii="Calibri" w:hAnsi="Calibri"/>
                <w:b w:val="0"/>
                <w:sz w:val="16"/>
              </w:rPr>
              <w:t>Diagnostic</w:t>
            </w:r>
          </w:p>
        </w:tc>
        <w:tc>
          <w:tcPr>
            <w:tcW w:type="dxa" w:w="2494"/>
            <w:shd w:val="clear" w:fill="F7F9FB"/>
          </w:tcPr>
          <w:p>
            <w:pPr>
              <w:spacing w:after="20" w:before="20" w:line="240" w:lineRule="auto"/>
            </w:pPr>
            <w:r/>
            <w:r>
              <w:rPr>
                <w:rFonts w:ascii="Calibri" w:hAnsi="Calibri"/>
                <w:b w:val="0"/>
                <w:sz w:val="16"/>
              </w:rPr>
              <w:t>Why did it happen?</w:t>
            </w:r>
          </w:p>
        </w:tc>
        <w:tc>
          <w:tcPr>
            <w:tcW w:type="dxa" w:w="2041"/>
            <w:shd w:val="clear" w:fill="F7F9FB"/>
          </w:tcPr>
          <w:p>
            <w:pPr>
              <w:spacing w:after="20" w:before="20" w:line="240" w:lineRule="auto"/>
            </w:pPr>
            <w:r/>
            <w:r>
              <w:rPr>
                <w:rFonts w:ascii="Calibri" w:hAnsi="Calibri"/>
                <w:b w:val="0"/>
                <w:sz w:val="16"/>
              </w:rPr>
              <w:t>Ranked causes with supporting evidence</w:t>
            </w:r>
          </w:p>
        </w:tc>
        <w:tc>
          <w:tcPr>
            <w:tcW w:type="dxa" w:w="2268"/>
            <w:shd w:val="clear" w:fill="F7F9FB"/>
          </w:tcPr>
          <w:p>
            <w:pPr>
              <w:spacing w:after="20" w:before="20" w:line="240" w:lineRule="auto"/>
            </w:pPr>
            <w:r/>
            <w:r>
              <w:rPr>
                <w:rFonts w:ascii="Calibri" w:hAnsi="Calibri"/>
                <w:b w:val="0"/>
                <w:sz w:val="16"/>
              </w:rPr>
              <w:t>Explaining a variance, a price rise, an expiry, an unattributed balance</w:t>
            </w:r>
          </w:p>
        </w:tc>
        <w:tc>
          <w:tcPr>
            <w:tcW w:type="dxa" w:w="1701"/>
            <w:shd w:val="clear" w:fill="F7F9FB"/>
          </w:tcPr>
          <w:p>
            <w:pPr>
              <w:spacing w:after="20" w:before="20" w:line="240" w:lineRule="auto"/>
            </w:pPr>
            <w:r/>
            <w:r>
              <w:rPr>
                <w:rFonts w:ascii="Calibri" w:hAnsi="Calibri"/>
                <w:b w:val="0"/>
                <w:sz w:val="16"/>
              </w:rPr>
              <w:t>The first plausible cause is accepted and the wrong action is taken</w:t>
            </w:r>
          </w:p>
        </w:tc>
      </w:tr>
      <w:tr>
        <w:tc>
          <w:tcPr>
            <w:tcW w:type="dxa" w:w="1247"/>
          </w:tcPr>
          <w:p>
            <w:pPr>
              <w:spacing w:after="20" w:before="20" w:line="240" w:lineRule="auto"/>
            </w:pPr>
            <w:r/>
            <w:r>
              <w:rPr>
                <w:rFonts w:ascii="Calibri" w:hAnsi="Calibri"/>
                <w:b w:val="0"/>
                <w:sz w:val="16"/>
              </w:rPr>
              <w:t>Predictive</w:t>
            </w:r>
          </w:p>
        </w:tc>
        <w:tc>
          <w:tcPr>
            <w:tcW w:type="dxa" w:w="2494"/>
          </w:tcPr>
          <w:p>
            <w:pPr>
              <w:spacing w:after="20" w:before="20" w:line="240" w:lineRule="auto"/>
            </w:pPr>
            <w:r/>
            <w:r>
              <w:rPr>
                <w:rFonts w:ascii="Calibri" w:hAnsi="Calibri"/>
                <w:b w:val="0"/>
                <w:sz w:val="16"/>
              </w:rPr>
              <w:t>What is likely to happen next if nothing changes?</w:t>
            </w:r>
          </w:p>
        </w:tc>
        <w:tc>
          <w:tcPr>
            <w:tcW w:type="dxa" w:w="2041"/>
          </w:tcPr>
          <w:p>
            <w:pPr>
              <w:spacing w:after="20" w:before="20" w:line="240" w:lineRule="auto"/>
            </w:pPr>
            <w:r/>
            <w:r>
              <w:rPr>
                <w:rFonts w:ascii="Calibri" w:hAnsi="Calibri"/>
                <w:b w:val="0"/>
                <w:sz w:val="16"/>
              </w:rPr>
              <w:t>Projections with stated assumptions and a range</w:t>
            </w:r>
          </w:p>
        </w:tc>
        <w:tc>
          <w:tcPr>
            <w:tcW w:type="dxa" w:w="2268"/>
          </w:tcPr>
          <w:p>
            <w:pPr>
              <w:spacing w:after="20" w:before="20" w:line="240" w:lineRule="auto"/>
            </w:pPr>
            <w:r/>
            <w:r>
              <w:rPr>
                <w:rFonts w:ascii="Calibri" w:hAnsi="Calibri"/>
                <w:b w:val="0"/>
                <w:sz w:val="16"/>
              </w:rPr>
              <w:t>Stock-out dates, year-end budget position, expiry risk, requirement quantities</w:t>
            </w:r>
          </w:p>
        </w:tc>
        <w:tc>
          <w:tcPr>
            <w:tcW w:type="dxa" w:w="1701"/>
          </w:tcPr>
          <w:p>
            <w:pPr>
              <w:spacing w:after="20" w:before="20" w:line="240" w:lineRule="auto"/>
            </w:pPr>
            <w:r/>
            <w:r>
              <w:rPr>
                <w:rFonts w:ascii="Calibri" w:hAnsi="Calibri"/>
                <w:b w:val="0"/>
                <w:sz w:val="16"/>
              </w:rPr>
              <w:t>Action is taken late; problems arrive as surprises</w:t>
            </w:r>
          </w:p>
        </w:tc>
      </w:tr>
      <w:tr>
        <w:tc>
          <w:tcPr>
            <w:tcW w:type="dxa" w:w="1247"/>
            <w:shd w:val="clear" w:fill="F7F9FB"/>
          </w:tcPr>
          <w:p>
            <w:pPr>
              <w:spacing w:after="20" w:before="20" w:line="240" w:lineRule="auto"/>
            </w:pPr>
            <w:r/>
            <w:r>
              <w:rPr>
                <w:rFonts w:ascii="Calibri" w:hAnsi="Calibri"/>
                <w:b w:val="0"/>
                <w:sz w:val="16"/>
              </w:rPr>
              <w:t>Prescriptive</w:t>
            </w:r>
          </w:p>
        </w:tc>
        <w:tc>
          <w:tcPr>
            <w:tcW w:type="dxa" w:w="2494"/>
            <w:shd w:val="clear" w:fill="F7F9FB"/>
          </w:tcPr>
          <w:p>
            <w:pPr>
              <w:spacing w:after="20" w:before="20" w:line="240" w:lineRule="auto"/>
            </w:pPr>
            <w:r/>
            <w:r>
              <w:rPr>
                <w:rFonts w:ascii="Calibri" w:hAnsi="Calibri"/>
                <w:b w:val="0"/>
                <w:sz w:val="16"/>
              </w:rPr>
              <w:t>What should we do, when, and who does it?</w:t>
            </w:r>
          </w:p>
        </w:tc>
        <w:tc>
          <w:tcPr>
            <w:tcW w:type="dxa" w:w="2041"/>
            <w:shd w:val="clear" w:fill="F7F9FB"/>
          </w:tcPr>
          <w:p>
            <w:pPr>
              <w:spacing w:after="20" w:before="20" w:line="240" w:lineRule="auto"/>
            </w:pPr>
            <w:r/>
            <w:r>
              <w:rPr>
                <w:rFonts w:ascii="Calibri" w:hAnsi="Calibri"/>
                <w:b w:val="0"/>
                <w:sz w:val="16"/>
              </w:rPr>
              <w:t>Actions with owner, deadline and escalation path</w:t>
            </w:r>
          </w:p>
        </w:tc>
        <w:tc>
          <w:tcPr>
            <w:tcW w:type="dxa" w:w="2268"/>
            <w:shd w:val="clear" w:fill="F7F9FB"/>
          </w:tcPr>
          <w:p>
            <w:pPr>
              <w:spacing w:after="20" w:before="20" w:line="240" w:lineRule="auto"/>
            </w:pPr>
            <w:r/>
            <w:r>
              <w:rPr>
                <w:rFonts w:ascii="Calibri" w:hAnsi="Calibri"/>
                <w:b w:val="0"/>
                <w:sz w:val="16"/>
              </w:rPr>
              <w:t>Purchase plan, freeze list, redistribution, budget reallocation, write-off</w:t>
            </w:r>
          </w:p>
        </w:tc>
        <w:tc>
          <w:tcPr>
            <w:tcW w:type="dxa" w:w="1701"/>
            <w:shd w:val="clear" w:fill="F7F9FB"/>
          </w:tcPr>
          <w:p>
            <w:pPr>
              <w:spacing w:after="20" w:before="20" w:line="240" w:lineRule="auto"/>
            </w:pPr>
            <w:r/>
            <w:r>
              <w:rPr>
                <w:rFonts w:ascii="Calibri" w:hAnsi="Calibri"/>
                <w:b w:val="0"/>
                <w:sz w:val="16"/>
              </w:rPr>
              <w:t>Analysis is produced but behaviour does not change</w:t>
            </w:r>
          </w:p>
        </w:tc>
      </w:tr>
    </w:tbl>
    <w:p>
      <w:pPr>
        <w:spacing w:after="20"/>
      </w:pPr>
    </w:p>
    <w:p>
      <w:pPr>
        <w:pStyle w:val="Heading2"/>
      </w:pPr>
      <w:r>
        <w:t>2.1 The four questions asked of any movement</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trPr>
        <w:tc>
          <w:tcPr>
            <w:tcW w:type="dxa" w:w="1928"/>
            <w:shd w:val="clear" w:fill="1F3B57"/>
          </w:tcPr>
          <w:p>
            <w:pPr>
              <w:spacing w:after="20" w:before="20" w:line="240" w:lineRule="auto"/>
            </w:pPr>
            <w:r/>
            <w:r>
              <w:rPr>
                <w:rFonts w:ascii="Calibri" w:hAnsi="Calibri"/>
                <w:b/>
                <w:color w:val="FFFFFF"/>
                <w:sz w:val="16"/>
              </w:rPr>
              <w:t>Question</w:t>
            </w:r>
          </w:p>
        </w:tc>
        <w:tc>
          <w:tcPr>
            <w:tcW w:type="dxa" w:w="5102"/>
            <w:shd w:val="clear" w:fill="1F3B57"/>
          </w:tcPr>
          <w:p>
            <w:pPr>
              <w:spacing w:after="20" w:before="20" w:line="240" w:lineRule="auto"/>
            </w:pPr>
            <w:r/>
            <w:r>
              <w:rPr>
                <w:rFonts w:ascii="Calibri" w:hAnsi="Calibri"/>
                <w:b/>
                <w:color w:val="FFFFFF"/>
                <w:sz w:val="16"/>
              </w:rPr>
              <w:t>What a good answer looks like</w:t>
            </w:r>
          </w:p>
        </w:tc>
        <w:tc>
          <w:tcPr>
            <w:tcW w:type="dxa" w:w="2721"/>
            <w:shd w:val="clear" w:fill="1F3B57"/>
          </w:tcPr>
          <w:p>
            <w:pPr>
              <w:spacing w:after="20" w:before="20" w:line="240" w:lineRule="auto"/>
            </w:pPr>
            <w:r/>
            <w:r>
              <w:rPr>
                <w:rFonts w:ascii="Calibri" w:hAnsi="Calibri"/>
                <w:b/>
                <w:color w:val="FFFFFF"/>
                <w:sz w:val="16"/>
              </w:rPr>
              <w:t>Where it lives</w:t>
            </w:r>
          </w:p>
        </w:tc>
      </w:tr>
      <w:tr>
        <w:tc>
          <w:tcPr>
            <w:tcW w:type="dxa" w:w="1928"/>
          </w:tcPr>
          <w:p>
            <w:pPr>
              <w:spacing w:after="20" w:before="20" w:line="240" w:lineRule="auto"/>
            </w:pPr>
            <w:r/>
            <w:r>
              <w:rPr>
                <w:rFonts w:ascii="Calibri" w:hAnsi="Calibri"/>
                <w:b w:val="0"/>
                <w:sz w:val="16"/>
              </w:rPr>
              <w:t>What happened?</w:t>
            </w:r>
          </w:p>
        </w:tc>
        <w:tc>
          <w:tcPr>
            <w:tcW w:type="dxa" w:w="5102"/>
          </w:tcPr>
          <w:p>
            <w:pPr>
              <w:spacing w:after="20" w:before="20" w:line="240" w:lineRule="auto"/>
            </w:pPr>
            <w:r/>
            <w:r>
              <w:rPr>
                <w:rFonts w:ascii="Calibri" w:hAnsi="Calibri"/>
                <w:b w:val="0"/>
                <w:sz w:val="16"/>
              </w:rPr>
              <w:t>A number, a period, a scope and a comparison — never an adjective on its own.</w:t>
            </w:r>
          </w:p>
        </w:tc>
        <w:tc>
          <w:tcPr>
            <w:tcW w:type="dxa" w:w="2721"/>
          </w:tcPr>
          <w:p>
            <w:pPr>
              <w:spacing w:after="20" w:before="20" w:line="240" w:lineRule="auto"/>
            </w:pPr>
            <w:r/>
            <w:r>
              <w:rPr>
                <w:rFonts w:ascii="Calibri" w:hAnsi="Calibri"/>
                <w:b w:val="0"/>
                <w:sz w:val="16"/>
              </w:rPr>
              <w:t>Descriptive questions and the live answer sheet</w:t>
            </w:r>
          </w:p>
        </w:tc>
      </w:tr>
      <w:tr>
        <w:tc>
          <w:tcPr>
            <w:tcW w:type="dxa" w:w="1928"/>
            <w:shd w:val="clear" w:fill="F7F9FB"/>
          </w:tcPr>
          <w:p>
            <w:pPr>
              <w:spacing w:after="20" w:before="20" w:line="240" w:lineRule="auto"/>
            </w:pPr>
            <w:r/>
            <w:r>
              <w:rPr>
                <w:rFonts w:ascii="Calibri" w:hAnsi="Calibri"/>
                <w:b w:val="0"/>
                <w:sz w:val="16"/>
              </w:rPr>
              <w:t>Why did it happen?</w:t>
            </w:r>
          </w:p>
        </w:tc>
        <w:tc>
          <w:tcPr>
            <w:tcW w:type="dxa" w:w="5102"/>
            <w:shd w:val="clear" w:fill="F7F9FB"/>
          </w:tcPr>
          <w:p>
            <w:pPr>
              <w:spacing w:after="20" w:before="20" w:line="240" w:lineRule="auto"/>
            </w:pPr>
            <w:r/>
            <w:r>
              <w:rPr>
                <w:rFonts w:ascii="Calibri" w:hAnsi="Calibri"/>
                <w:b w:val="0"/>
                <w:sz w:val="16"/>
              </w:rPr>
              <w:t>A ranked list of candidate causes with the evidence that supports or eliminates each one.</w:t>
            </w:r>
          </w:p>
        </w:tc>
        <w:tc>
          <w:tcPr>
            <w:tcW w:type="dxa" w:w="2721"/>
            <w:shd w:val="clear" w:fill="F7F9FB"/>
          </w:tcPr>
          <w:p>
            <w:pPr>
              <w:spacing w:after="20" w:before="20" w:line="240" w:lineRule="auto"/>
            </w:pPr>
            <w:r/>
            <w:r>
              <w:rPr>
                <w:rFonts w:ascii="Calibri" w:hAnsi="Calibri"/>
                <w:b w:val="0"/>
                <w:sz w:val="16"/>
              </w:rPr>
              <w:t>Diagnostic questions and the commentary 'why' field</w:t>
            </w:r>
          </w:p>
        </w:tc>
      </w:tr>
      <w:tr>
        <w:tc>
          <w:tcPr>
            <w:tcW w:type="dxa" w:w="1928"/>
          </w:tcPr>
          <w:p>
            <w:pPr>
              <w:spacing w:after="20" w:before="20" w:line="240" w:lineRule="auto"/>
            </w:pPr>
            <w:r/>
            <w:r>
              <w:rPr>
                <w:rFonts w:ascii="Calibri" w:hAnsi="Calibri"/>
                <w:b w:val="0"/>
                <w:sz w:val="16"/>
              </w:rPr>
              <w:t>So what?</w:t>
            </w:r>
          </w:p>
        </w:tc>
        <w:tc>
          <w:tcPr>
            <w:tcW w:type="dxa" w:w="5102"/>
          </w:tcPr>
          <w:p>
            <w:pPr>
              <w:spacing w:after="20" w:before="20" w:line="240" w:lineRule="auto"/>
            </w:pPr>
            <w:r/>
            <w:r>
              <w:rPr>
                <w:rFonts w:ascii="Calibri" w:hAnsi="Calibri"/>
                <w:b w:val="0"/>
                <w:sz w:val="16"/>
              </w:rPr>
              <w:t>The consequence in money, service or compliance terms, and who is affected.</w:t>
            </w:r>
          </w:p>
        </w:tc>
        <w:tc>
          <w:tcPr>
            <w:tcW w:type="dxa" w:w="2721"/>
          </w:tcPr>
          <w:p>
            <w:pPr>
              <w:spacing w:after="20" w:before="20" w:line="240" w:lineRule="auto"/>
            </w:pPr>
            <w:r/>
            <w:r>
              <w:rPr>
                <w:rFonts w:ascii="Calibri" w:hAnsi="Calibri"/>
                <w:b w:val="0"/>
                <w:sz w:val="16"/>
              </w:rPr>
              <w:t>Commentary 'impact' field</w:t>
            </w:r>
          </w:p>
        </w:tc>
      </w:tr>
      <w:tr>
        <w:tc>
          <w:tcPr>
            <w:tcW w:type="dxa" w:w="1928"/>
            <w:shd w:val="clear" w:fill="F7F9FB"/>
          </w:tcPr>
          <w:p>
            <w:pPr>
              <w:spacing w:after="20" w:before="20" w:line="240" w:lineRule="auto"/>
            </w:pPr>
            <w:r/>
            <w:r>
              <w:rPr>
                <w:rFonts w:ascii="Calibri" w:hAnsi="Calibri"/>
                <w:b w:val="0"/>
                <w:sz w:val="16"/>
              </w:rPr>
              <w:t>Now what — and when, and who?</w:t>
            </w:r>
          </w:p>
        </w:tc>
        <w:tc>
          <w:tcPr>
            <w:tcW w:type="dxa" w:w="5102"/>
            <w:shd w:val="clear" w:fill="F7F9FB"/>
          </w:tcPr>
          <w:p>
            <w:pPr>
              <w:spacing w:after="20" w:before="20" w:line="240" w:lineRule="auto"/>
            </w:pPr>
            <w:r/>
            <w:r>
              <w:rPr>
                <w:rFonts w:ascii="Calibri" w:hAnsi="Calibri"/>
                <w:b w:val="0"/>
                <w:sz w:val="16"/>
              </w:rPr>
              <w:t>A specific action, a deadline, an owner and an escalation route.</w:t>
            </w:r>
          </w:p>
        </w:tc>
        <w:tc>
          <w:tcPr>
            <w:tcW w:type="dxa" w:w="2721"/>
            <w:shd w:val="clear" w:fill="F7F9FB"/>
          </w:tcPr>
          <w:p>
            <w:pPr>
              <w:spacing w:after="20" w:before="20" w:line="240" w:lineRule="auto"/>
            </w:pPr>
            <w:r/>
            <w:r>
              <w:rPr>
                <w:rFonts w:ascii="Calibri" w:hAnsi="Calibri"/>
                <w:b w:val="0"/>
                <w:sz w:val="16"/>
              </w:rPr>
              <w:t>Prescriptive questions, action tracker and the 'when/who' fields</w:t>
            </w:r>
          </w:p>
        </w:tc>
      </w:tr>
    </w:tbl>
    <w:p>
      <w:pPr>
        <w:spacing w:after="20"/>
      </w:pPr>
    </w:p>
    <w:tbl>
      <w:tblPr>
        <w:tblStyle w:val="TableGrid"/>
        <w:tblW w:type="auto" w:w="0"/>
        <w:tblLook w:firstColumn="1" w:firstRow="1" w:lastColumn="0" w:lastRow="0" w:noHBand="0" w:noVBand="1" w:val="04A0"/>
      </w:tblPr>
      <w:tblGrid>
        <w:gridCol w:w="10086"/>
      </w:tblGrid>
      <w:tr>
        <w:tc>
          <w:tcPr>
            <w:tcW w:type="dxa" w:w="9751"/>
            <w:shd w:val="clear" w:fill="EEF3F8"/>
          </w:tcPr>
          <w:p>
            <w:pPr>
              <w:spacing w:after="20" w:before="20" w:line="240" w:lineRule="auto"/>
            </w:pPr>
            <w:r/>
            <w:r>
              <w:rPr>
                <w:rFonts w:ascii="Calibri" w:hAnsi="Calibri"/>
                <w:b w:val="0"/>
                <w:sz w:val="19"/>
              </w:rPr>
              <w:t>Rule of the bank: no commentary without a number, no number without a cause, no cause without an action, and no action without an owner and a date.</w:t>
            </w:r>
          </w:p>
        </w:tc>
      </w:tr>
    </w:tbl>
    <w:p>
      <w:pPr>
        <w:spacing w:after="20"/>
      </w:pPr>
    </w:p>
    <w:p>
      <w:r>
        <w:br w:type="page"/>
      </w:r>
    </w:p>
    <w:p>
      <w:pPr>
        <w:pStyle w:val="Heading1"/>
      </w:pPr>
      <w:r>
        <w:t>3. Descriptive questions – what happened</w:t>
      </w:r>
    </w:p>
    <w:p>
      <w:pPr>
        <w:spacing w:after="100"/>
      </w:pPr>
      <w:r>
        <w:rPr>
          <w:b w:val="0"/>
          <w:i w:val="0"/>
        </w:rPr>
        <w:t>Ask these first, every refresh. They establish the facts that every later stage depends on. Each has one correct answer at a given data-as-at date, so there is nothing to debate — only to verify.</w:t>
      </w:r>
    </w:p>
    <w:tbl>
      <w:tblPr>
        <w:tblStyle w:val="TableGrid"/>
        <w:tblW w:type="auto" w:w="0"/>
        <w:jc w:val="center"/>
        <w:tblLayout w:type="fixed"/>
        <w:tblLook w:firstColumn="1" w:firstRow="1" w:lastColumn="0" w:lastRow="0" w:noHBand="0" w:noVBand="1" w:val="04A0"/>
      </w:tblPr>
      <w:tblGrid>
        <w:gridCol w:w="1261"/>
        <w:gridCol w:w="1261"/>
        <w:gridCol w:w="1261"/>
        <w:gridCol w:w="1261"/>
        <w:gridCol w:w="1261"/>
        <w:gridCol w:w="1261"/>
        <w:gridCol w:w="1261"/>
        <w:gridCol w:w="1261"/>
      </w:tblGrid>
      <w:tr>
        <w:trPr>
          <w:tblHeader/>
        </w:trPr>
        <w:tc>
          <w:tcPr>
            <w:tcW w:type="dxa" w:w="680"/>
            <w:shd w:val="clear" w:fill="1F3B57"/>
          </w:tcPr>
          <w:p>
            <w:pPr>
              <w:spacing w:after="20" w:before="20" w:line="240" w:lineRule="auto"/>
            </w:pPr>
            <w:r/>
            <w:r>
              <w:rPr>
                <w:rFonts w:ascii="Calibri" w:hAnsi="Calibri"/>
                <w:b/>
                <w:color w:val="FFFFFF"/>
                <w:sz w:val="14"/>
              </w:rPr>
              <w:t>ID</w:t>
            </w:r>
          </w:p>
        </w:tc>
        <w:tc>
          <w:tcPr>
            <w:tcW w:type="dxa" w:w="2494"/>
            <w:shd w:val="clear" w:fill="1F3B57"/>
          </w:tcPr>
          <w:p>
            <w:pPr>
              <w:spacing w:after="20" w:before="20" w:line="240" w:lineRule="auto"/>
            </w:pPr>
            <w:r/>
            <w:r>
              <w:rPr>
                <w:rFonts w:ascii="Calibri" w:hAnsi="Calibri"/>
                <w:b/>
                <w:color w:val="FFFFFF"/>
                <w:sz w:val="14"/>
              </w:rPr>
              <w:t>Question</w:t>
            </w:r>
          </w:p>
        </w:tc>
        <w:tc>
          <w:tcPr>
            <w:tcW w:type="dxa" w:w="2154"/>
            <w:shd w:val="clear" w:fill="1F3B57"/>
          </w:tcPr>
          <w:p>
            <w:pPr>
              <w:spacing w:after="20" w:before="20" w:line="240" w:lineRule="auto"/>
            </w:pPr>
            <w:r/>
            <w:r>
              <w:rPr>
                <w:rFonts w:ascii="Calibri" w:hAnsi="Calibri"/>
                <w:b/>
                <w:color w:val="FFFFFF"/>
                <w:sz w:val="14"/>
              </w:rPr>
              <w:t>Why it matters / decision supported</w:t>
            </w:r>
          </w:p>
        </w:tc>
        <w:tc>
          <w:tcPr>
            <w:tcW w:type="dxa" w:w="1587"/>
            <w:shd w:val="clear" w:fill="1F3B57"/>
          </w:tcPr>
          <w:p>
            <w:pPr>
              <w:spacing w:after="20" w:before="20" w:line="240" w:lineRule="auto"/>
            </w:pPr>
            <w:r/>
            <w:r>
              <w:rPr>
                <w:rFonts w:ascii="Calibri" w:hAnsi="Calibri"/>
                <w:b/>
                <w:color w:val="FFFFFF"/>
                <w:sz w:val="14"/>
              </w:rPr>
              <w:t>Data required</w:t>
            </w:r>
          </w:p>
        </w:tc>
        <w:tc>
          <w:tcPr>
            <w:tcW w:type="dxa" w:w="1928"/>
            <w:shd w:val="clear" w:fill="1F3B57"/>
          </w:tcPr>
          <w:p>
            <w:pPr>
              <w:spacing w:after="20" w:before="20" w:line="240" w:lineRule="auto"/>
            </w:pPr>
            <w:r/>
            <w:r>
              <w:rPr>
                <w:rFonts w:ascii="Calibri" w:hAnsi="Calibri"/>
                <w:b/>
                <w:color w:val="FFFFFF"/>
                <w:sz w:val="14"/>
              </w:rPr>
              <w:t>How to answer</w:t>
            </w:r>
          </w:p>
        </w:tc>
        <w:tc>
          <w:tcPr>
            <w:tcW w:type="dxa" w:w="907"/>
            <w:shd w:val="clear" w:fill="1F3B57"/>
          </w:tcPr>
          <w:p>
            <w:pPr>
              <w:spacing w:after="20" w:before="20" w:line="240" w:lineRule="auto"/>
            </w:pPr>
            <w:r/>
            <w:r>
              <w:rPr>
                <w:rFonts w:ascii="Calibri" w:hAnsi="Calibri"/>
                <w:b/>
                <w:color w:val="FFFFFF"/>
                <w:sz w:val="14"/>
              </w:rPr>
              <w:t>Trigger</w:t>
            </w:r>
          </w:p>
        </w:tc>
        <w:tc>
          <w:tcPr>
            <w:tcW w:type="dxa" w:w="850"/>
            <w:shd w:val="clear" w:fill="1F3B57"/>
          </w:tcPr>
          <w:p>
            <w:pPr>
              <w:spacing w:after="20" w:before="20" w:line="240" w:lineRule="auto"/>
            </w:pPr>
            <w:r/>
            <w:r>
              <w:rPr>
                <w:rFonts w:ascii="Calibri" w:hAnsi="Calibri"/>
                <w:b/>
                <w:color w:val="FFFFFF"/>
                <w:sz w:val="14"/>
              </w:rPr>
              <w:t>Cadence</w:t>
            </w:r>
          </w:p>
        </w:tc>
        <w:tc>
          <w:tcPr>
            <w:tcW w:type="dxa" w:w="850"/>
            <w:shd w:val="clear" w:fill="1F3B57"/>
          </w:tcPr>
          <w:p>
            <w:pPr>
              <w:spacing w:after="20" w:before="20" w:line="240" w:lineRule="auto"/>
            </w:pPr>
            <w:r/>
            <w:r>
              <w:rPr>
                <w:rFonts w:ascii="Calibri" w:hAnsi="Calibri"/>
                <w:b/>
                <w:color w:val="FFFFFF"/>
                <w:sz w:val="14"/>
              </w:rPr>
              <w:t>Owner</w:t>
            </w:r>
          </w:p>
        </w:tc>
      </w:tr>
      <w:tr>
        <w:tc>
          <w:tcPr>
            <w:tcW w:type="dxa" w:w="680"/>
          </w:tcPr>
          <w:p>
            <w:pPr>
              <w:spacing w:after="20" w:before="20" w:line="240" w:lineRule="auto"/>
              <w:jc w:val="center"/>
            </w:pPr>
            <w:r/>
            <w:r>
              <w:rPr>
                <w:rFonts w:ascii="Calibri" w:hAnsi="Calibri"/>
                <w:b w:val="0"/>
                <w:sz w:val="14"/>
              </w:rPr>
              <w:t>D-01</w:t>
            </w:r>
          </w:p>
        </w:tc>
        <w:tc>
          <w:tcPr>
            <w:tcW w:type="dxa" w:w="2494"/>
          </w:tcPr>
          <w:p>
            <w:pPr>
              <w:spacing w:after="20" w:before="20" w:line="240" w:lineRule="auto"/>
            </w:pPr>
            <w:r/>
            <w:r>
              <w:rPr>
                <w:rFonts w:ascii="Calibri" w:hAnsi="Calibri"/>
                <w:b w:val="0"/>
                <w:sz w:val="14"/>
              </w:rPr>
              <w:t>What was total product consumption in the selected period, in quantity and value?</w:t>
            </w:r>
          </w:p>
        </w:tc>
        <w:tc>
          <w:tcPr>
            <w:tcW w:type="dxa" w:w="2154"/>
          </w:tcPr>
          <w:p>
            <w:pPr>
              <w:spacing w:after="20" w:before="20" w:line="240" w:lineRule="auto"/>
            </w:pPr>
            <w:r/>
            <w:r>
              <w:rPr>
                <w:rFonts w:ascii="Calibri" w:hAnsi="Calibri"/>
                <w:b w:val="0"/>
                <w:sz w:val="14"/>
              </w:rPr>
              <w:t>The base measure every other question builds on; sets the size of the problem.</w:t>
            </w:r>
          </w:p>
        </w:tc>
        <w:tc>
          <w:tcPr>
            <w:tcW w:type="dxa" w:w="1587"/>
          </w:tcPr>
          <w:p>
            <w:pPr>
              <w:spacing w:after="20" w:before="20" w:line="240" w:lineRule="auto"/>
            </w:pPr>
            <w:r/>
            <w:r>
              <w:rPr>
                <w:rFonts w:ascii="Calibri" w:hAnsi="Calibri"/>
                <w:b w:val="0"/>
                <w:sz w:val="14"/>
              </w:rPr>
              <w:t>Consumption: issue date, item, quantity, unit cost, issue type</w:t>
            </w:r>
          </w:p>
        </w:tc>
        <w:tc>
          <w:tcPr>
            <w:tcW w:type="dxa" w:w="1928"/>
          </w:tcPr>
          <w:p>
            <w:pPr>
              <w:spacing w:after="20" w:before="20" w:line="240" w:lineRule="auto"/>
            </w:pPr>
            <w:r/>
            <w:r>
              <w:rPr>
                <w:rFonts w:ascii="Calibri" w:hAnsi="Calibri"/>
                <w:b w:val="0"/>
                <w:sz w:val="14"/>
              </w:rPr>
              <w:t>Sum issue value and quantity, excluding inter-store transfers</w:t>
            </w:r>
          </w:p>
        </w:tc>
        <w:tc>
          <w:tcPr>
            <w:tcW w:type="dxa" w:w="907"/>
          </w:tcPr>
          <w:p>
            <w:pPr>
              <w:spacing w:after="20" w:before="20" w:line="240" w:lineRule="auto"/>
            </w:pPr>
            <w:r/>
            <w:r>
              <w:rPr>
                <w:rFonts w:ascii="Calibri" w:hAnsi="Calibri"/>
                <w:b w:val="0"/>
                <w:sz w:val="14"/>
              </w:rPr>
              <w:t>Report</w:t>
            </w:r>
          </w:p>
        </w:tc>
        <w:tc>
          <w:tcPr>
            <w:tcW w:type="dxa" w:w="850"/>
          </w:tcPr>
          <w:p>
            <w:pPr>
              <w:spacing w:after="20" w:before="20" w:line="240" w:lineRule="auto"/>
              <w:jc w:val="center"/>
            </w:pPr>
            <w:r/>
            <w:r>
              <w:rPr>
                <w:rFonts w:ascii="Calibri" w:hAnsi="Calibri"/>
                <w:b w:val="0"/>
                <w:sz w:val="14"/>
              </w:rPr>
              <w:t>Monthly (WD3)</w:t>
            </w:r>
          </w:p>
        </w:tc>
        <w:tc>
          <w:tcPr>
            <w:tcW w:type="dxa" w:w="850"/>
          </w:tcPr>
          <w:p>
            <w:pPr>
              <w:spacing w:after="20" w:before="20" w:line="240" w:lineRule="auto"/>
              <w:jc w:val="center"/>
            </w:pPr>
            <w:r/>
            <w:r>
              <w:rPr>
                <w:rFonts w:ascii="Calibri" w:hAnsi="Calibri"/>
                <w:b w:val="0"/>
                <w:sz w:val="14"/>
              </w:rPr>
              <w:t>Procurement</w:t>
            </w:r>
          </w:p>
        </w:tc>
      </w:tr>
      <w:tr>
        <w:tc>
          <w:tcPr>
            <w:tcW w:type="dxa" w:w="680"/>
            <w:shd w:val="clear" w:fill="F7F9FB"/>
          </w:tcPr>
          <w:p>
            <w:pPr>
              <w:spacing w:after="20" w:before="20" w:line="240" w:lineRule="auto"/>
              <w:jc w:val="center"/>
            </w:pPr>
            <w:r/>
            <w:r>
              <w:rPr>
                <w:rFonts w:ascii="Calibri" w:hAnsi="Calibri"/>
                <w:b w:val="0"/>
                <w:sz w:val="14"/>
              </w:rPr>
              <w:t>D-02</w:t>
            </w:r>
          </w:p>
        </w:tc>
        <w:tc>
          <w:tcPr>
            <w:tcW w:type="dxa" w:w="2494"/>
            <w:shd w:val="clear" w:fill="F7F9FB"/>
          </w:tcPr>
          <w:p>
            <w:pPr>
              <w:spacing w:after="20" w:before="20" w:line="240" w:lineRule="auto"/>
            </w:pPr>
            <w:r/>
            <w:r>
              <w:rPr>
                <w:rFonts w:ascii="Calibri" w:hAnsi="Calibri"/>
                <w:b w:val="0"/>
                <w:sz w:val="14"/>
              </w:rPr>
              <w:t>How much was purchased (investment) in the same period, and how much was received?</w:t>
            </w:r>
          </w:p>
        </w:tc>
        <w:tc>
          <w:tcPr>
            <w:tcW w:type="dxa" w:w="2154"/>
            <w:shd w:val="clear" w:fill="F7F9FB"/>
          </w:tcPr>
          <w:p>
            <w:pPr>
              <w:spacing w:after="20" w:before="20" w:line="240" w:lineRule="auto"/>
            </w:pPr>
            <w:r/>
            <w:r>
              <w:rPr>
                <w:rFonts w:ascii="Calibri" w:hAnsi="Calibri"/>
                <w:b w:val="0"/>
                <w:sz w:val="14"/>
              </w:rPr>
              <w:t>Distinguishes what was committed from what actually arrived.</w:t>
            </w:r>
          </w:p>
        </w:tc>
        <w:tc>
          <w:tcPr>
            <w:tcW w:type="dxa" w:w="1587"/>
            <w:shd w:val="clear" w:fill="F7F9FB"/>
          </w:tcPr>
          <w:p>
            <w:pPr>
              <w:spacing w:after="20" w:before="20" w:line="240" w:lineRule="auto"/>
            </w:pPr>
            <w:r/>
            <w:r>
              <w:rPr>
                <w:rFonts w:ascii="Calibri" w:hAnsi="Calibri"/>
                <w:b w:val="0"/>
                <w:sz w:val="14"/>
              </w:rPr>
              <w:t>Purchase orders (excl. cancelled), GRN lines</w:t>
            </w:r>
          </w:p>
        </w:tc>
        <w:tc>
          <w:tcPr>
            <w:tcW w:type="dxa" w:w="1928"/>
            <w:shd w:val="clear" w:fill="F7F9FB"/>
          </w:tcPr>
          <w:p>
            <w:pPr>
              <w:spacing w:after="20" w:before="20" w:line="240" w:lineRule="auto"/>
            </w:pPr>
            <w:r/>
            <w:r>
              <w:rPr>
                <w:rFonts w:ascii="Calibri" w:hAnsi="Calibri"/>
                <w:b w:val="0"/>
                <w:sz w:val="14"/>
              </w:rPr>
              <w:t>Sum PO line value and GRN value by month</w:t>
            </w:r>
          </w:p>
        </w:tc>
        <w:tc>
          <w:tcPr>
            <w:tcW w:type="dxa" w:w="907"/>
            <w:shd w:val="clear" w:fill="F7F9FB"/>
          </w:tcPr>
          <w:p>
            <w:pPr>
              <w:spacing w:after="20" w:before="20" w:line="240" w:lineRule="auto"/>
            </w:pPr>
            <w:r/>
            <w:r>
              <w:rPr>
                <w:rFonts w:ascii="Calibri" w:hAnsi="Calibri"/>
                <w:b w:val="0"/>
                <w:sz w:val="14"/>
              </w:rPr>
              <w:t>Report</w:t>
            </w:r>
          </w:p>
        </w:tc>
        <w:tc>
          <w:tcPr>
            <w:tcW w:type="dxa" w:w="850"/>
            <w:shd w:val="clear" w:fill="F7F9FB"/>
          </w:tcPr>
          <w:p>
            <w:pPr>
              <w:spacing w:after="20" w:before="20" w:line="240" w:lineRule="auto"/>
              <w:jc w:val="center"/>
            </w:pPr>
            <w:r/>
            <w:r>
              <w:rPr>
                <w:rFonts w:ascii="Calibri" w:hAnsi="Calibri"/>
                <w:b w:val="0"/>
                <w:sz w:val="14"/>
              </w:rPr>
              <w:t>Monthly</w:t>
            </w:r>
          </w:p>
        </w:tc>
        <w:tc>
          <w:tcPr>
            <w:tcW w:type="dxa" w:w="850"/>
            <w:shd w:val="clear" w:fill="F7F9FB"/>
          </w:tcPr>
          <w:p>
            <w:pPr>
              <w:spacing w:after="20" w:before="20" w:line="240" w:lineRule="auto"/>
              <w:jc w:val="center"/>
            </w:pPr>
            <w:r/>
            <w:r>
              <w:rPr>
                <w:rFonts w:ascii="Calibri" w:hAnsi="Calibri"/>
                <w:b w:val="0"/>
                <w:sz w:val="14"/>
              </w:rPr>
              <w:t>Procurement</w:t>
            </w:r>
          </w:p>
        </w:tc>
      </w:tr>
      <w:tr>
        <w:tc>
          <w:tcPr>
            <w:tcW w:type="dxa" w:w="680"/>
          </w:tcPr>
          <w:p>
            <w:pPr>
              <w:spacing w:after="20" w:before="20" w:line="240" w:lineRule="auto"/>
              <w:jc w:val="center"/>
            </w:pPr>
            <w:r/>
            <w:r>
              <w:rPr>
                <w:rFonts w:ascii="Calibri" w:hAnsi="Calibri"/>
                <w:b w:val="0"/>
                <w:sz w:val="14"/>
              </w:rPr>
              <w:t>D-03</w:t>
            </w:r>
          </w:p>
        </w:tc>
        <w:tc>
          <w:tcPr>
            <w:tcW w:type="dxa" w:w="2494"/>
          </w:tcPr>
          <w:p>
            <w:pPr>
              <w:spacing w:after="20" w:before="20" w:line="240" w:lineRule="auto"/>
            </w:pPr>
            <w:r/>
            <w:r>
              <w:rPr>
                <w:rFonts w:ascii="Calibri" w:hAnsi="Calibri"/>
                <w:b w:val="0"/>
                <w:sz w:val="14"/>
              </w:rPr>
              <w:t>What is the consumption-to-investment ratio, overall and by project?</w:t>
            </w:r>
          </w:p>
        </w:tc>
        <w:tc>
          <w:tcPr>
            <w:tcW w:type="dxa" w:w="2154"/>
          </w:tcPr>
          <w:p>
            <w:pPr>
              <w:spacing w:after="20" w:before="20" w:line="240" w:lineRule="auto"/>
            </w:pPr>
            <w:r/>
            <w:r>
              <w:rPr>
                <w:rFonts w:ascii="Calibri" w:hAnsi="Calibri"/>
                <w:b w:val="0"/>
                <w:sz w:val="14"/>
              </w:rPr>
              <w:t>Shows whether purchasing has run ahead of use.</w:t>
            </w:r>
          </w:p>
        </w:tc>
        <w:tc>
          <w:tcPr>
            <w:tcW w:type="dxa" w:w="1587"/>
          </w:tcPr>
          <w:p>
            <w:pPr>
              <w:spacing w:after="20" w:before="20" w:line="240" w:lineRule="auto"/>
            </w:pPr>
            <w:r/>
            <w:r>
              <w:rPr>
                <w:rFonts w:ascii="Calibri" w:hAnsi="Calibri"/>
                <w:b w:val="0"/>
                <w:sz w:val="14"/>
              </w:rPr>
              <w:t>PO value, consumption value</w:t>
            </w:r>
          </w:p>
        </w:tc>
        <w:tc>
          <w:tcPr>
            <w:tcW w:type="dxa" w:w="1928"/>
          </w:tcPr>
          <w:p>
            <w:pPr>
              <w:spacing w:after="20" w:before="20" w:line="240" w:lineRule="auto"/>
            </w:pPr>
            <w:r/>
            <w:r>
              <w:rPr>
                <w:rFonts w:ascii="Calibri" w:hAnsi="Calibri"/>
                <w:b w:val="0"/>
                <w:sz w:val="14"/>
              </w:rPr>
              <w:t>Consumption ÷ purchase, period and cumulative</w:t>
            </w:r>
          </w:p>
        </w:tc>
        <w:tc>
          <w:tcPr>
            <w:tcW w:type="dxa" w:w="907"/>
          </w:tcPr>
          <w:p>
            <w:pPr>
              <w:spacing w:after="20" w:before="20" w:line="240" w:lineRule="auto"/>
            </w:pPr>
            <w:r/>
            <w:r>
              <w:rPr>
                <w:rFonts w:ascii="Calibri" w:hAnsi="Calibri"/>
                <w:b w:val="0"/>
                <w:sz w:val="14"/>
              </w:rPr>
              <w:t>P-02 band</w:t>
            </w:r>
          </w:p>
        </w:tc>
        <w:tc>
          <w:tcPr>
            <w:tcW w:type="dxa" w:w="850"/>
          </w:tcPr>
          <w:p>
            <w:pPr>
              <w:spacing w:after="20" w:before="20" w:line="240" w:lineRule="auto"/>
              <w:jc w:val="center"/>
            </w:pPr>
            <w:r/>
            <w:r>
              <w:rPr>
                <w:rFonts w:ascii="Calibri" w:hAnsi="Calibri"/>
                <w:b w:val="0"/>
                <w:sz w:val="14"/>
              </w:rPr>
              <w:t>Monthly</w:t>
            </w:r>
          </w:p>
        </w:tc>
        <w:tc>
          <w:tcPr>
            <w:tcW w:type="dxa" w:w="850"/>
          </w:tcPr>
          <w:p>
            <w:pPr>
              <w:spacing w:after="20" w:before="20" w:line="240" w:lineRule="auto"/>
              <w:jc w:val="center"/>
            </w:pPr>
            <w:r/>
            <w:r>
              <w:rPr>
                <w:rFonts w:ascii="Calibri" w:hAnsi="Calibri"/>
                <w:b w:val="0"/>
                <w:sz w:val="14"/>
              </w:rPr>
              <w:t>Procurement</w:t>
            </w:r>
          </w:p>
        </w:tc>
      </w:tr>
      <w:tr>
        <w:tc>
          <w:tcPr>
            <w:tcW w:type="dxa" w:w="680"/>
            <w:shd w:val="clear" w:fill="F7F9FB"/>
          </w:tcPr>
          <w:p>
            <w:pPr>
              <w:spacing w:after="20" w:before="20" w:line="240" w:lineRule="auto"/>
              <w:jc w:val="center"/>
            </w:pPr>
            <w:r/>
            <w:r>
              <w:rPr>
                <w:rFonts w:ascii="Calibri" w:hAnsi="Calibri"/>
                <w:b w:val="0"/>
                <w:sz w:val="14"/>
              </w:rPr>
              <w:t>D-04</w:t>
            </w:r>
          </w:p>
        </w:tc>
        <w:tc>
          <w:tcPr>
            <w:tcW w:type="dxa" w:w="2494"/>
            <w:shd w:val="clear" w:fill="F7F9FB"/>
          </w:tcPr>
          <w:p>
            <w:pPr>
              <w:spacing w:after="20" w:before="20" w:line="240" w:lineRule="auto"/>
            </w:pPr>
            <w:r/>
            <w:r>
              <w:rPr>
                <w:rFonts w:ascii="Calibri" w:hAnsi="Calibri"/>
                <w:b w:val="0"/>
                <w:sz w:val="14"/>
              </w:rPr>
              <w:t>Which projects consume the most value, and what share of total do they represent?</w:t>
            </w:r>
          </w:p>
        </w:tc>
        <w:tc>
          <w:tcPr>
            <w:tcW w:type="dxa" w:w="2154"/>
            <w:shd w:val="clear" w:fill="F7F9FB"/>
          </w:tcPr>
          <w:p>
            <w:pPr>
              <w:spacing w:after="20" w:before="20" w:line="240" w:lineRule="auto"/>
            </w:pPr>
            <w:r/>
            <w:r>
              <w:rPr>
                <w:rFonts w:ascii="Calibri" w:hAnsi="Calibri"/>
                <w:b w:val="0"/>
                <w:sz w:val="14"/>
              </w:rPr>
              <w:t>Focuses management attention where the money is.</w:t>
            </w:r>
          </w:p>
        </w:tc>
        <w:tc>
          <w:tcPr>
            <w:tcW w:type="dxa" w:w="1587"/>
            <w:shd w:val="clear" w:fill="F7F9FB"/>
          </w:tcPr>
          <w:p>
            <w:pPr>
              <w:spacing w:after="20" w:before="20" w:line="240" w:lineRule="auto"/>
            </w:pPr>
            <w:r/>
            <w:r>
              <w:rPr>
                <w:rFonts w:ascii="Calibri" w:hAnsi="Calibri"/>
                <w:b w:val="0"/>
                <w:sz w:val="14"/>
              </w:rPr>
              <w:t>Project, consumption value</w:t>
            </w:r>
          </w:p>
        </w:tc>
        <w:tc>
          <w:tcPr>
            <w:tcW w:type="dxa" w:w="1928"/>
            <w:shd w:val="clear" w:fill="F7F9FB"/>
          </w:tcPr>
          <w:p>
            <w:pPr>
              <w:spacing w:after="20" w:before="20" w:line="240" w:lineRule="auto"/>
            </w:pPr>
            <w:r/>
            <w:r>
              <w:rPr>
                <w:rFonts w:ascii="Calibri" w:hAnsi="Calibri"/>
                <w:b w:val="0"/>
                <w:sz w:val="14"/>
              </w:rPr>
              <w:t>Rank projects by consumption value, compute share</w:t>
            </w:r>
          </w:p>
        </w:tc>
        <w:tc>
          <w:tcPr>
            <w:tcW w:type="dxa" w:w="907"/>
            <w:shd w:val="clear" w:fill="F7F9FB"/>
          </w:tcPr>
          <w:p>
            <w:pPr>
              <w:spacing w:after="20" w:before="20" w:line="240" w:lineRule="auto"/>
            </w:pPr>
            <w:r/>
            <w:r>
              <w:rPr>
                <w:rFonts w:ascii="Calibri" w:hAnsi="Calibri"/>
                <w:b w:val="0"/>
                <w:sz w:val="14"/>
              </w:rPr>
              <w:t>Top 3 = attention</w:t>
            </w:r>
          </w:p>
        </w:tc>
        <w:tc>
          <w:tcPr>
            <w:tcW w:type="dxa" w:w="850"/>
            <w:shd w:val="clear" w:fill="F7F9FB"/>
          </w:tcPr>
          <w:p>
            <w:pPr>
              <w:spacing w:after="20" w:before="20" w:line="240" w:lineRule="auto"/>
              <w:jc w:val="center"/>
            </w:pPr>
            <w:r/>
            <w:r>
              <w:rPr>
                <w:rFonts w:ascii="Calibri" w:hAnsi="Calibri"/>
                <w:b w:val="0"/>
                <w:sz w:val="14"/>
              </w:rPr>
              <w:t>Monthly</w:t>
            </w:r>
          </w:p>
        </w:tc>
        <w:tc>
          <w:tcPr>
            <w:tcW w:type="dxa" w:w="850"/>
            <w:shd w:val="clear" w:fill="F7F9FB"/>
          </w:tcPr>
          <w:p>
            <w:pPr>
              <w:spacing w:after="20" w:before="20" w:line="240" w:lineRule="auto"/>
              <w:jc w:val="center"/>
            </w:pPr>
            <w:r/>
            <w:r>
              <w:rPr>
                <w:rFonts w:ascii="Calibri" w:hAnsi="Calibri"/>
                <w:b w:val="0"/>
                <w:sz w:val="14"/>
              </w:rPr>
              <w:t>Programme</w:t>
            </w:r>
          </w:p>
        </w:tc>
      </w:tr>
      <w:tr>
        <w:tc>
          <w:tcPr>
            <w:tcW w:type="dxa" w:w="680"/>
          </w:tcPr>
          <w:p>
            <w:pPr>
              <w:spacing w:after="20" w:before="20" w:line="240" w:lineRule="auto"/>
              <w:jc w:val="center"/>
            </w:pPr>
            <w:r/>
            <w:r>
              <w:rPr>
                <w:rFonts w:ascii="Calibri" w:hAnsi="Calibri"/>
                <w:b w:val="0"/>
                <w:sz w:val="14"/>
              </w:rPr>
              <w:t>D-05</w:t>
            </w:r>
          </w:p>
        </w:tc>
        <w:tc>
          <w:tcPr>
            <w:tcW w:type="dxa" w:w="2494"/>
          </w:tcPr>
          <w:p>
            <w:pPr>
              <w:spacing w:after="20" w:before="20" w:line="240" w:lineRule="auto"/>
            </w:pPr>
            <w:r/>
            <w:r>
              <w:rPr>
                <w:rFonts w:ascii="Calibri" w:hAnsi="Calibri"/>
                <w:b w:val="0"/>
                <w:sz w:val="14"/>
              </w:rPr>
              <w:t>Which products drive consumption, and how concentrated is the portfolio?</w:t>
            </w:r>
          </w:p>
        </w:tc>
        <w:tc>
          <w:tcPr>
            <w:tcW w:type="dxa" w:w="2154"/>
          </w:tcPr>
          <w:p>
            <w:pPr>
              <w:spacing w:after="20" w:before="20" w:line="240" w:lineRule="auto"/>
            </w:pPr>
            <w:r/>
            <w:r>
              <w:rPr>
                <w:rFonts w:ascii="Calibri" w:hAnsi="Calibri"/>
                <w:b w:val="0"/>
                <w:sz w:val="14"/>
              </w:rPr>
              <w:t>A small number of items usually carries most of the value — those are the ones to manage tightly.</w:t>
            </w:r>
          </w:p>
        </w:tc>
        <w:tc>
          <w:tcPr>
            <w:tcW w:type="dxa" w:w="1587"/>
          </w:tcPr>
          <w:p>
            <w:pPr>
              <w:spacing w:after="20" w:before="20" w:line="240" w:lineRule="auto"/>
            </w:pPr>
            <w:r/>
            <w:r>
              <w:rPr>
                <w:rFonts w:ascii="Calibri" w:hAnsi="Calibri"/>
                <w:b w:val="0"/>
                <w:sz w:val="14"/>
              </w:rPr>
              <w:t>Item, quantity, value</w:t>
            </w:r>
          </w:p>
        </w:tc>
        <w:tc>
          <w:tcPr>
            <w:tcW w:type="dxa" w:w="1928"/>
          </w:tcPr>
          <w:p>
            <w:pPr>
              <w:spacing w:after="20" w:before="20" w:line="240" w:lineRule="auto"/>
            </w:pPr>
            <w:r/>
            <w:r>
              <w:rPr>
                <w:rFonts w:ascii="Calibri" w:hAnsi="Calibri"/>
                <w:b w:val="0"/>
                <w:sz w:val="14"/>
              </w:rPr>
              <w:t>Rank items; compute top-10 share and items needed for 80% of value</w:t>
            </w:r>
          </w:p>
        </w:tc>
        <w:tc>
          <w:tcPr>
            <w:tcW w:type="dxa" w:w="907"/>
          </w:tcPr>
          <w:p>
            <w:pPr>
              <w:spacing w:after="20" w:before="20" w:line="240" w:lineRule="auto"/>
            </w:pPr>
            <w:r/>
            <w:r>
              <w:rPr>
                <w:rFonts w:ascii="Calibri" w:hAnsi="Calibri"/>
                <w:b w:val="0"/>
                <w:sz w:val="14"/>
              </w:rPr>
              <w:t>Top 10 &gt; 45% = concentrated</w:t>
            </w:r>
          </w:p>
        </w:tc>
        <w:tc>
          <w:tcPr>
            <w:tcW w:type="dxa" w:w="850"/>
          </w:tcPr>
          <w:p>
            <w:pPr>
              <w:spacing w:after="20" w:before="20" w:line="240" w:lineRule="auto"/>
              <w:jc w:val="center"/>
            </w:pPr>
            <w:r/>
            <w:r>
              <w:rPr>
                <w:rFonts w:ascii="Calibri" w:hAnsi="Calibri"/>
                <w:b w:val="0"/>
                <w:sz w:val="14"/>
              </w:rPr>
              <w:t>Monthly</w:t>
            </w:r>
          </w:p>
        </w:tc>
        <w:tc>
          <w:tcPr>
            <w:tcW w:type="dxa" w:w="850"/>
          </w:tcPr>
          <w:p>
            <w:pPr>
              <w:spacing w:after="20" w:before="20" w:line="240" w:lineRule="auto"/>
              <w:jc w:val="center"/>
            </w:pPr>
            <w:r/>
            <w:r>
              <w:rPr>
                <w:rFonts w:ascii="Calibri" w:hAnsi="Calibri"/>
                <w:b w:val="0"/>
                <w:sz w:val="14"/>
              </w:rPr>
              <w:t>Procurement</w:t>
            </w:r>
          </w:p>
        </w:tc>
      </w:tr>
      <w:tr>
        <w:tc>
          <w:tcPr>
            <w:tcW w:type="dxa" w:w="680"/>
            <w:shd w:val="clear" w:fill="F7F9FB"/>
          </w:tcPr>
          <w:p>
            <w:pPr>
              <w:spacing w:after="20" w:before="20" w:line="240" w:lineRule="auto"/>
              <w:jc w:val="center"/>
            </w:pPr>
            <w:r/>
            <w:r>
              <w:rPr>
                <w:rFonts w:ascii="Calibri" w:hAnsi="Calibri"/>
                <w:b w:val="0"/>
                <w:sz w:val="14"/>
              </w:rPr>
              <w:t>D-06</w:t>
            </w:r>
          </w:p>
        </w:tc>
        <w:tc>
          <w:tcPr>
            <w:tcW w:type="dxa" w:w="2494"/>
            <w:shd w:val="clear" w:fill="F7F9FB"/>
          </w:tcPr>
          <w:p>
            <w:pPr>
              <w:spacing w:after="20" w:before="20" w:line="240" w:lineRule="auto"/>
            </w:pPr>
            <w:r/>
            <w:r>
              <w:rPr>
                <w:rFonts w:ascii="Calibri" w:hAnsi="Calibri"/>
                <w:b w:val="0"/>
                <w:sz w:val="14"/>
              </w:rPr>
              <w:t>How is consumption split across product categories and sub-categories?</w:t>
            </w:r>
          </w:p>
        </w:tc>
        <w:tc>
          <w:tcPr>
            <w:tcW w:type="dxa" w:w="2154"/>
            <w:shd w:val="clear" w:fill="F7F9FB"/>
          </w:tcPr>
          <w:p>
            <w:pPr>
              <w:spacing w:after="20" w:before="20" w:line="240" w:lineRule="auto"/>
            </w:pPr>
            <w:r/>
            <w:r>
              <w:rPr>
                <w:rFonts w:ascii="Calibri" w:hAnsi="Calibri"/>
                <w:b w:val="0"/>
                <w:sz w:val="14"/>
              </w:rPr>
              <w:t>Category mix determines which suppliers and budgets matter most.</w:t>
            </w:r>
          </w:p>
        </w:tc>
        <w:tc>
          <w:tcPr>
            <w:tcW w:type="dxa" w:w="1587"/>
            <w:shd w:val="clear" w:fill="F7F9FB"/>
          </w:tcPr>
          <w:p>
            <w:pPr>
              <w:spacing w:after="20" w:before="20" w:line="240" w:lineRule="auto"/>
            </w:pPr>
            <w:r/>
            <w:r>
              <w:rPr>
                <w:rFonts w:ascii="Calibri" w:hAnsi="Calibri"/>
                <w:b w:val="0"/>
                <w:sz w:val="14"/>
              </w:rPr>
              <w:t>Item master category, consumption value</w:t>
            </w:r>
          </w:p>
        </w:tc>
        <w:tc>
          <w:tcPr>
            <w:tcW w:type="dxa" w:w="1928"/>
            <w:shd w:val="clear" w:fill="F7F9FB"/>
          </w:tcPr>
          <w:p>
            <w:pPr>
              <w:spacing w:after="20" w:before="20" w:line="240" w:lineRule="auto"/>
            </w:pPr>
            <w:r/>
            <w:r>
              <w:rPr>
                <w:rFonts w:ascii="Calibri" w:hAnsi="Calibri"/>
                <w:b w:val="0"/>
                <w:sz w:val="14"/>
              </w:rPr>
              <w:t>Group by category and month</w:t>
            </w:r>
          </w:p>
        </w:tc>
        <w:tc>
          <w:tcPr>
            <w:tcW w:type="dxa" w:w="907"/>
            <w:shd w:val="clear" w:fill="F7F9FB"/>
          </w:tcPr>
          <w:p>
            <w:pPr>
              <w:spacing w:after="20" w:before="20" w:line="240" w:lineRule="auto"/>
            </w:pPr>
            <w:r/>
            <w:r>
              <w:rPr>
                <w:rFonts w:ascii="Calibri" w:hAnsi="Calibri"/>
                <w:b w:val="0"/>
                <w:sz w:val="14"/>
              </w:rPr>
              <w:t>Report</w:t>
            </w:r>
          </w:p>
        </w:tc>
        <w:tc>
          <w:tcPr>
            <w:tcW w:type="dxa" w:w="850"/>
            <w:shd w:val="clear" w:fill="F7F9FB"/>
          </w:tcPr>
          <w:p>
            <w:pPr>
              <w:spacing w:after="20" w:before="20" w:line="240" w:lineRule="auto"/>
              <w:jc w:val="center"/>
            </w:pPr>
            <w:r/>
            <w:r>
              <w:rPr>
                <w:rFonts w:ascii="Calibri" w:hAnsi="Calibri"/>
                <w:b w:val="0"/>
                <w:sz w:val="14"/>
              </w:rPr>
              <w:t>Monthly</w:t>
            </w:r>
          </w:p>
        </w:tc>
        <w:tc>
          <w:tcPr>
            <w:tcW w:type="dxa" w:w="850"/>
            <w:shd w:val="clear" w:fill="F7F9FB"/>
          </w:tcPr>
          <w:p>
            <w:pPr>
              <w:spacing w:after="20" w:before="20" w:line="240" w:lineRule="auto"/>
              <w:jc w:val="center"/>
            </w:pPr>
            <w:r/>
            <w:r>
              <w:rPr>
                <w:rFonts w:ascii="Calibri" w:hAnsi="Calibri"/>
                <w:b w:val="0"/>
                <w:sz w:val="14"/>
              </w:rPr>
              <w:t>Procurement</w:t>
            </w:r>
          </w:p>
        </w:tc>
      </w:tr>
      <w:tr>
        <w:tc>
          <w:tcPr>
            <w:tcW w:type="dxa" w:w="680"/>
          </w:tcPr>
          <w:p>
            <w:pPr>
              <w:spacing w:after="20" w:before="20" w:line="240" w:lineRule="auto"/>
              <w:jc w:val="center"/>
            </w:pPr>
            <w:r/>
            <w:r>
              <w:rPr>
                <w:rFonts w:ascii="Calibri" w:hAnsi="Calibri"/>
                <w:b w:val="0"/>
                <w:sz w:val="14"/>
              </w:rPr>
              <w:t>D-07</w:t>
            </w:r>
          </w:p>
        </w:tc>
        <w:tc>
          <w:tcPr>
            <w:tcW w:type="dxa" w:w="2494"/>
          </w:tcPr>
          <w:p>
            <w:pPr>
              <w:spacing w:after="20" w:before="20" w:line="240" w:lineRule="auto"/>
            </w:pPr>
            <w:r/>
            <w:r>
              <w:rPr>
                <w:rFonts w:ascii="Calibri" w:hAnsi="Calibri"/>
                <w:b w:val="0"/>
                <w:sz w:val="14"/>
              </w:rPr>
              <w:t>What is the month-on-month trend of consumption value and quantity?</w:t>
            </w:r>
          </w:p>
        </w:tc>
        <w:tc>
          <w:tcPr>
            <w:tcW w:type="dxa" w:w="2154"/>
          </w:tcPr>
          <w:p>
            <w:pPr>
              <w:spacing w:after="20" w:before="20" w:line="240" w:lineRule="auto"/>
            </w:pPr>
            <w:r/>
            <w:r>
              <w:rPr>
                <w:rFonts w:ascii="Calibri" w:hAnsi="Calibri"/>
                <w:b w:val="0"/>
                <w:sz w:val="14"/>
              </w:rPr>
              <w:t>Separates real growth from price-driven movement.</w:t>
            </w:r>
          </w:p>
        </w:tc>
        <w:tc>
          <w:tcPr>
            <w:tcW w:type="dxa" w:w="1587"/>
          </w:tcPr>
          <w:p>
            <w:pPr>
              <w:spacing w:after="20" w:before="20" w:line="240" w:lineRule="auto"/>
            </w:pPr>
            <w:r/>
            <w:r>
              <w:rPr>
                <w:rFonts w:ascii="Calibri" w:hAnsi="Calibri"/>
                <w:b w:val="0"/>
                <w:sz w:val="14"/>
              </w:rPr>
              <w:t>Monthly consumption value, quantity</w:t>
            </w:r>
          </w:p>
        </w:tc>
        <w:tc>
          <w:tcPr>
            <w:tcW w:type="dxa" w:w="1928"/>
          </w:tcPr>
          <w:p>
            <w:pPr>
              <w:spacing w:after="20" w:before="20" w:line="240" w:lineRule="auto"/>
            </w:pPr>
            <w:r/>
            <w:r>
              <w:rPr>
                <w:rFonts w:ascii="Calibri" w:hAnsi="Calibri"/>
                <w:b w:val="0"/>
                <w:sz w:val="14"/>
              </w:rPr>
              <w:t>Line chart of value and quantity; growth %</w:t>
            </w:r>
          </w:p>
        </w:tc>
        <w:tc>
          <w:tcPr>
            <w:tcW w:type="dxa" w:w="907"/>
          </w:tcPr>
          <w:p>
            <w:pPr>
              <w:spacing w:after="20" w:before="20" w:line="240" w:lineRule="auto"/>
            </w:pPr>
            <w:r/>
            <w:r>
              <w:rPr>
                <w:rFonts w:ascii="Calibri" w:hAnsi="Calibri"/>
                <w:b w:val="0"/>
                <w:sz w:val="14"/>
              </w:rPr>
              <w:t>±20% MoM</w:t>
            </w:r>
          </w:p>
        </w:tc>
        <w:tc>
          <w:tcPr>
            <w:tcW w:type="dxa" w:w="850"/>
          </w:tcPr>
          <w:p>
            <w:pPr>
              <w:spacing w:after="20" w:before="20" w:line="240" w:lineRule="auto"/>
              <w:jc w:val="center"/>
            </w:pPr>
            <w:r/>
            <w:r>
              <w:rPr>
                <w:rFonts w:ascii="Calibri" w:hAnsi="Calibri"/>
                <w:b w:val="0"/>
                <w:sz w:val="14"/>
              </w:rPr>
              <w:t>Monthly</w:t>
            </w:r>
          </w:p>
        </w:tc>
        <w:tc>
          <w:tcPr>
            <w:tcW w:type="dxa" w:w="850"/>
          </w:tcPr>
          <w:p>
            <w:pPr>
              <w:spacing w:after="20" w:before="20" w:line="240" w:lineRule="auto"/>
              <w:jc w:val="center"/>
            </w:pPr>
            <w:r/>
            <w:r>
              <w:rPr>
                <w:rFonts w:ascii="Calibri" w:hAnsi="Calibri"/>
                <w:b w:val="0"/>
                <w:sz w:val="14"/>
              </w:rPr>
              <w:t>Procurement</w:t>
            </w:r>
          </w:p>
        </w:tc>
      </w:tr>
      <w:tr>
        <w:tc>
          <w:tcPr>
            <w:tcW w:type="dxa" w:w="680"/>
            <w:shd w:val="clear" w:fill="F7F9FB"/>
          </w:tcPr>
          <w:p>
            <w:pPr>
              <w:spacing w:after="20" w:before="20" w:line="240" w:lineRule="auto"/>
              <w:jc w:val="center"/>
            </w:pPr>
            <w:r/>
            <w:r>
              <w:rPr>
                <w:rFonts w:ascii="Calibri" w:hAnsi="Calibri"/>
                <w:b w:val="0"/>
                <w:sz w:val="14"/>
              </w:rPr>
              <w:t>D-08</w:t>
            </w:r>
          </w:p>
        </w:tc>
        <w:tc>
          <w:tcPr>
            <w:tcW w:type="dxa" w:w="2494"/>
            <w:shd w:val="clear" w:fill="F7F9FB"/>
          </w:tcPr>
          <w:p>
            <w:pPr>
              <w:spacing w:after="20" w:before="20" w:line="240" w:lineRule="auto"/>
            </w:pPr>
            <w:r/>
            <w:r>
              <w:rPr>
                <w:rFonts w:ascii="Calibri" w:hAnsi="Calibri"/>
                <w:b w:val="0"/>
                <w:sz w:val="14"/>
              </w:rPr>
              <w:t>How does consumption compare with the same period last year and the prior financial year?</w:t>
            </w:r>
          </w:p>
        </w:tc>
        <w:tc>
          <w:tcPr>
            <w:tcW w:type="dxa" w:w="2154"/>
            <w:shd w:val="clear" w:fill="F7F9FB"/>
          </w:tcPr>
          <w:p>
            <w:pPr>
              <w:spacing w:after="20" w:before="20" w:line="240" w:lineRule="auto"/>
            </w:pPr>
            <w:r/>
            <w:r>
              <w:rPr>
                <w:rFonts w:ascii="Calibri" w:hAnsi="Calibri"/>
                <w:b w:val="0"/>
                <w:sz w:val="14"/>
              </w:rPr>
              <w:t>Places the current position in context beyond month-to-month noise.</w:t>
            </w:r>
          </w:p>
        </w:tc>
        <w:tc>
          <w:tcPr>
            <w:tcW w:type="dxa" w:w="1587"/>
            <w:shd w:val="clear" w:fill="F7F9FB"/>
          </w:tcPr>
          <w:p>
            <w:pPr>
              <w:spacing w:after="20" w:before="20" w:line="240" w:lineRule="auto"/>
            </w:pPr>
            <w:r/>
            <w:r>
              <w:rPr>
                <w:rFonts w:ascii="Calibri" w:hAnsi="Calibri"/>
                <w:b w:val="0"/>
                <w:sz w:val="14"/>
              </w:rPr>
              <w:t>Consumption by fiscal year and month</w:t>
            </w:r>
          </w:p>
        </w:tc>
        <w:tc>
          <w:tcPr>
            <w:tcW w:type="dxa" w:w="1928"/>
            <w:shd w:val="clear" w:fill="F7F9FB"/>
          </w:tcPr>
          <w:p>
            <w:pPr>
              <w:spacing w:after="20" w:before="20" w:line="240" w:lineRule="auto"/>
            </w:pPr>
            <w:r/>
            <w:r>
              <w:rPr>
                <w:rFonts w:ascii="Calibri" w:hAnsi="Calibri"/>
                <w:b w:val="0"/>
                <w:sz w:val="14"/>
              </w:rPr>
              <w:t>Year-on-year and fiscal-year comparison</w:t>
            </w:r>
          </w:p>
        </w:tc>
        <w:tc>
          <w:tcPr>
            <w:tcW w:type="dxa" w:w="907"/>
            <w:shd w:val="clear" w:fill="F7F9FB"/>
          </w:tcPr>
          <w:p>
            <w:pPr>
              <w:spacing w:after="20" w:before="20" w:line="240" w:lineRule="auto"/>
            </w:pPr>
            <w:r/>
            <w:r>
              <w:rPr>
                <w:rFonts w:ascii="Calibri" w:hAnsi="Calibri"/>
                <w:b w:val="0"/>
                <w:sz w:val="14"/>
              </w:rPr>
              <w:t>±10%</w:t>
            </w:r>
          </w:p>
        </w:tc>
        <w:tc>
          <w:tcPr>
            <w:tcW w:type="dxa" w:w="850"/>
            <w:shd w:val="clear" w:fill="F7F9FB"/>
          </w:tcPr>
          <w:p>
            <w:pPr>
              <w:spacing w:after="20" w:before="20" w:line="240" w:lineRule="auto"/>
              <w:jc w:val="center"/>
            </w:pPr>
            <w:r/>
            <w:r>
              <w:rPr>
                <w:rFonts w:ascii="Calibri" w:hAnsi="Calibri"/>
                <w:b w:val="0"/>
                <w:sz w:val="14"/>
              </w:rPr>
              <w:t>Monthly</w:t>
            </w:r>
          </w:p>
        </w:tc>
        <w:tc>
          <w:tcPr>
            <w:tcW w:type="dxa" w:w="850"/>
            <w:shd w:val="clear" w:fill="F7F9FB"/>
          </w:tcPr>
          <w:p>
            <w:pPr>
              <w:spacing w:after="20" w:before="20" w:line="240" w:lineRule="auto"/>
              <w:jc w:val="center"/>
            </w:pPr>
            <w:r/>
            <w:r>
              <w:rPr>
                <w:rFonts w:ascii="Calibri" w:hAnsi="Calibri"/>
                <w:b w:val="0"/>
                <w:sz w:val="14"/>
              </w:rPr>
              <w:t>Finance</w:t>
            </w:r>
          </w:p>
        </w:tc>
      </w:tr>
      <w:tr>
        <w:tc>
          <w:tcPr>
            <w:tcW w:type="dxa" w:w="680"/>
          </w:tcPr>
          <w:p>
            <w:pPr>
              <w:spacing w:after="20" w:before="20" w:line="240" w:lineRule="auto"/>
              <w:jc w:val="center"/>
            </w:pPr>
            <w:r/>
            <w:r>
              <w:rPr>
                <w:rFonts w:ascii="Calibri" w:hAnsi="Calibri"/>
                <w:b w:val="0"/>
                <w:sz w:val="14"/>
              </w:rPr>
              <w:t>D-09</w:t>
            </w:r>
          </w:p>
        </w:tc>
        <w:tc>
          <w:tcPr>
            <w:tcW w:type="dxa" w:w="2494"/>
          </w:tcPr>
          <w:p>
            <w:pPr>
              <w:spacing w:after="20" w:before="20" w:line="240" w:lineRule="auto"/>
            </w:pPr>
            <w:r/>
            <w:r>
              <w:rPr>
                <w:rFonts w:ascii="Calibri" w:hAnsi="Calibri"/>
                <w:b w:val="0"/>
                <w:sz w:val="14"/>
              </w:rPr>
              <w:t>Is there a seasonal pattern in consumption? Which months are structurally high?</w:t>
            </w:r>
          </w:p>
        </w:tc>
        <w:tc>
          <w:tcPr>
            <w:tcW w:type="dxa" w:w="2154"/>
          </w:tcPr>
          <w:p>
            <w:pPr>
              <w:spacing w:after="20" w:before="20" w:line="240" w:lineRule="auto"/>
            </w:pPr>
            <w:r/>
            <w:r>
              <w:rPr>
                <w:rFonts w:ascii="Calibri" w:hAnsi="Calibri"/>
                <w:b w:val="0"/>
                <w:sz w:val="14"/>
              </w:rPr>
              <w:t>Seasonality must be built into procurement timing, not discovered each year.</w:t>
            </w:r>
          </w:p>
        </w:tc>
        <w:tc>
          <w:tcPr>
            <w:tcW w:type="dxa" w:w="1587"/>
          </w:tcPr>
          <w:p>
            <w:pPr>
              <w:spacing w:after="20" w:before="20" w:line="240" w:lineRule="auto"/>
            </w:pPr>
            <w:r/>
            <w:r>
              <w:rPr>
                <w:rFonts w:ascii="Calibri" w:hAnsi="Calibri"/>
                <w:b w:val="0"/>
                <w:sz w:val="14"/>
              </w:rPr>
              <w:t>Monthly consumption by calendar month across years</w:t>
            </w:r>
          </w:p>
        </w:tc>
        <w:tc>
          <w:tcPr>
            <w:tcW w:type="dxa" w:w="1928"/>
          </w:tcPr>
          <w:p>
            <w:pPr>
              <w:spacing w:after="20" w:before="20" w:line="240" w:lineRule="auto"/>
            </w:pPr>
            <w:r/>
            <w:r>
              <w:rPr>
                <w:rFonts w:ascii="Calibri" w:hAnsi="Calibri"/>
                <w:b w:val="0"/>
                <w:sz w:val="14"/>
              </w:rPr>
              <w:t>Average consumption per calendar month; index against annual average</w:t>
            </w:r>
          </w:p>
        </w:tc>
        <w:tc>
          <w:tcPr>
            <w:tcW w:type="dxa" w:w="907"/>
          </w:tcPr>
          <w:p>
            <w:pPr>
              <w:spacing w:after="20" w:before="20" w:line="240" w:lineRule="auto"/>
            </w:pPr>
            <w:r/>
            <w:r>
              <w:rPr>
                <w:rFonts w:ascii="Calibri" w:hAnsi="Calibri"/>
                <w:b w:val="0"/>
                <w:sz w:val="14"/>
              </w:rPr>
              <w:t>Index &gt; 1.10</w:t>
            </w:r>
          </w:p>
        </w:tc>
        <w:tc>
          <w:tcPr>
            <w:tcW w:type="dxa" w:w="850"/>
          </w:tcPr>
          <w:p>
            <w:pPr>
              <w:spacing w:after="20" w:before="20" w:line="240" w:lineRule="auto"/>
              <w:jc w:val="center"/>
            </w:pPr>
            <w:r/>
            <w:r>
              <w:rPr>
                <w:rFonts w:ascii="Calibri" w:hAnsi="Calibri"/>
                <w:b w:val="0"/>
                <w:sz w:val="14"/>
              </w:rPr>
              <w:t>Quarterly</w:t>
            </w:r>
          </w:p>
        </w:tc>
        <w:tc>
          <w:tcPr>
            <w:tcW w:type="dxa" w:w="850"/>
          </w:tcPr>
          <w:p>
            <w:pPr>
              <w:spacing w:after="20" w:before="20" w:line="240" w:lineRule="auto"/>
              <w:jc w:val="center"/>
            </w:pPr>
            <w:r/>
            <w:r>
              <w:rPr>
                <w:rFonts w:ascii="Calibri" w:hAnsi="Calibri"/>
                <w:b w:val="0"/>
                <w:sz w:val="14"/>
              </w:rPr>
              <w:t>Programme</w:t>
            </w:r>
          </w:p>
        </w:tc>
      </w:tr>
      <w:tr>
        <w:tc>
          <w:tcPr>
            <w:tcW w:type="dxa" w:w="680"/>
            <w:shd w:val="clear" w:fill="F7F9FB"/>
          </w:tcPr>
          <w:p>
            <w:pPr>
              <w:spacing w:after="20" w:before="20" w:line="240" w:lineRule="auto"/>
              <w:jc w:val="center"/>
            </w:pPr>
            <w:r/>
            <w:r>
              <w:rPr>
                <w:rFonts w:ascii="Calibri" w:hAnsi="Calibri"/>
                <w:b w:val="0"/>
                <w:sz w:val="14"/>
              </w:rPr>
              <w:t>D-10</w:t>
            </w:r>
          </w:p>
        </w:tc>
        <w:tc>
          <w:tcPr>
            <w:tcW w:type="dxa" w:w="2494"/>
            <w:shd w:val="clear" w:fill="F7F9FB"/>
          </w:tcPr>
          <w:p>
            <w:pPr>
              <w:spacing w:after="20" w:before="20" w:line="240" w:lineRule="auto"/>
            </w:pPr>
            <w:r/>
            <w:r>
              <w:rPr>
                <w:rFonts w:ascii="Calibri" w:hAnsi="Calibri"/>
                <w:b w:val="0"/>
                <w:sz w:val="14"/>
              </w:rPr>
              <w:t>How much consumption is charged to each service point or department?</w:t>
            </w:r>
          </w:p>
        </w:tc>
        <w:tc>
          <w:tcPr>
            <w:tcW w:type="dxa" w:w="2154"/>
            <w:shd w:val="clear" w:fill="F7F9FB"/>
          </w:tcPr>
          <w:p>
            <w:pPr>
              <w:spacing w:after="20" w:before="20" w:line="240" w:lineRule="auto"/>
            </w:pPr>
            <w:r/>
            <w:r>
              <w:rPr>
                <w:rFonts w:ascii="Calibri" w:hAnsi="Calibri"/>
                <w:b w:val="0"/>
                <w:sz w:val="14"/>
              </w:rPr>
              <w:t>Pinpoints where, inside a facility, consumption is generated.</w:t>
            </w:r>
          </w:p>
        </w:tc>
        <w:tc>
          <w:tcPr>
            <w:tcW w:type="dxa" w:w="1587"/>
            <w:shd w:val="clear" w:fill="F7F9FB"/>
          </w:tcPr>
          <w:p>
            <w:pPr>
              <w:spacing w:after="20" w:before="20" w:line="240" w:lineRule="auto"/>
            </w:pPr>
            <w:r/>
            <w:r>
              <w:rPr>
                <w:rFonts w:ascii="Calibri" w:hAnsi="Calibri"/>
                <w:b w:val="0"/>
                <w:sz w:val="14"/>
              </w:rPr>
              <w:t>Service point, consumption value</w:t>
            </w:r>
          </w:p>
        </w:tc>
        <w:tc>
          <w:tcPr>
            <w:tcW w:type="dxa" w:w="1928"/>
            <w:shd w:val="clear" w:fill="F7F9FB"/>
          </w:tcPr>
          <w:p>
            <w:pPr>
              <w:spacing w:after="20" w:before="20" w:line="240" w:lineRule="auto"/>
            </w:pPr>
            <w:r/>
            <w:r>
              <w:rPr>
                <w:rFonts w:ascii="Calibri" w:hAnsi="Calibri"/>
                <w:b w:val="0"/>
                <w:sz w:val="14"/>
              </w:rPr>
              <w:t>Group by service point within project</w:t>
            </w:r>
          </w:p>
        </w:tc>
        <w:tc>
          <w:tcPr>
            <w:tcW w:type="dxa" w:w="907"/>
            <w:shd w:val="clear" w:fill="F7F9FB"/>
          </w:tcPr>
          <w:p>
            <w:pPr>
              <w:spacing w:after="20" w:before="20" w:line="240" w:lineRule="auto"/>
            </w:pPr>
            <w:r/>
            <w:r>
              <w:rPr>
                <w:rFonts w:ascii="Calibri" w:hAnsi="Calibri"/>
                <w:b w:val="0"/>
                <w:sz w:val="14"/>
              </w:rPr>
              <w:t>Report</w:t>
            </w:r>
          </w:p>
        </w:tc>
        <w:tc>
          <w:tcPr>
            <w:tcW w:type="dxa" w:w="850"/>
            <w:shd w:val="clear" w:fill="F7F9FB"/>
          </w:tcPr>
          <w:p>
            <w:pPr>
              <w:spacing w:after="20" w:before="20" w:line="240" w:lineRule="auto"/>
              <w:jc w:val="center"/>
            </w:pPr>
            <w:r/>
            <w:r>
              <w:rPr>
                <w:rFonts w:ascii="Calibri" w:hAnsi="Calibri"/>
                <w:b w:val="0"/>
                <w:sz w:val="14"/>
              </w:rPr>
              <w:t>Monthly</w:t>
            </w:r>
          </w:p>
        </w:tc>
        <w:tc>
          <w:tcPr>
            <w:tcW w:type="dxa" w:w="850"/>
            <w:shd w:val="clear" w:fill="F7F9FB"/>
          </w:tcPr>
          <w:p>
            <w:pPr>
              <w:spacing w:after="20" w:before="20" w:line="240" w:lineRule="auto"/>
              <w:jc w:val="center"/>
            </w:pPr>
            <w:r/>
            <w:r>
              <w:rPr>
                <w:rFonts w:ascii="Calibri" w:hAnsi="Calibri"/>
                <w:b w:val="0"/>
                <w:sz w:val="14"/>
              </w:rPr>
              <w:t>Project manager</w:t>
            </w:r>
          </w:p>
        </w:tc>
      </w:tr>
      <w:tr>
        <w:tc>
          <w:tcPr>
            <w:tcW w:type="dxa" w:w="680"/>
          </w:tcPr>
          <w:p>
            <w:pPr>
              <w:spacing w:after="20" w:before="20" w:line="240" w:lineRule="auto"/>
              <w:jc w:val="center"/>
            </w:pPr>
            <w:r/>
            <w:r>
              <w:rPr>
                <w:rFonts w:ascii="Calibri" w:hAnsi="Calibri"/>
                <w:b w:val="0"/>
                <w:sz w:val="14"/>
              </w:rPr>
              <w:t>D-11</w:t>
            </w:r>
          </w:p>
        </w:tc>
        <w:tc>
          <w:tcPr>
            <w:tcW w:type="dxa" w:w="2494"/>
          </w:tcPr>
          <w:p>
            <w:pPr>
              <w:spacing w:after="20" w:before="20" w:line="240" w:lineRule="auto"/>
            </w:pPr>
            <w:r/>
            <w:r>
              <w:rPr>
                <w:rFonts w:ascii="Calibri" w:hAnsi="Calibri"/>
                <w:b w:val="0"/>
                <w:sz w:val="14"/>
              </w:rPr>
              <w:t>What is the value of stock on hand, by item and by warehouse, at the report date?</w:t>
            </w:r>
          </w:p>
        </w:tc>
        <w:tc>
          <w:tcPr>
            <w:tcW w:type="dxa" w:w="2154"/>
          </w:tcPr>
          <w:p>
            <w:pPr>
              <w:spacing w:after="20" w:before="20" w:line="240" w:lineRule="auto"/>
            </w:pPr>
            <w:r/>
            <w:r>
              <w:rPr>
                <w:rFonts w:ascii="Calibri" w:hAnsi="Calibri"/>
                <w:b w:val="0"/>
                <w:sz w:val="14"/>
              </w:rPr>
              <w:t>Stock is cash that has already been spent; its size and location matter.</w:t>
            </w:r>
          </w:p>
        </w:tc>
        <w:tc>
          <w:tcPr>
            <w:tcW w:type="dxa" w:w="1587"/>
          </w:tcPr>
          <w:p>
            <w:pPr>
              <w:spacing w:after="20" w:before="20" w:line="240" w:lineRule="auto"/>
            </w:pPr>
            <w:r/>
            <w:r>
              <w:rPr>
                <w:rFonts w:ascii="Calibri" w:hAnsi="Calibri"/>
                <w:b w:val="0"/>
                <w:sz w:val="14"/>
              </w:rPr>
              <w:t>GRN quantities, issue quantities, batch cost</w:t>
            </w:r>
          </w:p>
        </w:tc>
        <w:tc>
          <w:tcPr>
            <w:tcW w:type="dxa" w:w="1928"/>
          </w:tcPr>
          <w:p>
            <w:pPr>
              <w:spacing w:after="20" w:before="20" w:line="240" w:lineRule="auto"/>
            </w:pPr>
            <w:r/>
            <w:r>
              <w:rPr>
                <w:rFonts w:ascii="Calibri" w:hAnsi="Calibri"/>
                <w:b w:val="0"/>
                <w:sz w:val="14"/>
              </w:rPr>
              <w:t>Opening + receipts − issues, valued at batch cost</w:t>
            </w:r>
          </w:p>
        </w:tc>
        <w:tc>
          <w:tcPr>
            <w:tcW w:type="dxa" w:w="907"/>
          </w:tcPr>
          <w:p>
            <w:pPr>
              <w:spacing w:after="20" w:before="20" w:line="240" w:lineRule="auto"/>
            </w:pPr>
            <w:r/>
            <w:r>
              <w:rPr>
                <w:rFonts w:ascii="Calibri" w:hAnsi="Calibri"/>
                <w:b w:val="0"/>
                <w:sz w:val="14"/>
              </w:rPr>
              <w:t>Report</w:t>
            </w:r>
          </w:p>
        </w:tc>
        <w:tc>
          <w:tcPr>
            <w:tcW w:type="dxa" w:w="850"/>
          </w:tcPr>
          <w:p>
            <w:pPr>
              <w:spacing w:after="20" w:before="20" w:line="240" w:lineRule="auto"/>
              <w:jc w:val="center"/>
            </w:pPr>
            <w:r/>
            <w:r>
              <w:rPr>
                <w:rFonts w:ascii="Calibri" w:hAnsi="Calibri"/>
                <w:b w:val="0"/>
                <w:sz w:val="14"/>
              </w:rPr>
              <w:t>Weekly</w:t>
            </w:r>
          </w:p>
        </w:tc>
        <w:tc>
          <w:tcPr>
            <w:tcW w:type="dxa" w:w="850"/>
          </w:tcPr>
          <w:p>
            <w:pPr>
              <w:spacing w:after="20" w:before="20" w:line="240" w:lineRule="auto"/>
              <w:jc w:val="center"/>
            </w:pPr>
            <w:r/>
            <w:r>
              <w:rPr>
                <w:rFonts w:ascii="Calibri" w:hAnsi="Calibri"/>
                <w:b w:val="0"/>
                <w:sz w:val="14"/>
              </w:rPr>
              <w:t>Stores</w:t>
            </w:r>
          </w:p>
        </w:tc>
      </w:tr>
      <w:tr>
        <w:tc>
          <w:tcPr>
            <w:tcW w:type="dxa" w:w="680"/>
            <w:shd w:val="clear" w:fill="F7F9FB"/>
          </w:tcPr>
          <w:p>
            <w:pPr>
              <w:spacing w:after="20" w:before="20" w:line="240" w:lineRule="auto"/>
              <w:jc w:val="center"/>
            </w:pPr>
            <w:r/>
            <w:r>
              <w:rPr>
                <w:rFonts w:ascii="Calibri" w:hAnsi="Calibri"/>
                <w:b w:val="0"/>
                <w:sz w:val="14"/>
              </w:rPr>
              <w:t>D-12</w:t>
            </w:r>
          </w:p>
        </w:tc>
        <w:tc>
          <w:tcPr>
            <w:tcW w:type="dxa" w:w="2494"/>
            <w:shd w:val="clear" w:fill="F7F9FB"/>
          </w:tcPr>
          <w:p>
            <w:pPr>
              <w:spacing w:after="20" w:before="20" w:line="240" w:lineRule="auto"/>
            </w:pPr>
            <w:r/>
            <w:r>
              <w:rPr>
                <w:rFonts w:ascii="Calibri" w:hAnsi="Calibri"/>
                <w:b w:val="0"/>
                <w:sz w:val="14"/>
              </w:rPr>
              <w:t>How many days of cover does each item have, and which items are critical?</w:t>
            </w:r>
          </w:p>
        </w:tc>
        <w:tc>
          <w:tcPr>
            <w:tcW w:type="dxa" w:w="2154"/>
            <w:shd w:val="clear" w:fill="F7F9FB"/>
          </w:tcPr>
          <w:p>
            <w:pPr>
              <w:spacing w:after="20" w:before="20" w:line="240" w:lineRule="auto"/>
            </w:pPr>
            <w:r/>
            <w:r>
              <w:rPr>
                <w:rFonts w:ascii="Calibri" w:hAnsi="Calibri"/>
                <w:b w:val="0"/>
                <w:sz w:val="14"/>
              </w:rPr>
              <w:t>Converts stock into time — the language of supply risk.</w:t>
            </w:r>
          </w:p>
        </w:tc>
        <w:tc>
          <w:tcPr>
            <w:tcW w:type="dxa" w:w="1587"/>
            <w:shd w:val="clear" w:fill="F7F9FB"/>
          </w:tcPr>
          <w:p>
            <w:pPr>
              <w:spacing w:after="20" w:before="20" w:line="240" w:lineRule="auto"/>
            </w:pPr>
            <w:r/>
            <w:r>
              <w:rPr>
                <w:rFonts w:ascii="Calibri" w:hAnsi="Calibri"/>
                <w:b w:val="0"/>
                <w:sz w:val="14"/>
              </w:rPr>
              <w:t>Stock on hand, consumption last 90 days</w:t>
            </w:r>
          </w:p>
        </w:tc>
        <w:tc>
          <w:tcPr>
            <w:tcW w:type="dxa" w:w="1928"/>
            <w:shd w:val="clear" w:fill="F7F9FB"/>
          </w:tcPr>
          <w:p>
            <w:pPr>
              <w:spacing w:after="20" w:before="20" w:line="240" w:lineRule="auto"/>
            </w:pPr>
            <w:r/>
            <w:r>
              <w:rPr>
                <w:rFonts w:ascii="Calibri" w:hAnsi="Calibri"/>
                <w:b w:val="0"/>
                <w:sz w:val="14"/>
              </w:rPr>
              <w:t>On hand ÷ average daily consumption</w:t>
            </w:r>
          </w:p>
        </w:tc>
        <w:tc>
          <w:tcPr>
            <w:tcW w:type="dxa" w:w="907"/>
            <w:shd w:val="clear" w:fill="F7F9FB"/>
          </w:tcPr>
          <w:p>
            <w:pPr>
              <w:spacing w:after="20" w:before="20" w:line="240" w:lineRule="auto"/>
            </w:pPr>
            <w:r/>
            <w:r>
              <w:rPr>
                <w:rFonts w:ascii="Calibri" w:hAnsi="Calibri"/>
                <w:b w:val="0"/>
                <w:sz w:val="14"/>
              </w:rPr>
              <w:t>P-05, P-06, P-07</w:t>
            </w:r>
          </w:p>
        </w:tc>
        <w:tc>
          <w:tcPr>
            <w:tcW w:type="dxa" w:w="850"/>
            <w:shd w:val="clear" w:fill="F7F9FB"/>
          </w:tcPr>
          <w:p>
            <w:pPr>
              <w:spacing w:after="20" w:before="20" w:line="240" w:lineRule="auto"/>
              <w:jc w:val="center"/>
            </w:pPr>
            <w:r/>
            <w:r>
              <w:rPr>
                <w:rFonts w:ascii="Calibri" w:hAnsi="Calibri"/>
                <w:b w:val="0"/>
                <w:sz w:val="14"/>
              </w:rPr>
              <w:t>Weekly</w:t>
            </w:r>
          </w:p>
        </w:tc>
        <w:tc>
          <w:tcPr>
            <w:tcW w:type="dxa" w:w="850"/>
            <w:shd w:val="clear" w:fill="F7F9FB"/>
          </w:tcPr>
          <w:p>
            <w:pPr>
              <w:spacing w:after="20" w:before="20" w:line="240" w:lineRule="auto"/>
              <w:jc w:val="center"/>
            </w:pPr>
            <w:r/>
            <w:r>
              <w:rPr>
                <w:rFonts w:ascii="Calibri" w:hAnsi="Calibri"/>
                <w:b w:val="0"/>
                <w:sz w:val="14"/>
              </w:rPr>
              <w:t>Stores</w:t>
            </w:r>
          </w:p>
        </w:tc>
      </w:tr>
      <w:tr>
        <w:tc>
          <w:tcPr>
            <w:tcW w:type="dxa" w:w="680"/>
          </w:tcPr>
          <w:p>
            <w:pPr>
              <w:spacing w:after="20" w:before="20" w:line="240" w:lineRule="auto"/>
              <w:jc w:val="center"/>
            </w:pPr>
            <w:r/>
            <w:r>
              <w:rPr>
                <w:rFonts w:ascii="Calibri" w:hAnsi="Calibri"/>
                <w:b w:val="0"/>
                <w:sz w:val="14"/>
              </w:rPr>
              <w:t>D-13</w:t>
            </w:r>
          </w:p>
        </w:tc>
        <w:tc>
          <w:tcPr>
            <w:tcW w:type="dxa" w:w="2494"/>
          </w:tcPr>
          <w:p>
            <w:pPr>
              <w:spacing w:after="20" w:before="20" w:line="240" w:lineRule="auto"/>
            </w:pPr>
            <w:r/>
            <w:r>
              <w:rPr>
                <w:rFonts w:ascii="Calibri" w:hAnsi="Calibri"/>
                <w:b w:val="0"/>
                <w:sz w:val="14"/>
              </w:rPr>
              <w:t>What stock is near expiry or already expired, and of what value?</w:t>
            </w:r>
          </w:p>
        </w:tc>
        <w:tc>
          <w:tcPr>
            <w:tcW w:type="dxa" w:w="2154"/>
          </w:tcPr>
          <w:p>
            <w:pPr>
              <w:spacing w:after="20" w:before="20" w:line="240" w:lineRule="auto"/>
            </w:pPr>
            <w:r/>
            <w:r>
              <w:rPr>
                <w:rFonts w:ascii="Calibri" w:hAnsi="Calibri"/>
                <w:b w:val="0"/>
                <w:sz w:val="14"/>
              </w:rPr>
              <w:t>Expired stock is a direct, avoidable loss.</w:t>
            </w:r>
          </w:p>
        </w:tc>
        <w:tc>
          <w:tcPr>
            <w:tcW w:type="dxa" w:w="1587"/>
          </w:tcPr>
          <w:p>
            <w:pPr>
              <w:spacing w:after="20" w:before="20" w:line="240" w:lineRule="auto"/>
            </w:pPr>
            <w:r/>
            <w:r>
              <w:rPr>
                <w:rFonts w:ascii="Calibri" w:hAnsi="Calibri"/>
                <w:b w:val="0"/>
                <w:sz w:val="14"/>
              </w:rPr>
              <w:t>Batch expiry date, quantity on hand, cost</w:t>
            </w:r>
          </w:p>
        </w:tc>
        <w:tc>
          <w:tcPr>
            <w:tcW w:type="dxa" w:w="1928"/>
          </w:tcPr>
          <w:p>
            <w:pPr>
              <w:spacing w:after="20" w:before="20" w:line="240" w:lineRule="auto"/>
            </w:pPr>
            <w:r/>
            <w:r>
              <w:rPr>
                <w:rFonts w:ascii="Calibri" w:hAnsi="Calibri"/>
                <w:b w:val="0"/>
                <w:sz w:val="14"/>
              </w:rPr>
              <w:t>Bucket by days to expiry from report date</w:t>
            </w:r>
          </w:p>
        </w:tc>
        <w:tc>
          <w:tcPr>
            <w:tcW w:type="dxa" w:w="907"/>
          </w:tcPr>
          <w:p>
            <w:pPr>
              <w:spacing w:after="20" w:before="20" w:line="240" w:lineRule="auto"/>
            </w:pPr>
            <w:r/>
            <w:r>
              <w:rPr>
                <w:rFonts w:ascii="Calibri" w:hAnsi="Calibri"/>
                <w:b w:val="0"/>
                <w:sz w:val="14"/>
              </w:rPr>
              <w:t>P-08 windows</w:t>
            </w:r>
          </w:p>
        </w:tc>
        <w:tc>
          <w:tcPr>
            <w:tcW w:type="dxa" w:w="850"/>
          </w:tcPr>
          <w:p>
            <w:pPr>
              <w:spacing w:after="20" w:before="20" w:line="240" w:lineRule="auto"/>
              <w:jc w:val="center"/>
            </w:pPr>
            <w:r/>
            <w:r>
              <w:rPr>
                <w:rFonts w:ascii="Calibri" w:hAnsi="Calibri"/>
                <w:b w:val="0"/>
                <w:sz w:val="14"/>
              </w:rPr>
              <w:t>Weekly</w:t>
            </w:r>
          </w:p>
        </w:tc>
        <w:tc>
          <w:tcPr>
            <w:tcW w:type="dxa" w:w="850"/>
          </w:tcPr>
          <w:p>
            <w:pPr>
              <w:spacing w:after="20" w:before="20" w:line="240" w:lineRule="auto"/>
              <w:jc w:val="center"/>
            </w:pPr>
            <w:r/>
            <w:r>
              <w:rPr>
                <w:rFonts w:ascii="Calibri" w:hAnsi="Calibri"/>
                <w:b w:val="0"/>
                <w:sz w:val="14"/>
              </w:rPr>
              <w:t>Stores</w:t>
            </w:r>
          </w:p>
        </w:tc>
      </w:tr>
      <w:tr>
        <w:tc>
          <w:tcPr>
            <w:tcW w:type="dxa" w:w="680"/>
            <w:shd w:val="clear" w:fill="F7F9FB"/>
          </w:tcPr>
          <w:p>
            <w:pPr>
              <w:spacing w:after="20" w:before="20" w:line="240" w:lineRule="auto"/>
              <w:jc w:val="center"/>
            </w:pPr>
            <w:r/>
            <w:r>
              <w:rPr>
                <w:rFonts w:ascii="Calibri" w:hAnsi="Calibri"/>
                <w:b w:val="0"/>
                <w:sz w:val="14"/>
              </w:rPr>
              <w:t>D-14</w:t>
            </w:r>
          </w:p>
        </w:tc>
        <w:tc>
          <w:tcPr>
            <w:tcW w:type="dxa" w:w="2494"/>
            <w:shd w:val="clear" w:fill="F7F9FB"/>
          </w:tcPr>
          <w:p>
            <w:pPr>
              <w:spacing w:after="20" w:before="20" w:line="240" w:lineRule="auto"/>
            </w:pPr>
            <w:r/>
            <w:r>
              <w:rPr>
                <w:rFonts w:ascii="Calibri" w:hAnsi="Calibri"/>
                <w:b w:val="0"/>
                <w:sz w:val="14"/>
              </w:rPr>
              <w:t>Which items are slow-moving or non-moving?</w:t>
            </w:r>
          </w:p>
        </w:tc>
        <w:tc>
          <w:tcPr>
            <w:tcW w:type="dxa" w:w="2154"/>
            <w:shd w:val="clear" w:fill="F7F9FB"/>
          </w:tcPr>
          <w:p>
            <w:pPr>
              <w:spacing w:after="20" w:before="20" w:line="240" w:lineRule="auto"/>
            </w:pPr>
            <w:r/>
            <w:r>
              <w:rPr>
                <w:rFonts w:ascii="Calibri" w:hAnsi="Calibri"/>
                <w:b w:val="0"/>
                <w:sz w:val="14"/>
              </w:rPr>
              <w:t>Reveals blocked capital and over-ordering.</w:t>
            </w:r>
          </w:p>
        </w:tc>
        <w:tc>
          <w:tcPr>
            <w:tcW w:type="dxa" w:w="1587"/>
            <w:shd w:val="clear" w:fill="F7F9FB"/>
          </w:tcPr>
          <w:p>
            <w:pPr>
              <w:spacing w:after="20" w:before="20" w:line="240" w:lineRule="auto"/>
            </w:pPr>
            <w:r/>
            <w:r>
              <w:rPr>
                <w:rFonts w:ascii="Calibri" w:hAnsi="Calibri"/>
                <w:b w:val="0"/>
                <w:sz w:val="14"/>
              </w:rPr>
              <w:t>Issues by item in lookback, stock on hand</w:t>
            </w:r>
          </w:p>
        </w:tc>
        <w:tc>
          <w:tcPr>
            <w:tcW w:type="dxa" w:w="1928"/>
            <w:shd w:val="clear" w:fill="F7F9FB"/>
          </w:tcPr>
          <w:p>
            <w:pPr>
              <w:spacing w:after="20" w:before="20" w:line="240" w:lineRule="auto"/>
            </w:pPr>
            <w:r/>
            <w:r>
              <w:rPr>
                <w:rFonts w:ascii="Calibri" w:hAnsi="Calibri"/>
                <w:b w:val="0"/>
                <w:sz w:val="14"/>
              </w:rPr>
              <w:t>Zero or minimal issues in 6/12 months with stock on hand</w:t>
            </w:r>
          </w:p>
        </w:tc>
        <w:tc>
          <w:tcPr>
            <w:tcW w:type="dxa" w:w="907"/>
            <w:shd w:val="clear" w:fill="F7F9FB"/>
          </w:tcPr>
          <w:p>
            <w:pPr>
              <w:spacing w:after="20" w:before="20" w:line="240" w:lineRule="auto"/>
            </w:pPr>
            <w:r/>
            <w:r>
              <w:rPr>
                <w:rFonts w:ascii="Calibri" w:hAnsi="Calibri"/>
                <w:b w:val="0"/>
                <w:sz w:val="14"/>
              </w:rPr>
              <w:t>P-12</w:t>
            </w:r>
          </w:p>
        </w:tc>
        <w:tc>
          <w:tcPr>
            <w:tcW w:type="dxa" w:w="850"/>
            <w:shd w:val="clear" w:fill="F7F9FB"/>
          </w:tcPr>
          <w:p>
            <w:pPr>
              <w:spacing w:after="20" w:before="20" w:line="240" w:lineRule="auto"/>
              <w:jc w:val="center"/>
            </w:pPr>
            <w:r/>
            <w:r>
              <w:rPr>
                <w:rFonts w:ascii="Calibri" w:hAnsi="Calibri"/>
                <w:b w:val="0"/>
                <w:sz w:val="14"/>
              </w:rPr>
              <w:t>Monthly</w:t>
            </w:r>
          </w:p>
        </w:tc>
        <w:tc>
          <w:tcPr>
            <w:tcW w:type="dxa" w:w="850"/>
            <w:shd w:val="clear" w:fill="F7F9FB"/>
          </w:tcPr>
          <w:p>
            <w:pPr>
              <w:spacing w:after="20" w:before="20" w:line="240" w:lineRule="auto"/>
              <w:jc w:val="center"/>
            </w:pPr>
            <w:r/>
            <w:r>
              <w:rPr>
                <w:rFonts w:ascii="Calibri" w:hAnsi="Calibri"/>
                <w:b w:val="0"/>
                <w:sz w:val="14"/>
              </w:rPr>
              <w:t>Stores</w:t>
            </w:r>
          </w:p>
        </w:tc>
      </w:tr>
      <w:tr>
        <w:tc>
          <w:tcPr>
            <w:tcW w:type="dxa" w:w="680"/>
          </w:tcPr>
          <w:p>
            <w:pPr>
              <w:spacing w:after="20" w:before="20" w:line="240" w:lineRule="auto"/>
              <w:jc w:val="center"/>
            </w:pPr>
            <w:r/>
            <w:r>
              <w:rPr>
                <w:rFonts w:ascii="Calibri" w:hAnsi="Calibri"/>
                <w:b w:val="0"/>
                <w:sz w:val="14"/>
              </w:rPr>
              <w:t>D-15</w:t>
            </w:r>
          </w:p>
        </w:tc>
        <w:tc>
          <w:tcPr>
            <w:tcW w:type="dxa" w:w="2494"/>
          </w:tcPr>
          <w:p>
            <w:pPr>
              <w:spacing w:after="20" w:before="20" w:line="240" w:lineRule="auto"/>
            </w:pPr>
            <w:r/>
            <w:r>
              <w:rPr>
                <w:rFonts w:ascii="Calibri" w:hAnsi="Calibri"/>
                <w:b w:val="0"/>
                <w:sz w:val="14"/>
              </w:rPr>
              <w:t>What is the value and quantity of open commitments (ordered but not received)?</w:t>
            </w:r>
          </w:p>
        </w:tc>
        <w:tc>
          <w:tcPr>
            <w:tcW w:type="dxa" w:w="2154"/>
          </w:tcPr>
          <w:p>
            <w:pPr>
              <w:spacing w:after="20" w:before="20" w:line="240" w:lineRule="auto"/>
            </w:pPr>
            <w:r/>
            <w:r>
              <w:rPr>
                <w:rFonts w:ascii="Calibri" w:hAnsi="Calibri"/>
                <w:b w:val="0"/>
                <w:sz w:val="14"/>
              </w:rPr>
              <w:t>Open commitments are future stock and future cash outflows.</w:t>
            </w:r>
          </w:p>
        </w:tc>
        <w:tc>
          <w:tcPr>
            <w:tcW w:type="dxa" w:w="1587"/>
          </w:tcPr>
          <w:p>
            <w:pPr>
              <w:spacing w:after="20" w:before="20" w:line="240" w:lineRule="auto"/>
            </w:pPr>
            <w:r/>
            <w:r>
              <w:rPr>
                <w:rFonts w:ascii="Calibri" w:hAnsi="Calibri"/>
                <w:b w:val="0"/>
                <w:sz w:val="14"/>
              </w:rPr>
              <w:t>PO quantity, received quantity, PO price</w:t>
            </w:r>
          </w:p>
        </w:tc>
        <w:tc>
          <w:tcPr>
            <w:tcW w:type="dxa" w:w="1928"/>
          </w:tcPr>
          <w:p>
            <w:pPr>
              <w:spacing w:after="20" w:before="20" w:line="240" w:lineRule="auto"/>
            </w:pPr>
            <w:r/>
            <w:r>
              <w:rPr>
                <w:rFonts w:ascii="Calibri" w:hAnsi="Calibri"/>
                <w:b w:val="0"/>
                <w:sz w:val="14"/>
              </w:rPr>
              <w:t>(Ordered − received) × PO price, excluding cancelled</w:t>
            </w:r>
          </w:p>
        </w:tc>
        <w:tc>
          <w:tcPr>
            <w:tcW w:type="dxa" w:w="907"/>
          </w:tcPr>
          <w:p>
            <w:pPr>
              <w:spacing w:after="20" w:before="20" w:line="240" w:lineRule="auto"/>
            </w:pPr>
            <w:r/>
            <w:r>
              <w:rPr>
                <w:rFonts w:ascii="Calibri" w:hAnsi="Calibri"/>
                <w:b w:val="0"/>
                <w:sz w:val="14"/>
              </w:rPr>
              <w:t>Report</w:t>
            </w:r>
          </w:p>
        </w:tc>
        <w:tc>
          <w:tcPr>
            <w:tcW w:type="dxa" w:w="850"/>
          </w:tcPr>
          <w:p>
            <w:pPr>
              <w:spacing w:after="20" w:before="20" w:line="240" w:lineRule="auto"/>
              <w:jc w:val="center"/>
            </w:pPr>
            <w:r/>
            <w:r>
              <w:rPr>
                <w:rFonts w:ascii="Calibri" w:hAnsi="Calibri"/>
                <w:b w:val="0"/>
                <w:sz w:val="14"/>
              </w:rPr>
              <w:t>Weekly</w:t>
            </w:r>
          </w:p>
        </w:tc>
        <w:tc>
          <w:tcPr>
            <w:tcW w:type="dxa" w:w="850"/>
          </w:tcPr>
          <w:p>
            <w:pPr>
              <w:spacing w:after="20" w:before="20" w:line="240" w:lineRule="auto"/>
              <w:jc w:val="center"/>
            </w:pPr>
            <w:r/>
            <w:r>
              <w:rPr>
                <w:rFonts w:ascii="Calibri" w:hAnsi="Calibri"/>
                <w:b w:val="0"/>
                <w:sz w:val="14"/>
              </w:rPr>
              <w:t>Procurement</w:t>
            </w:r>
          </w:p>
        </w:tc>
      </w:tr>
      <w:tr>
        <w:tc>
          <w:tcPr>
            <w:tcW w:type="dxa" w:w="680"/>
            <w:shd w:val="clear" w:fill="F7F9FB"/>
          </w:tcPr>
          <w:p>
            <w:pPr>
              <w:spacing w:after="20" w:before="20" w:line="240" w:lineRule="auto"/>
              <w:jc w:val="center"/>
            </w:pPr>
            <w:r/>
            <w:r>
              <w:rPr>
                <w:rFonts w:ascii="Calibri" w:hAnsi="Calibri"/>
                <w:b w:val="0"/>
                <w:sz w:val="14"/>
              </w:rPr>
              <w:t>D-16</w:t>
            </w:r>
          </w:p>
        </w:tc>
        <w:tc>
          <w:tcPr>
            <w:tcW w:type="dxa" w:w="2494"/>
            <w:shd w:val="clear" w:fill="F7F9FB"/>
          </w:tcPr>
          <w:p>
            <w:pPr>
              <w:spacing w:after="20" w:before="20" w:line="240" w:lineRule="auto"/>
            </w:pPr>
            <w:r/>
            <w:r>
              <w:rPr>
                <w:rFonts w:ascii="Calibri" w:hAnsi="Calibri"/>
                <w:b w:val="0"/>
                <w:sz w:val="14"/>
              </w:rPr>
              <w:t>How many purchase orders were cancelled, and what value did they represent?</w:t>
            </w:r>
          </w:p>
        </w:tc>
        <w:tc>
          <w:tcPr>
            <w:tcW w:type="dxa" w:w="2154"/>
            <w:shd w:val="clear" w:fill="F7F9FB"/>
          </w:tcPr>
          <w:p>
            <w:pPr>
              <w:spacing w:after="20" w:before="20" w:line="240" w:lineRule="auto"/>
            </w:pPr>
            <w:r/>
            <w:r>
              <w:rPr>
                <w:rFonts w:ascii="Calibri" w:hAnsi="Calibri"/>
                <w:b w:val="0"/>
                <w:sz w:val="14"/>
              </w:rPr>
              <w:t>Cancellations signal planning failure or supplier issues.</w:t>
            </w:r>
          </w:p>
        </w:tc>
        <w:tc>
          <w:tcPr>
            <w:tcW w:type="dxa" w:w="1587"/>
            <w:shd w:val="clear" w:fill="F7F9FB"/>
          </w:tcPr>
          <w:p>
            <w:pPr>
              <w:spacing w:after="20" w:before="20" w:line="240" w:lineRule="auto"/>
            </w:pPr>
            <w:r/>
            <w:r>
              <w:rPr>
                <w:rFonts w:ascii="Calibri" w:hAnsi="Calibri"/>
                <w:b w:val="0"/>
                <w:sz w:val="14"/>
              </w:rPr>
              <w:t>PO status, PO value</w:t>
            </w:r>
          </w:p>
        </w:tc>
        <w:tc>
          <w:tcPr>
            <w:tcW w:type="dxa" w:w="1928"/>
            <w:shd w:val="clear" w:fill="F7F9FB"/>
          </w:tcPr>
          <w:p>
            <w:pPr>
              <w:spacing w:after="20" w:before="20" w:line="240" w:lineRule="auto"/>
            </w:pPr>
            <w:r/>
            <w:r>
              <w:rPr>
                <w:rFonts w:ascii="Calibri" w:hAnsi="Calibri"/>
                <w:b w:val="0"/>
                <w:sz w:val="14"/>
              </w:rPr>
              <w:t>Count and value of cancelled lines</w:t>
            </w:r>
          </w:p>
        </w:tc>
        <w:tc>
          <w:tcPr>
            <w:tcW w:type="dxa" w:w="907"/>
            <w:shd w:val="clear" w:fill="F7F9FB"/>
          </w:tcPr>
          <w:p>
            <w:pPr>
              <w:spacing w:after="20" w:before="20" w:line="240" w:lineRule="auto"/>
            </w:pPr>
            <w:r/>
            <w:r>
              <w:rPr>
                <w:rFonts w:ascii="Calibri" w:hAnsi="Calibri"/>
                <w:b w:val="0"/>
                <w:sz w:val="14"/>
              </w:rPr>
              <w:t>Trend up = investigate</w:t>
            </w:r>
          </w:p>
        </w:tc>
        <w:tc>
          <w:tcPr>
            <w:tcW w:type="dxa" w:w="850"/>
            <w:shd w:val="clear" w:fill="F7F9FB"/>
          </w:tcPr>
          <w:p>
            <w:pPr>
              <w:spacing w:after="20" w:before="20" w:line="240" w:lineRule="auto"/>
              <w:jc w:val="center"/>
            </w:pPr>
            <w:r/>
            <w:r>
              <w:rPr>
                <w:rFonts w:ascii="Calibri" w:hAnsi="Calibri"/>
                <w:b w:val="0"/>
                <w:sz w:val="14"/>
              </w:rPr>
              <w:t>Monthly</w:t>
            </w:r>
          </w:p>
        </w:tc>
        <w:tc>
          <w:tcPr>
            <w:tcW w:type="dxa" w:w="850"/>
            <w:shd w:val="clear" w:fill="F7F9FB"/>
          </w:tcPr>
          <w:p>
            <w:pPr>
              <w:spacing w:after="20" w:before="20" w:line="240" w:lineRule="auto"/>
              <w:jc w:val="center"/>
            </w:pPr>
            <w:r/>
            <w:r>
              <w:rPr>
                <w:rFonts w:ascii="Calibri" w:hAnsi="Calibri"/>
                <w:b w:val="0"/>
                <w:sz w:val="14"/>
              </w:rPr>
              <w:t>Procurement</w:t>
            </w:r>
          </w:p>
        </w:tc>
      </w:tr>
      <w:tr>
        <w:tc>
          <w:tcPr>
            <w:tcW w:type="dxa" w:w="680"/>
          </w:tcPr>
          <w:p>
            <w:pPr>
              <w:spacing w:after="20" w:before="20" w:line="240" w:lineRule="auto"/>
              <w:jc w:val="center"/>
            </w:pPr>
            <w:r/>
            <w:r>
              <w:rPr>
                <w:rFonts w:ascii="Calibri" w:hAnsi="Calibri"/>
                <w:b w:val="0"/>
                <w:sz w:val="14"/>
              </w:rPr>
              <w:t>D-17</w:t>
            </w:r>
          </w:p>
        </w:tc>
        <w:tc>
          <w:tcPr>
            <w:tcW w:type="dxa" w:w="2494"/>
          </w:tcPr>
          <w:p>
            <w:pPr>
              <w:spacing w:after="20" w:before="20" w:line="240" w:lineRule="auto"/>
            </w:pPr>
            <w:r/>
            <w:r>
              <w:rPr>
                <w:rFonts w:ascii="Calibri" w:hAnsi="Calibri"/>
                <w:b w:val="0"/>
                <w:sz w:val="14"/>
              </w:rPr>
              <w:t>What prices were paid for each item over time, and how have they moved?</w:t>
            </w:r>
          </w:p>
        </w:tc>
        <w:tc>
          <w:tcPr>
            <w:tcW w:type="dxa" w:w="2154"/>
          </w:tcPr>
          <w:p>
            <w:pPr>
              <w:spacing w:after="20" w:before="20" w:line="240" w:lineRule="auto"/>
            </w:pPr>
            <w:r/>
            <w:r>
              <w:rPr>
                <w:rFonts w:ascii="Calibri" w:hAnsi="Calibri"/>
                <w:b w:val="0"/>
                <w:sz w:val="14"/>
              </w:rPr>
              <w:t>Price movement, not volume, is the quiet driver of budget overrun.</w:t>
            </w:r>
          </w:p>
        </w:tc>
        <w:tc>
          <w:tcPr>
            <w:tcW w:type="dxa" w:w="1587"/>
          </w:tcPr>
          <w:p>
            <w:pPr>
              <w:spacing w:after="20" w:before="20" w:line="240" w:lineRule="auto"/>
            </w:pPr>
            <w:r/>
            <w:r>
              <w:rPr>
                <w:rFonts w:ascii="Calibri" w:hAnsi="Calibri"/>
                <w:b w:val="0"/>
                <w:sz w:val="14"/>
              </w:rPr>
              <w:t>PO date, unit price, quantity, supplier</w:t>
            </w:r>
          </w:p>
        </w:tc>
        <w:tc>
          <w:tcPr>
            <w:tcW w:type="dxa" w:w="1928"/>
          </w:tcPr>
          <w:p>
            <w:pPr>
              <w:spacing w:after="20" w:before="20" w:line="240" w:lineRule="auto"/>
            </w:pPr>
            <w:r/>
            <w:r>
              <w:rPr>
                <w:rFonts w:ascii="Calibri" w:hAnsi="Calibri"/>
                <w:b w:val="0"/>
                <w:sz w:val="14"/>
              </w:rPr>
              <w:t>Weighted average price per item per period; % change vs first/last/standard cost</w:t>
            </w:r>
          </w:p>
        </w:tc>
        <w:tc>
          <w:tcPr>
            <w:tcW w:type="dxa" w:w="907"/>
          </w:tcPr>
          <w:p>
            <w:pPr>
              <w:spacing w:after="20" w:before="20" w:line="240" w:lineRule="auto"/>
            </w:pPr>
            <w:r/>
            <w:r>
              <w:rPr>
                <w:rFonts w:ascii="Calibri" w:hAnsi="Calibri"/>
                <w:b w:val="0"/>
                <w:sz w:val="14"/>
              </w:rPr>
              <w:t>P-09</w:t>
            </w:r>
          </w:p>
        </w:tc>
        <w:tc>
          <w:tcPr>
            <w:tcW w:type="dxa" w:w="850"/>
          </w:tcPr>
          <w:p>
            <w:pPr>
              <w:spacing w:after="20" w:before="20" w:line="240" w:lineRule="auto"/>
              <w:jc w:val="center"/>
            </w:pPr>
            <w:r/>
            <w:r>
              <w:rPr>
                <w:rFonts w:ascii="Calibri" w:hAnsi="Calibri"/>
                <w:b w:val="0"/>
                <w:sz w:val="14"/>
              </w:rPr>
              <w:t>Monthly</w:t>
            </w:r>
          </w:p>
        </w:tc>
        <w:tc>
          <w:tcPr>
            <w:tcW w:type="dxa" w:w="850"/>
          </w:tcPr>
          <w:p>
            <w:pPr>
              <w:spacing w:after="20" w:before="20" w:line="240" w:lineRule="auto"/>
              <w:jc w:val="center"/>
            </w:pPr>
            <w:r/>
            <w:r>
              <w:rPr>
                <w:rFonts w:ascii="Calibri" w:hAnsi="Calibri"/>
                <w:b w:val="0"/>
                <w:sz w:val="14"/>
              </w:rPr>
              <w:t>Procurement</w:t>
            </w:r>
          </w:p>
        </w:tc>
      </w:tr>
      <w:tr>
        <w:tc>
          <w:tcPr>
            <w:tcW w:type="dxa" w:w="680"/>
            <w:shd w:val="clear" w:fill="F7F9FB"/>
          </w:tcPr>
          <w:p>
            <w:pPr>
              <w:spacing w:after="20" w:before="20" w:line="240" w:lineRule="auto"/>
              <w:jc w:val="center"/>
            </w:pPr>
            <w:r/>
            <w:r>
              <w:rPr>
                <w:rFonts w:ascii="Calibri" w:hAnsi="Calibri"/>
                <w:b w:val="0"/>
                <w:sz w:val="14"/>
              </w:rPr>
              <w:t>D-18</w:t>
            </w:r>
          </w:p>
        </w:tc>
        <w:tc>
          <w:tcPr>
            <w:tcW w:type="dxa" w:w="2494"/>
            <w:shd w:val="clear" w:fill="F7F9FB"/>
          </w:tcPr>
          <w:p>
            <w:pPr>
              <w:spacing w:after="20" w:before="20" w:line="240" w:lineRule="auto"/>
            </w:pPr>
            <w:r/>
            <w:r>
              <w:rPr>
                <w:rFonts w:ascii="Calibri" w:hAnsi="Calibri"/>
                <w:b w:val="0"/>
                <w:sz w:val="14"/>
              </w:rPr>
              <w:t>How do suppliers compare on price, lead time and fulfilment?</w:t>
            </w:r>
          </w:p>
        </w:tc>
        <w:tc>
          <w:tcPr>
            <w:tcW w:type="dxa" w:w="2154"/>
            <w:shd w:val="clear" w:fill="F7F9FB"/>
          </w:tcPr>
          <w:p>
            <w:pPr>
              <w:spacing w:after="20" w:before="20" w:line="240" w:lineRule="auto"/>
            </w:pPr>
            <w:r/>
            <w:r>
              <w:rPr>
                <w:rFonts w:ascii="Calibri" w:hAnsi="Calibri"/>
                <w:b w:val="0"/>
                <w:sz w:val="14"/>
              </w:rPr>
              <w:t>Supplier performance determines whether a plan is achievable.</w:t>
            </w:r>
          </w:p>
        </w:tc>
        <w:tc>
          <w:tcPr>
            <w:tcW w:type="dxa" w:w="1587"/>
            <w:shd w:val="clear" w:fill="F7F9FB"/>
          </w:tcPr>
          <w:p>
            <w:pPr>
              <w:spacing w:after="20" w:before="20" w:line="240" w:lineRule="auto"/>
            </w:pPr>
            <w:r/>
            <w:r>
              <w:rPr>
                <w:rFonts w:ascii="Calibri" w:hAnsi="Calibri"/>
                <w:b w:val="0"/>
                <w:sz w:val="14"/>
              </w:rPr>
              <w:t>Supplier, PO date, GRN date, quantities</w:t>
            </w:r>
          </w:p>
        </w:tc>
        <w:tc>
          <w:tcPr>
            <w:tcW w:type="dxa" w:w="1928"/>
            <w:shd w:val="clear" w:fill="F7F9FB"/>
          </w:tcPr>
          <w:p>
            <w:pPr>
              <w:spacing w:after="20" w:before="20" w:line="240" w:lineRule="auto"/>
            </w:pPr>
            <w:r/>
            <w:r>
              <w:rPr>
                <w:rFonts w:ascii="Calibri" w:hAnsi="Calibri"/>
                <w:b w:val="0"/>
                <w:sz w:val="14"/>
              </w:rPr>
              <w:t>Average lead time, fulfilment rate, purchase value by supplier</w:t>
            </w:r>
          </w:p>
        </w:tc>
        <w:tc>
          <w:tcPr>
            <w:tcW w:type="dxa" w:w="907"/>
            <w:shd w:val="clear" w:fill="F7F9FB"/>
          </w:tcPr>
          <w:p>
            <w:pPr>
              <w:spacing w:after="20" w:before="20" w:line="240" w:lineRule="auto"/>
            </w:pPr>
            <w:r/>
            <w:r>
              <w:rPr>
                <w:rFonts w:ascii="Calibri" w:hAnsi="Calibri"/>
                <w:b w:val="0"/>
                <w:sz w:val="14"/>
              </w:rPr>
              <w:t>Lead time vs agreed terms</w:t>
            </w:r>
          </w:p>
        </w:tc>
        <w:tc>
          <w:tcPr>
            <w:tcW w:type="dxa" w:w="850"/>
            <w:shd w:val="clear" w:fill="F7F9FB"/>
          </w:tcPr>
          <w:p>
            <w:pPr>
              <w:spacing w:after="20" w:before="20" w:line="240" w:lineRule="auto"/>
              <w:jc w:val="center"/>
            </w:pPr>
            <w:r/>
            <w:r>
              <w:rPr>
                <w:rFonts w:ascii="Calibri" w:hAnsi="Calibri"/>
                <w:b w:val="0"/>
                <w:sz w:val="14"/>
              </w:rPr>
              <w:t>Quarterly</w:t>
            </w:r>
          </w:p>
        </w:tc>
        <w:tc>
          <w:tcPr>
            <w:tcW w:type="dxa" w:w="850"/>
            <w:shd w:val="clear" w:fill="F7F9FB"/>
          </w:tcPr>
          <w:p>
            <w:pPr>
              <w:spacing w:after="20" w:before="20" w:line="240" w:lineRule="auto"/>
              <w:jc w:val="center"/>
            </w:pPr>
            <w:r/>
            <w:r>
              <w:rPr>
                <w:rFonts w:ascii="Calibri" w:hAnsi="Calibri"/>
                <w:b w:val="0"/>
                <w:sz w:val="14"/>
              </w:rPr>
              <w:t>Procurement</w:t>
            </w:r>
          </w:p>
        </w:tc>
      </w:tr>
      <w:tr>
        <w:tc>
          <w:tcPr>
            <w:tcW w:type="dxa" w:w="680"/>
          </w:tcPr>
          <w:p>
            <w:pPr>
              <w:spacing w:after="20" w:before="20" w:line="240" w:lineRule="auto"/>
              <w:jc w:val="center"/>
            </w:pPr>
            <w:r/>
            <w:r>
              <w:rPr>
                <w:rFonts w:ascii="Calibri" w:hAnsi="Calibri"/>
                <w:b w:val="0"/>
                <w:sz w:val="14"/>
              </w:rPr>
              <w:t>D-19</w:t>
            </w:r>
          </w:p>
        </w:tc>
        <w:tc>
          <w:tcPr>
            <w:tcW w:type="dxa" w:w="2494"/>
          </w:tcPr>
          <w:p>
            <w:pPr>
              <w:spacing w:after="20" w:before="20" w:line="240" w:lineRule="auto"/>
            </w:pPr>
            <w:r/>
            <w:r>
              <w:rPr>
                <w:rFonts w:ascii="Calibri" w:hAnsi="Calibri"/>
                <w:b w:val="0"/>
                <w:sz w:val="14"/>
              </w:rPr>
              <w:t>What is the beneficiary volume and cost per beneficiary by project and month?</w:t>
            </w:r>
          </w:p>
        </w:tc>
        <w:tc>
          <w:tcPr>
            <w:tcW w:type="dxa" w:w="2154"/>
          </w:tcPr>
          <w:p>
            <w:pPr>
              <w:spacing w:after="20" w:before="20" w:line="240" w:lineRule="auto"/>
            </w:pPr>
            <w:r/>
            <w:r>
              <w:rPr>
                <w:rFonts w:ascii="Calibri" w:hAnsi="Calibri"/>
                <w:b w:val="0"/>
                <w:sz w:val="14"/>
              </w:rPr>
              <w:t>Converts consumption into the value-for-money language donors use.</w:t>
            </w:r>
          </w:p>
        </w:tc>
        <w:tc>
          <w:tcPr>
            <w:tcW w:type="dxa" w:w="1587"/>
          </w:tcPr>
          <w:p>
            <w:pPr>
              <w:spacing w:after="20" w:before="20" w:line="240" w:lineRule="auto"/>
            </w:pPr>
            <w:r/>
            <w:r>
              <w:rPr>
                <w:rFonts w:ascii="Calibri" w:hAnsi="Calibri"/>
                <w:b w:val="0"/>
                <w:sz w:val="14"/>
              </w:rPr>
              <w:t>Consumption value, beneficiaries served, patient visits</w:t>
            </w:r>
          </w:p>
        </w:tc>
        <w:tc>
          <w:tcPr>
            <w:tcW w:type="dxa" w:w="1928"/>
          </w:tcPr>
          <w:p>
            <w:pPr>
              <w:spacing w:after="20" w:before="20" w:line="240" w:lineRule="auto"/>
            </w:pPr>
            <w:r/>
            <w:r>
              <w:rPr>
                <w:rFonts w:ascii="Calibri" w:hAnsi="Calibri"/>
                <w:b w:val="0"/>
                <w:sz w:val="14"/>
              </w:rPr>
              <w:t>Consumption ÷ beneficiaries (and ÷ visits)</w:t>
            </w:r>
          </w:p>
        </w:tc>
        <w:tc>
          <w:tcPr>
            <w:tcW w:type="dxa" w:w="907"/>
          </w:tcPr>
          <w:p>
            <w:pPr>
              <w:spacing w:after="20" w:before="20" w:line="240" w:lineRule="auto"/>
            </w:pPr>
            <w:r/>
            <w:r>
              <w:rPr>
                <w:rFonts w:ascii="Calibri" w:hAnsi="Calibri"/>
                <w:b w:val="0"/>
                <w:sz w:val="14"/>
              </w:rPr>
              <w:t>Peer median ± 20%</w:t>
            </w:r>
          </w:p>
        </w:tc>
        <w:tc>
          <w:tcPr>
            <w:tcW w:type="dxa" w:w="850"/>
          </w:tcPr>
          <w:p>
            <w:pPr>
              <w:spacing w:after="20" w:before="20" w:line="240" w:lineRule="auto"/>
              <w:jc w:val="center"/>
            </w:pPr>
            <w:r/>
            <w:r>
              <w:rPr>
                <w:rFonts w:ascii="Calibri" w:hAnsi="Calibri"/>
                <w:b w:val="0"/>
                <w:sz w:val="14"/>
              </w:rPr>
              <w:t>Monthly</w:t>
            </w:r>
          </w:p>
        </w:tc>
        <w:tc>
          <w:tcPr>
            <w:tcW w:type="dxa" w:w="850"/>
          </w:tcPr>
          <w:p>
            <w:pPr>
              <w:spacing w:after="20" w:before="20" w:line="240" w:lineRule="auto"/>
              <w:jc w:val="center"/>
            </w:pPr>
            <w:r/>
            <w:r>
              <w:rPr>
                <w:rFonts w:ascii="Calibri" w:hAnsi="Calibri"/>
                <w:b w:val="0"/>
                <w:sz w:val="14"/>
              </w:rPr>
              <w:t>Finance / Programme</w:t>
            </w:r>
          </w:p>
        </w:tc>
      </w:tr>
      <w:tr>
        <w:tc>
          <w:tcPr>
            <w:tcW w:type="dxa" w:w="680"/>
            <w:shd w:val="clear" w:fill="F7F9FB"/>
          </w:tcPr>
          <w:p>
            <w:pPr>
              <w:spacing w:after="20" w:before="20" w:line="240" w:lineRule="auto"/>
              <w:jc w:val="center"/>
            </w:pPr>
            <w:r/>
            <w:r>
              <w:rPr>
                <w:rFonts w:ascii="Calibri" w:hAnsi="Calibri"/>
                <w:b w:val="0"/>
                <w:sz w:val="14"/>
              </w:rPr>
              <w:t>D-20</w:t>
            </w:r>
          </w:p>
        </w:tc>
        <w:tc>
          <w:tcPr>
            <w:tcW w:type="dxa" w:w="2494"/>
            <w:shd w:val="clear" w:fill="F7F9FB"/>
          </w:tcPr>
          <w:p>
            <w:pPr>
              <w:spacing w:after="20" w:before="20" w:line="240" w:lineRule="auto"/>
            </w:pPr>
            <w:r/>
            <w:r>
              <w:rPr>
                <w:rFonts w:ascii="Calibri" w:hAnsi="Calibri"/>
                <w:b w:val="0"/>
                <w:sz w:val="14"/>
              </w:rPr>
              <w:t>How much budget was allocated, and how much has been consumed, by project and category?</w:t>
            </w:r>
          </w:p>
        </w:tc>
        <w:tc>
          <w:tcPr>
            <w:tcW w:type="dxa" w:w="2154"/>
            <w:shd w:val="clear" w:fill="F7F9FB"/>
          </w:tcPr>
          <w:p>
            <w:pPr>
              <w:spacing w:after="20" w:before="20" w:line="240" w:lineRule="auto"/>
            </w:pPr>
            <w:r/>
            <w:r>
              <w:rPr>
                <w:rFonts w:ascii="Calibri" w:hAnsi="Calibri"/>
                <w:b w:val="0"/>
                <w:sz w:val="14"/>
              </w:rPr>
              <w:t>Budget is the authorised envelope; consumption is the drawdown.</w:t>
            </w:r>
          </w:p>
        </w:tc>
        <w:tc>
          <w:tcPr>
            <w:tcW w:type="dxa" w:w="1587"/>
            <w:shd w:val="clear" w:fill="F7F9FB"/>
          </w:tcPr>
          <w:p>
            <w:pPr>
              <w:spacing w:after="20" w:before="20" w:line="240" w:lineRule="auto"/>
            </w:pPr>
            <w:r/>
            <w:r>
              <w:rPr>
                <w:rFonts w:ascii="Calibri" w:hAnsi="Calibri"/>
                <w:b w:val="0"/>
                <w:sz w:val="14"/>
              </w:rPr>
              <w:t>Budget lines, consumption by category</w:t>
            </w:r>
          </w:p>
        </w:tc>
        <w:tc>
          <w:tcPr>
            <w:tcW w:type="dxa" w:w="1928"/>
            <w:shd w:val="clear" w:fill="F7F9FB"/>
          </w:tcPr>
          <w:p>
            <w:pPr>
              <w:spacing w:after="20" w:before="20" w:line="240" w:lineRule="auto"/>
            </w:pPr>
            <w:r/>
            <w:r>
              <w:rPr>
                <w:rFonts w:ascii="Calibri" w:hAnsi="Calibri"/>
                <w:b w:val="0"/>
                <w:sz w:val="14"/>
              </w:rPr>
              <w:t>Budget vs consumption with utilisation %</w:t>
            </w:r>
          </w:p>
        </w:tc>
        <w:tc>
          <w:tcPr>
            <w:tcW w:type="dxa" w:w="907"/>
            <w:shd w:val="clear" w:fill="F7F9FB"/>
          </w:tcPr>
          <w:p>
            <w:pPr>
              <w:spacing w:after="20" w:before="20" w:line="240" w:lineRule="auto"/>
            </w:pPr>
            <w:r/>
            <w:r>
              <w:rPr>
                <w:rFonts w:ascii="Calibri" w:hAnsi="Calibri"/>
                <w:b w:val="0"/>
                <w:sz w:val="14"/>
              </w:rPr>
              <w:t>P-03, P-15</w:t>
            </w:r>
          </w:p>
        </w:tc>
        <w:tc>
          <w:tcPr>
            <w:tcW w:type="dxa" w:w="850"/>
            <w:shd w:val="clear" w:fill="F7F9FB"/>
          </w:tcPr>
          <w:p>
            <w:pPr>
              <w:spacing w:after="20" w:before="20" w:line="240" w:lineRule="auto"/>
              <w:jc w:val="center"/>
            </w:pPr>
            <w:r/>
            <w:r>
              <w:rPr>
                <w:rFonts w:ascii="Calibri" w:hAnsi="Calibri"/>
                <w:b w:val="0"/>
                <w:sz w:val="14"/>
              </w:rPr>
              <w:t>Monthly</w:t>
            </w:r>
          </w:p>
        </w:tc>
        <w:tc>
          <w:tcPr>
            <w:tcW w:type="dxa" w:w="850"/>
            <w:shd w:val="clear" w:fill="F7F9FB"/>
          </w:tcPr>
          <w:p>
            <w:pPr>
              <w:spacing w:after="20" w:before="20" w:line="240" w:lineRule="auto"/>
              <w:jc w:val="center"/>
            </w:pPr>
            <w:r/>
            <w:r>
              <w:rPr>
                <w:rFonts w:ascii="Calibri" w:hAnsi="Calibri"/>
                <w:b w:val="0"/>
                <w:sz w:val="14"/>
              </w:rPr>
              <w:t>Finance</w:t>
            </w:r>
          </w:p>
        </w:tc>
      </w:tr>
      <w:tr>
        <w:tc>
          <w:tcPr>
            <w:tcW w:type="dxa" w:w="680"/>
          </w:tcPr>
          <w:p>
            <w:pPr>
              <w:spacing w:after="20" w:before="20" w:line="240" w:lineRule="auto"/>
              <w:jc w:val="center"/>
            </w:pPr>
            <w:r/>
            <w:r>
              <w:rPr>
                <w:rFonts w:ascii="Calibri" w:hAnsi="Calibri"/>
                <w:b w:val="0"/>
                <w:sz w:val="14"/>
              </w:rPr>
              <w:t>D-21</w:t>
            </w:r>
          </w:p>
        </w:tc>
        <w:tc>
          <w:tcPr>
            <w:tcW w:type="dxa" w:w="2494"/>
          </w:tcPr>
          <w:p>
            <w:pPr>
              <w:spacing w:after="20" w:before="20" w:line="240" w:lineRule="auto"/>
            </w:pPr>
            <w:r/>
            <w:r>
              <w:rPr>
                <w:rFonts w:ascii="Calibri" w:hAnsi="Calibri"/>
                <w:b w:val="0"/>
                <w:sz w:val="14"/>
              </w:rPr>
              <w:t>What proportion of consumption is unattributed to a valid project?</w:t>
            </w:r>
          </w:p>
        </w:tc>
        <w:tc>
          <w:tcPr>
            <w:tcW w:type="dxa" w:w="2154"/>
          </w:tcPr>
          <w:p>
            <w:pPr>
              <w:spacing w:after="20" w:before="20" w:line="240" w:lineRule="auto"/>
            </w:pPr>
            <w:r/>
            <w:r>
              <w:rPr>
                <w:rFonts w:ascii="Calibri" w:hAnsi="Calibri"/>
                <w:b w:val="0"/>
                <w:sz w:val="14"/>
              </w:rPr>
              <w:t>Attribution is the precondition for every project-level conclusion.</w:t>
            </w:r>
          </w:p>
        </w:tc>
        <w:tc>
          <w:tcPr>
            <w:tcW w:type="dxa" w:w="1587"/>
          </w:tcPr>
          <w:p>
            <w:pPr>
              <w:spacing w:after="20" w:before="20" w:line="240" w:lineRule="auto"/>
            </w:pPr>
            <w:r/>
            <w:r>
              <w:rPr>
                <w:rFonts w:ascii="Calibri" w:hAnsi="Calibri"/>
                <w:b w:val="0"/>
                <w:sz w:val="14"/>
              </w:rPr>
              <w:t>Issue lines, project charged vs consumed</w:t>
            </w:r>
          </w:p>
        </w:tc>
        <w:tc>
          <w:tcPr>
            <w:tcW w:type="dxa" w:w="1928"/>
          </w:tcPr>
          <w:p>
            <w:pPr>
              <w:spacing w:after="20" w:before="20" w:line="240" w:lineRule="auto"/>
            </w:pPr>
            <w:r/>
            <w:r>
              <w:rPr>
                <w:rFonts w:ascii="Calibri" w:hAnsi="Calibri"/>
                <w:b w:val="0"/>
                <w:sz w:val="14"/>
              </w:rPr>
              <w:t>Value on generic/invalid project codes ÷ total</w:t>
            </w:r>
          </w:p>
        </w:tc>
        <w:tc>
          <w:tcPr>
            <w:tcW w:type="dxa" w:w="907"/>
          </w:tcPr>
          <w:p>
            <w:pPr>
              <w:spacing w:after="20" w:before="20" w:line="240" w:lineRule="auto"/>
            </w:pPr>
            <w:r/>
            <w:r>
              <w:rPr>
                <w:rFonts w:ascii="Calibri" w:hAnsi="Calibri"/>
                <w:b w:val="0"/>
                <w:sz w:val="14"/>
              </w:rPr>
              <w:t>P-10</w:t>
            </w:r>
          </w:p>
        </w:tc>
        <w:tc>
          <w:tcPr>
            <w:tcW w:type="dxa" w:w="850"/>
          </w:tcPr>
          <w:p>
            <w:pPr>
              <w:spacing w:after="20" w:before="20" w:line="240" w:lineRule="auto"/>
              <w:jc w:val="center"/>
            </w:pPr>
            <w:r/>
            <w:r>
              <w:rPr>
                <w:rFonts w:ascii="Calibri" w:hAnsi="Calibri"/>
                <w:b w:val="0"/>
                <w:sz w:val="14"/>
              </w:rPr>
              <w:t>Monthly</w:t>
            </w:r>
          </w:p>
        </w:tc>
        <w:tc>
          <w:tcPr>
            <w:tcW w:type="dxa" w:w="850"/>
          </w:tcPr>
          <w:p>
            <w:pPr>
              <w:spacing w:after="20" w:before="20" w:line="240" w:lineRule="auto"/>
              <w:jc w:val="center"/>
            </w:pPr>
            <w:r/>
            <w:r>
              <w:rPr>
                <w:rFonts w:ascii="Calibri" w:hAnsi="Calibri"/>
                <w:b w:val="0"/>
                <w:sz w:val="14"/>
              </w:rPr>
              <w:t>Procurement</w:t>
            </w:r>
          </w:p>
        </w:tc>
      </w:tr>
      <w:tr>
        <w:tc>
          <w:tcPr>
            <w:tcW w:type="dxa" w:w="680"/>
            <w:shd w:val="clear" w:fill="F7F9FB"/>
          </w:tcPr>
          <w:p>
            <w:pPr>
              <w:spacing w:after="20" w:before="20" w:line="240" w:lineRule="auto"/>
              <w:jc w:val="center"/>
            </w:pPr>
            <w:r/>
            <w:r>
              <w:rPr>
                <w:rFonts w:ascii="Calibri" w:hAnsi="Calibri"/>
                <w:b w:val="0"/>
                <w:sz w:val="14"/>
              </w:rPr>
              <w:t>D-22</w:t>
            </w:r>
          </w:p>
        </w:tc>
        <w:tc>
          <w:tcPr>
            <w:tcW w:type="dxa" w:w="2494"/>
            <w:shd w:val="clear" w:fill="F7F9FB"/>
          </w:tcPr>
          <w:p>
            <w:pPr>
              <w:spacing w:after="20" w:before="20" w:line="240" w:lineRule="auto"/>
            </w:pPr>
            <w:r/>
            <w:r>
              <w:rPr>
                <w:rFonts w:ascii="Calibri" w:hAnsi="Calibri"/>
                <w:b w:val="0"/>
                <w:sz w:val="14"/>
              </w:rPr>
              <w:t>How many transactions and documents are in the dataset for the period, and when was it last refreshed?</w:t>
            </w:r>
          </w:p>
        </w:tc>
        <w:tc>
          <w:tcPr>
            <w:tcW w:type="dxa" w:w="2154"/>
            <w:shd w:val="clear" w:fill="F7F9FB"/>
          </w:tcPr>
          <w:p>
            <w:pPr>
              <w:spacing w:after="20" w:before="20" w:line="240" w:lineRule="auto"/>
            </w:pPr>
            <w:r/>
            <w:r>
              <w:rPr>
                <w:rFonts w:ascii="Calibri" w:hAnsi="Calibri"/>
                <w:b w:val="0"/>
                <w:sz w:val="14"/>
              </w:rPr>
              <w:t>Establishes completeness and freshness before any conclusion is drawn.</w:t>
            </w:r>
          </w:p>
        </w:tc>
        <w:tc>
          <w:tcPr>
            <w:tcW w:type="dxa" w:w="1587"/>
            <w:shd w:val="clear" w:fill="F7F9FB"/>
          </w:tcPr>
          <w:p>
            <w:pPr>
              <w:spacing w:after="20" w:before="20" w:line="240" w:lineRule="auto"/>
            </w:pPr>
            <w:r/>
            <w:r>
              <w:rPr>
                <w:rFonts w:ascii="Calibri" w:hAnsi="Calibri"/>
                <w:b w:val="0"/>
                <w:sz w:val="14"/>
              </w:rPr>
              <w:t>Row counts, load log</w:t>
            </w:r>
          </w:p>
        </w:tc>
        <w:tc>
          <w:tcPr>
            <w:tcW w:type="dxa" w:w="1928"/>
            <w:shd w:val="clear" w:fill="F7F9FB"/>
          </w:tcPr>
          <w:p>
            <w:pPr>
              <w:spacing w:after="20" w:before="20" w:line="240" w:lineRule="auto"/>
            </w:pPr>
            <w:r/>
            <w:r>
              <w:rPr>
                <w:rFonts w:ascii="Calibri" w:hAnsi="Calibri"/>
                <w:b w:val="0"/>
                <w:sz w:val="14"/>
              </w:rPr>
              <w:t>Count by fact table; compare to prior load</w:t>
            </w:r>
          </w:p>
        </w:tc>
        <w:tc>
          <w:tcPr>
            <w:tcW w:type="dxa" w:w="907"/>
            <w:shd w:val="clear" w:fill="F7F9FB"/>
          </w:tcPr>
          <w:p>
            <w:pPr>
              <w:spacing w:after="20" w:before="20" w:line="240" w:lineRule="auto"/>
            </w:pPr>
            <w:r/>
            <w:r>
              <w:rPr>
                <w:rFonts w:ascii="Calibri" w:hAnsi="Calibri"/>
                <w:b w:val="0"/>
                <w:sz w:val="14"/>
              </w:rPr>
              <w:t>P-01</w:t>
            </w:r>
          </w:p>
        </w:tc>
        <w:tc>
          <w:tcPr>
            <w:tcW w:type="dxa" w:w="850"/>
            <w:shd w:val="clear" w:fill="F7F9FB"/>
          </w:tcPr>
          <w:p>
            <w:pPr>
              <w:spacing w:after="20" w:before="20" w:line="240" w:lineRule="auto"/>
              <w:jc w:val="center"/>
            </w:pPr>
            <w:r/>
            <w:r>
              <w:rPr>
                <w:rFonts w:ascii="Calibri" w:hAnsi="Calibri"/>
                <w:b w:val="0"/>
                <w:sz w:val="14"/>
              </w:rPr>
              <w:t>Daily</w:t>
            </w:r>
          </w:p>
        </w:tc>
        <w:tc>
          <w:tcPr>
            <w:tcW w:type="dxa" w:w="850"/>
            <w:shd w:val="clear" w:fill="F7F9FB"/>
          </w:tcPr>
          <w:p>
            <w:pPr>
              <w:spacing w:after="20" w:before="20" w:line="240" w:lineRule="auto"/>
              <w:jc w:val="center"/>
            </w:pPr>
            <w:r/>
            <w:r>
              <w:rPr>
                <w:rFonts w:ascii="Calibri" w:hAnsi="Calibri"/>
                <w:b w:val="0"/>
                <w:sz w:val="14"/>
              </w:rPr>
              <w:t>IT / BI</w:t>
            </w:r>
          </w:p>
        </w:tc>
      </w:tr>
      <w:tr>
        <w:tc>
          <w:tcPr>
            <w:tcW w:type="dxa" w:w="680"/>
          </w:tcPr>
          <w:p>
            <w:pPr>
              <w:spacing w:after="20" w:before="20" w:line="240" w:lineRule="auto"/>
              <w:jc w:val="center"/>
            </w:pPr>
            <w:r/>
            <w:r>
              <w:rPr>
                <w:rFonts w:ascii="Calibri" w:hAnsi="Calibri"/>
                <w:b w:val="0"/>
                <w:sz w:val="14"/>
              </w:rPr>
              <w:t>D-23</w:t>
            </w:r>
          </w:p>
        </w:tc>
        <w:tc>
          <w:tcPr>
            <w:tcW w:type="dxa" w:w="2494"/>
          </w:tcPr>
          <w:p>
            <w:pPr>
              <w:spacing w:after="20" w:before="20" w:line="240" w:lineRule="auto"/>
            </w:pPr>
            <w:r/>
            <w:r>
              <w:rPr>
                <w:rFonts w:ascii="Calibri" w:hAnsi="Calibri"/>
                <w:b w:val="0"/>
                <w:sz w:val="14"/>
              </w:rPr>
              <w:t>Which warehouses and districts hold and consume the most stock?</w:t>
            </w:r>
          </w:p>
        </w:tc>
        <w:tc>
          <w:tcPr>
            <w:tcW w:type="dxa" w:w="2154"/>
          </w:tcPr>
          <w:p>
            <w:pPr>
              <w:spacing w:after="20" w:before="20" w:line="240" w:lineRule="auto"/>
            </w:pPr>
            <w:r/>
            <w:r>
              <w:rPr>
                <w:rFonts w:ascii="Calibri" w:hAnsi="Calibri"/>
                <w:b w:val="0"/>
                <w:sz w:val="14"/>
              </w:rPr>
              <w:t>Location drives logistics cost and stock-out risk.</w:t>
            </w:r>
          </w:p>
        </w:tc>
        <w:tc>
          <w:tcPr>
            <w:tcW w:type="dxa" w:w="1587"/>
          </w:tcPr>
          <w:p>
            <w:pPr>
              <w:spacing w:after="20" w:before="20" w:line="240" w:lineRule="auto"/>
            </w:pPr>
            <w:r/>
            <w:r>
              <w:rPr>
                <w:rFonts w:ascii="Calibri" w:hAnsi="Calibri"/>
                <w:b w:val="0"/>
                <w:sz w:val="14"/>
              </w:rPr>
              <w:t>Warehouse, district, consumption and stock value</w:t>
            </w:r>
          </w:p>
        </w:tc>
        <w:tc>
          <w:tcPr>
            <w:tcW w:type="dxa" w:w="1928"/>
          </w:tcPr>
          <w:p>
            <w:pPr>
              <w:spacing w:after="20" w:before="20" w:line="240" w:lineRule="auto"/>
            </w:pPr>
            <w:r/>
            <w:r>
              <w:rPr>
                <w:rFonts w:ascii="Calibri" w:hAnsi="Calibri"/>
                <w:b w:val="0"/>
                <w:sz w:val="14"/>
              </w:rPr>
              <w:t>Group by warehouse</w:t>
            </w:r>
          </w:p>
        </w:tc>
        <w:tc>
          <w:tcPr>
            <w:tcW w:type="dxa" w:w="907"/>
          </w:tcPr>
          <w:p>
            <w:pPr>
              <w:spacing w:after="20" w:before="20" w:line="240" w:lineRule="auto"/>
            </w:pPr>
            <w:r/>
            <w:r>
              <w:rPr>
                <w:rFonts w:ascii="Calibri" w:hAnsi="Calibri"/>
                <w:b w:val="0"/>
                <w:sz w:val="14"/>
              </w:rPr>
              <w:t>Report</w:t>
            </w:r>
          </w:p>
        </w:tc>
        <w:tc>
          <w:tcPr>
            <w:tcW w:type="dxa" w:w="850"/>
          </w:tcPr>
          <w:p>
            <w:pPr>
              <w:spacing w:after="20" w:before="20" w:line="240" w:lineRule="auto"/>
              <w:jc w:val="center"/>
            </w:pPr>
            <w:r/>
            <w:r>
              <w:rPr>
                <w:rFonts w:ascii="Calibri" w:hAnsi="Calibri"/>
                <w:b w:val="0"/>
                <w:sz w:val="14"/>
              </w:rPr>
              <w:t>Monthly</w:t>
            </w:r>
          </w:p>
        </w:tc>
        <w:tc>
          <w:tcPr>
            <w:tcW w:type="dxa" w:w="850"/>
          </w:tcPr>
          <w:p>
            <w:pPr>
              <w:spacing w:after="20" w:before="20" w:line="240" w:lineRule="auto"/>
              <w:jc w:val="center"/>
            </w:pPr>
            <w:r/>
            <w:r>
              <w:rPr>
                <w:rFonts w:ascii="Calibri" w:hAnsi="Calibri"/>
                <w:b w:val="0"/>
                <w:sz w:val="14"/>
              </w:rPr>
              <w:t>Supply chain</w:t>
            </w:r>
          </w:p>
        </w:tc>
      </w:tr>
      <w:tr>
        <w:tc>
          <w:tcPr>
            <w:tcW w:type="dxa" w:w="680"/>
            <w:shd w:val="clear" w:fill="F7F9FB"/>
          </w:tcPr>
          <w:p>
            <w:pPr>
              <w:spacing w:after="20" w:before="20" w:line="240" w:lineRule="auto"/>
              <w:jc w:val="center"/>
            </w:pPr>
            <w:r/>
            <w:r>
              <w:rPr>
                <w:rFonts w:ascii="Calibri" w:hAnsi="Calibri"/>
                <w:b w:val="0"/>
                <w:sz w:val="14"/>
              </w:rPr>
              <w:t>D-24</w:t>
            </w:r>
          </w:p>
        </w:tc>
        <w:tc>
          <w:tcPr>
            <w:tcW w:type="dxa" w:w="2494"/>
            <w:shd w:val="clear" w:fill="F7F9FB"/>
          </w:tcPr>
          <w:p>
            <w:pPr>
              <w:spacing w:after="20" w:before="20" w:line="240" w:lineRule="auto"/>
            </w:pPr>
            <w:r/>
            <w:r>
              <w:rPr>
                <w:rFonts w:ascii="Calibri" w:hAnsi="Calibri"/>
                <w:b w:val="0"/>
                <w:sz w:val="14"/>
              </w:rPr>
              <w:t>How is consumption split between project issues, department issues and transfers?</w:t>
            </w:r>
          </w:p>
        </w:tc>
        <w:tc>
          <w:tcPr>
            <w:tcW w:type="dxa" w:w="2154"/>
            <w:shd w:val="clear" w:fill="F7F9FB"/>
          </w:tcPr>
          <w:p>
            <w:pPr>
              <w:spacing w:after="20" w:before="20" w:line="240" w:lineRule="auto"/>
            </w:pPr>
            <w:r/>
            <w:r>
              <w:rPr>
                <w:rFonts w:ascii="Calibri" w:hAnsi="Calibri"/>
                <w:b w:val="0"/>
                <w:sz w:val="14"/>
              </w:rPr>
              <w:t>Only project issues count as project consumption; the rest explains variances.</w:t>
            </w:r>
          </w:p>
        </w:tc>
        <w:tc>
          <w:tcPr>
            <w:tcW w:type="dxa" w:w="1587"/>
            <w:shd w:val="clear" w:fill="F7F9FB"/>
          </w:tcPr>
          <w:p>
            <w:pPr>
              <w:spacing w:after="20" w:before="20" w:line="240" w:lineRule="auto"/>
            </w:pPr>
            <w:r/>
            <w:r>
              <w:rPr>
                <w:rFonts w:ascii="Calibri" w:hAnsi="Calibri"/>
                <w:b w:val="0"/>
                <w:sz w:val="14"/>
              </w:rPr>
              <w:t>Issue type</w:t>
            </w:r>
          </w:p>
        </w:tc>
        <w:tc>
          <w:tcPr>
            <w:tcW w:type="dxa" w:w="1928"/>
            <w:shd w:val="clear" w:fill="F7F9FB"/>
          </w:tcPr>
          <w:p>
            <w:pPr>
              <w:spacing w:after="20" w:before="20" w:line="240" w:lineRule="auto"/>
            </w:pPr>
            <w:r/>
            <w:r>
              <w:rPr>
                <w:rFonts w:ascii="Calibri" w:hAnsi="Calibri"/>
                <w:b w:val="0"/>
                <w:sz w:val="14"/>
              </w:rPr>
              <w:t>Group by issue type; transfers excluded from project KPIs</w:t>
            </w:r>
          </w:p>
        </w:tc>
        <w:tc>
          <w:tcPr>
            <w:tcW w:type="dxa" w:w="907"/>
            <w:shd w:val="clear" w:fill="F7F9FB"/>
          </w:tcPr>
          <w:p>
            <w:pPr>
              <w:spacing w:after="20" w:before="20" w:line="240" w:lineRule="auto"/>
            </w:pPr>
            <w:r/>
            <w:r>
              <w:rPr>
                <w:rFonts w:ascii="Calibri" w:hAnsi="Calibri"/>
                <w:b w:val="0"/>
                <w:sz w:val="14"/>
              </w:rPr>
              <w:t>Transfers &gt; 10% = investigate</w:t>
            </w:r>
          </w:p>
        </w:tc>
        <w:tc>
          <w:tcPr>
            <w:tcW w:type="dxa" w:w="850"/>
            <w:shd w:val="clear" w:fill="F7F9FB"/>
          </w:tcPr>
          <w:p>
            <w:pPr>
              <w:spacing w:after="20" w:before="20" w:line="240" w:lineRule="auto"/>
              <w:jc w:val="center"/>
            </w:pPr>
            <w:r/>
            <w:r>
              <w:rPr>
                <w:rFonts w:ascii="Calibri" w:hAnsi="Calibri"/>
                <w:b w:val="0"/>
                <w:sz w:val="14"/>
              </w:rPr>
              <w:t>Monthly</w:t>
            </w:r>
          </w:p>
        </w:tc>
        <w:tc>
          <w:tcPr>
            <w:tcW w:type="dxa" w:w="850"/>
            <w:shd w:val="clear" w:fill="F7F9FB"/>
          </w:tcPr>
          <w:p>
            <w:pPr>
              <w:spacing w:after="20" w:before="20" w:line="240" w:lineRule="auto"/>
              <w:jc w:val="center"/>
            </w:pPr>
            <w:r/>
            <w:r>
              <w:rPr>
                <w:rFonts w:ascii="Calibri" w:hAnsi="Calibri"/>
                <w:b w:val="0"/>
                <w:sz w:val="14"/>
              </w:rPr>
              <w:t>Stores</w:t>
            </w:r>
          </w:p>
        </w:tc>
      </w:tr>
      <w:tr>
        <w:tc>
          <w:tcPr>
            <w:tcW w:type="dxa" w:w="680"/>
          </w:tcPr>
          <w:p>
            <w:pPr>
              <w:spacing w:after="20" w:before="20" w:line="240" w:lineRule="auto"/>
              <w:jc w:val="center"/>
            </w:pPr>
            <w:r/>
            <w:r>
              <w:rPr>
                <w:rFonts w:ascii="Calibri" w:hAnsi="Calibri"/>
                <w:b w:val="0"/>
                <w:sz w:val="14"/>
              </w:rPr>
              <w:t>D-25</w:t>
            </w:r>
          </w:p>
        </w:tc>
        <w:tc>
          <w:tcPr>
            <w:tcW w:type="dxa" w:w="2494"/>
          </w:tcPr>
          <w:p>
            <w:pPr>
              <w:spacing w:after="20" w:before="20" w:line="240" w:lineRule="auto"/>
            </w:pPr>
            <w:r/>
            <w:r>
              <w:rPr>
                <w:rFonts w:ascii="Calibri" w:hAnsi="Calibri"/>
                <w:b w:val="0"/>
                <w:sz w:val="14"/>
              </w:rPr>
              <w:t>What is the split of consumption between consumables and capital equipment?</w:t>
            </w:r>
          </w:p>
        </w:tc>
        <w:tc>
          <w:tcPr>
            <w:tcW w:type="dxa" w:w="2154"/>
          </w:tcPr>
          <w:p>
            <w:pPr>
              <w:spacing w:after="20" w:before="20" w:line="240" w:lineRule="auto"/>
            </w:pPr>
            <w:r/>
            <w:r>
              <w:rPr>
                <w:rFonts w:ascii="Calibri" w:hAnsi="Calibri"/>
                <w:b w:val="0"/>
                <w:sz w:val="14"/>
              </w:rPr>
              <w:t>They behave differently: equipment is lumpy and needs separate budget treatment.</w:t>
            </w:r>
          </w:p>
        </w:tc>
        <w:tc>
          <w:tcPr>
            <w:tcW w:type="dxa" w:w="1587"/>
          </w:tcPr>
          <w:p>
            <w:pPr>
              <w:spacing w:after="20" w:before="20" w:line="240" w:lineRule="auto"/>
            </w:pPr>
            <w:r/>
            <w:r>
              <w:rPr>
                <w:rFonts w:ascii="Calibri" w:hAnsi="Calibri"/>
                <w:b w:val="0"/>
                <w:sz w:val="14"/>
              </w:rPr>
              <w:t>Item consumable flag, value</w:t>
            </w:r>
          </w:p>
        </w:tc>
        <w:tc>
          <w:tcPr>
            <w:tcW w:type="dxa" w:w="1928"/>
          </w:tcPr>
          <w:p>
            <w:pPr>
              <w:spacing w:after="20" w:before="20" w:line="240" w:lineRule="auto"/>
            </w:pPr>
            <w:r/>
            <w:r>
              <w:rPr>
                <w:rFonts w:ascii="Calibri" w:hAnsi="Calibri"/>
                <w:b w:val="0"/>
                <w:sz w:val="14"/>
              </w:rPr>
              <w:t>Group by consumable flag</w:t>
            </w:r>
          </w:p>
        </w:tc>
        <w:tc>
          <w:tcPr>
            <w:tcW w:type="dxa" w:w="907"/>
          </w:tcPr>
          <w:p>
            <w:pPr>
              <w:spacing w:after="20" w:before="20" w:line="240" w:lineRule="auto"/>
            </w:pPr>
            <w:r/>
            <w:r>
              <w:rPr>
                <w:rFonts w:ascii="Calibri" w:hAnsi="Calibri"/>
                <w:b w:val="0"/>
                <w:sz w:val="14"/>
              </w:rPr>
              <w:t>Report</w:t>
            </w:r>
          </w:p>
        </w:tc>
        <w:tc>
          <w:tcPr>
            <w:tcW w:type="dxa" w:w="850"/>
          </w:tcPr>
          <w:p>
            <w:pPr>
              <w:spacing w:after="20" w:before="20" w:line="240" w:lineRule="auto"/>
              <w:jc w:val="center"/>
            </w:pPr>
            <w:r/>
            <w:r>
              <w:rPr>
                <w:rFonts w:ascii="Calibri" w:hAnsi="Calibri"/>
                <w:b w:val="0"/>
                <w:sz w:val="14"/>
              </w:rPr>
              <w:t>Quarterly</w:t>
            </w:r>
          </w:p>
        </w:tc>
        <w:tc>
          <w:tcPr>
            <w:tcW w:type="dxa" w:w="850"/>
          </w:tcPr>
          <w:p>
            <w:pPr>
              <w:spacing w:after="20" w:before="20" w:line="240" w:lineRule="auto"/>
              <w:jc w:val="center"/>
            </w:pPr>
            <w:r/>
            <w:r>
              <w:rPr>
                <w:rFonts w:ascii="Calibri" w:hAnsi="Calibri"/>
                <w:b w:val="0"/>
                <w:sz w:val="14"/>
              </w:rPr>
              <w:t>Procurement</w:t>
            </w:r>
          </w:p>
        </w:tc>
      </w:tr>
      <w:tr>
        <w:tc>
          <w:tcPr>
            <w:tcW w:type="dxa" w:w="680"/>
            <w:shd w:val="clear" w:fill="F7F9FB"/>
          </w:tcPr>
          <w:p>
            <w:pPr>
              <w:spacing w:after="20" w:before="20" w:line="240" w:lineRule="auto"/>
              <w:jc w:val="center"/>
            </w:pPr>
            <w:r/>
            <w:r>
              <w:rPr>
                <w:rFonts w:ascii="Calibri" w:hAnsi="Calibri"/>
                <w:b w:val="0"/>
                <w:sz w:val="14"/>
              </w:rPr>
              <w:t>D-26</w:t>
            </w:r>
          </w:p>
        </w:tc>
        <w:tc>
          <w:tcPr>
            <w:tcW w:type="dxa" w:w="2494"/>
            <w:shd w:val="clear" w:fill="F7F9FB"/>
          </w:tcPr>
          <w:p>
            <w:pPr>
              <w:spacing w:after="20" w:before="20" w:line="240" w:lineRule="auto"/>
            </w:pPr>
            <w:r/>
            <w:r>
              <w:rPr>
                <w:rFonts w:ascii="Calibri" w:hAnsi="Calibri"/>
                <w:b w:val="0"/>
                <w:sz w:val="14"/>
              </w:rPr>
              <w:t>Which projects are active, when do they end, and how much budget remains?</w:t>
            </w:r>
          </w:p>
        </w:tc>
        <w:tc>
          <w:tcPr>
            <w:tcW w:type="dxa" w:w="2154"/>
            <w:shd w:val="clear" w:fill="F7F9FB"/>
          </w:tcPr>
          <w:p>
            <w:pPr>
              <w:spacing w:after="20" w:before="20" w:line="240" w:lineRule="auto"/>
            </w:pPr>
            <w:r/>
            <w:r>
              <w:rPr>
                <w:rFonts w:ascii="Calibri" w:hAnsi="Calibri"/>
                <w:b w:val="0"/>
                <w:sz w:val="14"/>
              </w:rPr>
              <w:t>End-date proximity converts a variance into an urgent decision.</w:t>
            </w:r>
          </w:p>
        </w:tc>
        <w:tc>
          <w:tcPr>
            <w:tcW w:type="dxa" w:w="1587"/>
            <w:shd w:val="clear" w:fill="F7F9FB"/>
          </w:tcPr>
          <w:p>
            <w:pPr>
              <w:spacing w:after="20" w:before="20" w:line="240" w:lineRule="auto"/>
            </w:pPr>
            <w:r/>
            <w:r>
              <w:rPr>
                <w:rFonts w:ascii="Calibri" w:hAnsi="Calibri"/>
                <w:b w:val="0"/>
                <w:sz w:val="14"/>
              </w:rPr>
              <w:t>Project dates, budget, consumption</w:t>
            </w:r>
          </w:p>
        </w:tc>
        <w:tc>
          <w:tcPr>
            <w:tcW w:type="dxa" w:w="1928"/>
            <w:shd w:val="clear" w:fill="F7F9FB"/>
          </w:tcPr>
          <w:p>
            <w:pPr>
              <w:spacing w:after="20" w:before="20" w:line="240" w:lineRule="auto"/>
            </w:pPr>
            <w:r/>
            <w:r>
              <w:rPr>
                <w:rFonts w:ascii="Calibri" w:hAnsi="Calibri"/>
                <w:b w:val="0"/>
                <w:sz w:val="14"/>
              </w:rPr>
              <w:t>Days remaining, unspent budget, burn rate</w:t>
            </w:r>
          </w:p>
        </w:tc>
        <w:tc>
          <w:tcPr>
            <w:tcW w:type="dxa" w:w="907"/>
            <w:shd w:val="clear" w:fill="F7F9FB"/>
          </w:tcPr>
          <w:p>
            <w:pPr>
              <w:spacing w:after="20" w:before="20" w:line="240" w:lineRule="auto"/>
            </w:pPr>
            <w:r/>
            <w:r>
              <w:rPr>
                <w:rFonts w:ascii="Calibri" w:hAnsi="Calibri"/>
                <w:b w:val="0"/>
                <w:sz w:val="14"/>
              </w:rPr>
              <w:t>&lt; 120 days to end</w:t>
            </w:r>
          </w:p>
        </w:tc>
        <w:tc>
          <w:tcPr>
            <w:tcW w:type="dxa" w:w="850"/>
            <w:shd w:val="clear" w:fill="F7F9FB"/>
          </w:tcPr>
          <w:p>
            <w:pPr>
              <w:spacing w:after="20" w:before="20" w:line="240" w:lineRule="auto"/>
              <w:jc w:val="center"/>
            </w:pPr>
            <w:r/>
            <w:r>
              <w:rPr>
                <w:rFonts w:ascii="Calibri" w:hAnsi="Calibri"/>
                <w:b w:val="0"/>
                <w:sz w:val="14"/>
              </w:rPr>
              <w:t>Monthly</w:t>
            </w:r>
          </w:p>
        </w:tc>
        <w:tc>
          <w:tcPr>
            <w:tcW w:type="dxa" w:w="850"/>
            <w:shd w:val="clear" w:fill="F7F9FB"/>
          </w:tcPr>
          <w:p>
            <w:pPr>
              <w:spacing w:after="20" w:before="20" w:line="240" w:lineRule="auto"/>
              <w:jc w:val="center"/>
            </w:pPr>
            <w:r/>
            <w:r>
              <w:rPr>
                <w:rFonts w:ascii="Calibri" w:hAnsi="Calibri"/>
                <w:b w:val="0"/>
                <w:sz w:val="14"/>
              </w:rPr>
              <w:t>Programme</w:t>
            </w:r>
          </w:p>
        </w:tc>
      </w:tr>
      <w:tr>
        <w:tc>
          <w:tcPr>
            <w:tcW w:type="dxa" w:w="680"/>
          </w:tcPr>
          <w:p>
            <w:pPr>
              <w:spacing w:after="20" w:before="20" w:line="240" w:lineRule="auto"/>
              <w:jc w:val="center"/>
            </w:pPr>
            <w:r/>
            <w:r>
              <w:rPr>
                <w:rFonts w:ascii="Calibri" w:hAnsi="Calibri"/>
                <w:b w:val="0"/>
                <w:sz w:val="14"/>
              </w:rPr>
              <w:t>D-27</w:t>
            </w:r>
          </w:p>
        </w:tc>
        <w:tc>
          <w:tcPr>
            <w:tcW w:type="dxa" w:w="2494"/>
          </w:tcPr>
          <w:p>
            <w:pPr>
              <w:spacing w:after="20" w:before="20" w:line="240" w:lineRule="auto"/>
            </w:pPr>
            <w:r/>
            <w:r>
              <w:rPr>
                <w:rFonts w:ascii="Calibri" w:hAnsi="Calibri"/>
                <w:b w:val="0"/>
                <w:sz w:val="14"/>
              </w:rPr>
              <w:t>What is the distribution of consumption by value size (how many small vs large issue lines)?</w:t>
            </w:r>
          </w:p>
        </w:tc>
        <w:tc>
          <w:tcPr>
            <w:tcW w:type="dxa" w:w="2154"/>
          </w:tcPr>
          <w:p>
            <w:pPr>
              <w:spacing w:after="20" w:before="20" w:line="240" w:lineRule="auto"/>
            </w:pPr>
            <w:r/>
            <w:r>
              <w:rPr>
                <w:rFonts w:ascii="Calibri" w:hAnsi="Calibri"/>
                <w:b w:val="0"/>
                <w:sz w:val="14"/>
              </w:rPr>
              <w:t>Shows whether control effort should sit at requisition level or at issue level.</w:t>
            </w:r>
          </w:p>
        </w:tc>
        <w:tc>
          <w:tcPr>
            <w:tcW w:type="dxa" w:w="1587"/>
          </w:tcPr>
          <w:p>
            <w:pPr>
              <w:spacing w:after="20" w:before="20" w:line="240" w:lineRule="auto"/>
            </w:pPr>
            <w:r/>
            <w:r>
              <w:rPr>
                <w:rFonts w:ascii="Calibri" w:hAnsi="Calibri"/>
                <w:b w:val="0"/>
                <w:sz w:val="14"/>
              </w:rPr>
              <w:t>Issue value per line</w:t>
            </w:r>
          </w:p>
        </w:tc>
        <w:tc>
          <w:tcPr>
            <w:tcW w:type="dxa" w:w="1928"/>
          </w:tcPr>
          <w:p>
            <w:pPr>
              <w:spacing w:after="20" w:before="20" w:line="240" w:lineRule="auto"/>
            </w:pPr>
            <w:r/>
            <w:r>
              <w:rPr>
                <w:rFonts w:ascii="Calibri" w:hAnsi="Calibri"/>
                <w:b w:val="0"/>
                <w:sz w:val="14"/>
              </w:rPr>
              <w:t>Histogram of issue line values; share of lines below materiality</w:t>
            </w:r>
          </w:p>
        </w:tc>
        <w:tc>
          <w:tcPr>
            <w:tcW w:type="dxa" w:w="907"/>
          </w:tcPr>
          <w:p>
            <w:pPr>
              <w:spacing w:after="20" w:before="20" w:line="240" w:lineRule="auto"/>
            </w:pPr>
            <w:r/>
            <w:r>
              <w:rPr>
                <w:rFonts w:ascii="Calibri" w:hAnsi="Calibri"/>
                <w:b w:val="0"/>
                <w:sz w:val="14"/>
              </w:rPr>
              <w:t>Report</w:t>
            </w:r>
          </w:p>
        </w:tc>
        <w:tc>
          <w:tcPr>
            <w:tcW w:type="dxa" w:w="850"/>
          </w:tcPr>
          <w:p>
            <w:pPr>
              <w:spacing w:after="20" w:before="20" w:line="240" w:lineRule="auto"/>
              <w:jc w:val="center"/>
            </w:pPr>
            <w:r/>
            <w:r>
              <w:rPr>
                <w:rFonts w:ascii="Calibri" w:hAnsi="Calibri"/>
                <w:b w:val="0"/>
                <w:sz w:val="14"/>
              </w:rPr>
              <w:t>Quarterly</w:t>
            </w:r>
          </w:p>
        </w:tc>
        <w:tc>
          <w:tcPr>
            <w:tcW w:type="dxa" w:w="850"/>
          </w:tcPr>
          <w:p>
            <w:pPr>
              <w:spacing w:after="20" w:before="20" w:line="240" w:lineRule="auto"/>
              <w:jc w:val="center"/>
            </w:pPr>
            <w:r/>
            <w:r>
              <w:rPr>
                <w:rFonts w:ascii="Calibri" w:hAnsi="Calibri"/>
                <w:b w:val="0"/>
                <w:sz w:val="14"/>
              </w:rPr>
              <w:t>Internal audit</w:t>
            </w:r>
          </w:p>
        </w:tc>
      </w:tr>
    </w:tbl>
    <w:p>
      <w:pPr>
        <w:spacing w:after="20"/>
      </w:pPr>
    </w:p>
    <w:p>
      <w:pPr>
        <w:pStyle w:val="Heading2"/>
      </w:pPr>
      <w:r>
        <w:t>3.1 Notes on the descriptive layer</w:t>
      </w:r>
    </w:p>
    <w:p>
      <w:pPr>
        <w:pStyle w:val="ListBullet"/>
        <w:spacing w:after="50"/>
        <w:ind w:left="340"/>
      </w:pPr>
      <w:r>
        <w:t>Always state the as-at date and the filter scope with the number: a value without its scope is not an answer.</w:t>
      </w:r>
    </w:p>
    <w:p>
      <w:pPr>
        <w:pStyle w:val="ListBullet"/>
        <w:spacing w:after="50"/>
        <w:ind w:left="340"/>
      </w:pPr>
      <w:r>
        <w:t>Consumption excludes inter-store transfers; if transfers are included, totals will double count.</w:t>
      </w:r>
    </w:p>
    <w:p>
      <w:pPr>
        <w:pStyle w:val="ListBullet"/>
        <w:spacing w:after="50"/>
        <w:ind w:left="340"/>
      </w:pPr>
      <w:r>
        <w:t>Ratios are meaningless where the denominator is zero — the answer must be blank with a note, not zero.</w:t>
      </w:r>
    </w:p>
    <w:p>
      <w:pPr>
        <w:pStyle w:val="ListBullet"/>
        <w:spacing w:after="50"/>
        <w:ind w:left="340"/>
      </w:pPr>
      <w:r>
        <w:t>Where a value is derived from two sources (consumption and beneficiaries, for example), report the data completeness of both before reporting the ratio.</w:t>
      </w:r>
    </w:p>
    <w:p>
      <w:r>
        <w:br w:type="page"/>
      </w:r>
    </w:p>
    <w:p>
      <w:pPr>
        <w:pStyle w:val="Heading1"/>
      </w:pPr>
      <w:r>
        <w:t>4. Diagnostic questions – why it happened</w:t>
      </w:r>
    </w:p>
    <w:p>
      <w:pPr>
        <w:spacing w:after="100"/>
      </w:pPr>
      <w:r>
        <w:rPr>
          <w:b w:val="0"/>
          <w:i w:val="0"/>
        </w:rPr>
        <w:t>Diagnostic questions force causes to be tested in a ranked order rather than guessed. The output is not a number but an evidence-backed explanation — and, where the evidence is insufficient, an explicit statement of what is missing.</w:t>
      </w:r>
    </w:p>
    <w:tbl>
      <w:tblPr>
        <w:tblStyle w:val="TableGrid"/>
        <w:tblW w:type="auto" w:w="0"/>
        <w:jc w:val="center"/>
        <w:tblLayout w:type="fixed"/>
        <w:tblLook w:firstColumn="1" w:firstRow="1" w:lastColumn="0" w:lastRow="0" w:noHBand="0" w:noVBand="1" w:val="04A0"/>
      </w:tblPr>
      <w:tblGrid>
        <w:gridCol w:w="1261"/>
        <w:gridCol w:w="1261"/>
        <w:gridCol w:w="1261"/>
        <w:gridCol w:w="1261"/>
        <w:gridCol w:w="1261"/>
        <w:gridCol w:w="1261"/>
        <w:gridCol w:w="1261"/>
        <w:gridCol w:w="1261"/>
      </w:tblGrid>
      <w:tr>
        <w:trPr>
          <w:tblHeader/>
        </w:trPr>
        <w:tc>
          <w:tcPr>
            <w:tcW w:type="dxa" w:w="680"/>
            <w:shd w:val="clear" w:fill="1F3B57"/>
          </w:tcPr>
          <w:p>
            <w:pPr>
              <w:spacing w:after="20" w:before="20" w:line="240" w:lineRule="auto"/>
            </w:pPr>
            <w:r/>
            <w:r>
              <w:rPr>
                <w:rFonts w:ascii="Calibri" w:hAnsi="Calibri"/>
                <w:b/>
                <w:color w:val="FFFFFF"/>
                <w:sz w:val="14"/>
              </w:rPr>
              <w:t>ID</w:t>
            </w:r>
          </w:p>
        </w:tc>
        <w:tc>
          <w:tcPr>
            <w:tcW w:type="dxa" w:w="2494"/>
            <w:shd w:val="clear" w:fill="1F3B57"/>
          </w:tcPr>
          <w:p>
            <w:pPr>
              <w:spacing w:after="20" w:before="20" w:line="240" w:lineRule="auto"/>
            </w:pPr>
            <w:r/>
            <w:r>
              <w:rPr>
                <w:rFonts w:ascii="Calibri" w:hAnsi="Calibri"/>
                <w:b/>
                <w:color w:val="FFFFFF"/>
                <w:sz w:val="14"/>
              </w:rPr>
              <w:t>Question</w:t>
            </w:r>
          </w:p>
        </w:tc>
        <w:tc>
          <w:tcPr>
            <w:tcW w:type="dxa" w:w="2154"/>
            <w:shd w:val="clear" w:fill="1F3B57"/>
          </w:tcPr>
          <w:p>
            <w:pPr>
              <w:spacing w:after="20" w:before="20" w:line="240" w:lineRule="auto"/>
            </w:pPr>
            <w:r/>
            <w:r>
              <w:rPr>
                <w:rFonts w:ascii="Calibri" w:hAnsi="Calibri"/>
                <w:b/>
                <w:color w:val="FFFFFF"/>
                <w:sz w:val="14"/>
              </w:rPr>
              <w:t>Why it matters / decision supported</w:t>
            </w:r>
          </w:p>
        </w:tc>
        <w:tc>
          <w:tcPr>
            <w:tcW w:type="dxa" w:w="1587"/>
            <w:shd w:val="clear" w:fill="1F3B57"/>
          </w:tcPr>
          <w:p>
            <w:pPr>
              <w:spacing w:after="20" w:before="20" w:line="240" w:lineRule="auto"/>
            </w:pPr>
            <w:r/>
            <w:r>
              <w:rPr>
                <w:rFonts w:ascii="Calibri" w:hAnsi="Calibri"/>
                <w:b/>
                <w:color w:val="FFFFFF"/>
                <w:sz w:val="14"/>
              </w:rPr>
              <w:t>Data required</w:t>
            </w:r>
          </w:p>
        </w:tc>
        <w:tc>
          <w:tcPr>
            <w:tcW w:type="dxa" w:w="1928"/>
            <w:shd w:val="clear" w:fill="1F3B57"/>
          </w:tcPr>
          <w:p>
            <w:pPr>
              <w:spacing w:after="20" w:before="20" w:line="240" w:lineRule="auto"/>
            </w:pPr>
            <w:r/>
            <w:r>
              <w:rPr>
                <w:rFonts w:ascii="Calibri" w:hAnsi="Calibri"/>
                <w:b/>
                <w:color w:val="FFFFFF"/>
                <w:sz w:val="14"/>
              </w:rPr>
              <w:t>How to answer</w:t>
            </w:r>
          </w:p>
        </w:tc>
        <w:tc>
          <w:tcPr>
            <w:tcW w:type="dxa" w:w="907"/>
            <w:shd w:val="clear" w:fill="1F3B57"/>
          </w:tcPr>
          <w:p>
            <w:pPr>
              <w:spacing w:after="20" w:before="20" w:line="240" w:lineRule="auto"/>
            </w:pPr>
            <w:r/>
            <w:r>
              <w:rPr>
                <w:rFonts w:ascii="Calibri" w:hAnsi="Calibri"/>
                <w:b/>
                <w:color w:val="FFFFFF"/>
                <w:sz w:val="14"/>
              </w:rPr>
              <w:t>Trigger</w:t>
            </w:r>
          </w:p>
        </w:tc>
        <w:tc>
          <w:tcPr>
            <w:tcW w:type="dxa" w:w="850"/>
            <w:shd w:val="clear" w:fill="1F3B57"/>
          </w:tcPr>
          <w:p>
            <w:pPr>
              <w:spacing w:after="20" w:before="20" w:line="240" w:lineRule="auto"/>
            </w:pPr>
            <w:r/>
            <w:r>
              <w:rPr>
                <w:rFonts w:ascii="Calibri" w:hAnsi="Calibri"/>
                <w:b/>
                <w:color w:val="FFFFFF"/>
                <w:sz w:val="14"/>
              </w:rPr>
              <w:t>Cadence</w:t>
            </w:r>
          </w:p>
        </w:tc>
        <w:tc>
          <w:tcPr>
            <w:tcW w:type="dxa" w:w="850"/>
            <w:shd w:val="clear" w:fill="1F3B57"/>
          </w:tcPr>
          <w:p>
            <w:pPr>
              <w:spacing w:after="20" w:before="20" w:line="240" w:lineRule="auto"/>
            </w:pPr>
            <w:r/>
            <w:r>
              <w:rPr>
                <w:rFonts w:ascii="Calibri" w:hAnsi="Calibri"/>
                <w:b/>
                <w:color w:val="FFFFFF"/>
                <w:sz w:val="14"/>
              </w:rPr>
              <w:t>Owner</w:t>
            </w:r>
          </w:p>
        </w:tc>
      </w:tr>
      <w:tr>
        <w:tc>
          <w:tcPr>
            <w:tcW w:type="dxa" w:w="680"/>
          </w:tcPr>
          <w:p>
            <w:pPr>
              <w:spacing w:after="20" w:before="20" w:line="240" w:lineRule="auto"/>
              <w:jc w:val="center"/>
            </w:pPr>
            <w:r/>
            <w:r>
              <w:rPr>
                <w:rFonts w:ascii="Calibri" w:hAnsi="Calibri"/>
                <w:b w:val="0"/>
                <w:sz w:val="14"/>
              </w:rPr>
              <w:t>G-01</w:t>
            </w:r>
          </w:p>
        </w:tc>
        <w:tc>
          <w:tcPr>
            <w:tcW w:type="dxa" w:w="2494"/>
          </w:tcPr>
          <w:p>
            <w:pPr>
              <w:spacing w:after="20" w:before="20" w:line="240" w:lineRule="auto"/>
            </w:pPr>
            <w:r/>
            <w:r>
              <w:rPr>
                <w:rFonts w:ascii="Calibri" w:hAnsi="Calibri"/>
                <w:b w:val="0"/>
                <w:sz w:val="14"/>
              </w:rPr>
              <w:t>Why is consumption higher or lower than the previous month?</w:t>
            </w:r>
          </w:p>
        </w:tc>
        <w:tc>
          <w:tcPr>
            <w:tcW w:type="dxa" w:w="2154"/>
          </w:tcPr>
          <w:p>
            <w:pPr>
              <w:spacing w:after="20" w:before="20" w:line="240" w:lineRule="auto"/>
            </w:pPr>
            <w:r/>
            <w:r>
              <w:rPr>
                <w:rFonts w:ascii="Calibri" w:hAnsi="Calibri"/>
                <w:b w:val="0"/>
                <w:sz w:val="14"/>
              </w:rPr>
              <w:t>Attributes movement to volume, price, mix, new projects or a one-off event.</w:t>
            </w:r>
          </w:p>
        </w:tc>
        <w:tc>
          <w:tcPr>
            <w:tcW w:type="dxa" w:w="1587"/>
          </w:tcPr>
          <w:p>
            <w:pPr>
              <w:spacing w:after="20" w:before="20" w:line="240" w:lineRule="auto"/>
            </w:pPr>
            <w:r/>
            <w:r>
              <w:rPr>
                <w:rFonts w:ascii="Calibri" w:hAnsi="Calibri"/>
                <w:b w:val="0"/>
                <w:sz w:val="14"/>
              </w:rPr>
              <w:t>Volume, unit price, category mix, project activity, event log</w:t>
            </w:r>
          </w:p>
        </w:tc>
        <w:tc>
          <w:tcPr>
            <w:tcW w:type="dxa" w:w="1928"/>
          </w:tcPr>
          <w:p>
            <w:pPr>
              <w:spacing w:after="20" w:before="20" w:line="240" w:lineRule="auto"/>
            </w:pPr>
            <w:r/>
            <w:r>
              <w:rPr>
                <w:rFonts w:ascii="Calibri" w:hAnsi="Calibri"/>
                <w:b w:val="0"/>
                <w:sz w:val="14"/>
              </w:rPr>
              <w:t>Decompose change into volume effect, price effect and mix effect; test against known events</w:t>
            </w:r>
          </w:p>
        </w:tc>
        <w:tc>
          <w:tcPr>
            <w:tcW w:type="dxa" w:w="907"/>
          </w:tcPr>
          <w:p>
            <w:pPr>
              <w:spacing w:after="20" w:before="20" w:line="240" w:lineRule="auto"/>
            </w:pPr>
            <w:r/>
            <w:r>
              <w:rPr>
                <w:rFonts w:ascii="Calibri" w:hAnsi="Calibri"/>
                <w:b w:val="0"/>
                <w:sz w:val="14"/>
              </w:rPr>
              <w:t>MoM &gt; ±15%</w:t>
            </w:r>
          </w:p>
        </w:tc>
        <w:tc>
          <w:tcPr>
            <w:tcW w:type="dxa" w:w="850"/>
          </w:tcPr>
          <w:p>
            <w:pPr>
              <w:spacing w:after="20" w:before="20" w:line="240" w:lineRule="auto"/>
              <w:jc w:val="center"/>
            </w:pPr>
            <w:r/>
            <w:r>
              <w:rPr>
                <w:rFonts w:ascii="Calibri" w:hAnsi="Calibri"/>
                <w:b w:val="0"/>
                <w:sz w:val="14"/>
              </w:rPr>
              <w:t>Monthly</w:t>
            </w:r>
          </w:p>
        </w:tc>
        <w:tc>
          <w:tcPr>
            <w:tcW w:type="dxa" w:w="850"/>
          </w:tcPr>
          <w:p>
            <w:pPr>
              <w:spacing w:after="20" w:before="20" w:line="240" w:lineRule="auto"/>
              <w:jc w:val="center"/>
            </w:pPr>
            <w:r/>
            <w:r>
              <w:rPr>
                <w:rFonts w:ascii="Calibri" w:hAnsi="Calibri"/>
                <w:b w:val="0"/>
                <w:sz w:val="14"/>
              </w:rPr>
              <w:t>Procurement</w:t>
            </w:r>
          </w:p>
        </w:tc>
      </w:tr>
      <w:tr>
        <w:tc>
          <w:tcPr>
            <w:tcW w:type="dxa" w:w="680"/>
            <w:shd w:val="clear" w:fill="F7F9FB"/>
          </w:tcPr>
          <w:p>
            <w:pPr>
              <w:spacing w:after="20" w:before="20" w:line="240" w:lineRule="auto"/>
              <w:jc w:val="center"/>
            </w:pPr>
            <w:r/>
            <w:r>
              <w:rPr>
                <w:rFonts w:ascii="Calibri" w:hAnsi="Calibri"/>
                <w:b w:val="0"/>
                <w:sz w:val="14"/>
              </w:rPr>
              <w:t>G-02</w:t>
            </w:r>
          </w:p>
        </w:tc>
        <w:tc>
          <w:tcPr>
            <w:tcW w:type="dxa" w:w="2494"/>
            <w:shd w:val="clear" w:fill="F7F9FB"/>
          </w:tcPr>
          <w:p>
            <w:pPr>
              <w:spacing w:after="20" w:before="20" w:line="240" w:lineRule="auto"/>
            </w:pPr>
            <w:r/>
            <w:r>
              <w:rPr>
                <w:rFonts w:ascii="Calibri" w:hAnsi="Calibri"/>
                <w:b w:val="0"/>
                <w:sz w:val="14"/>
              </w:rPr>
              <w:t>Why is the consumption-to-investment ratio below or above the acceptable band?</w:t>
            </w:r>
          </w:p>
        </w:tc>
        <w:tc>
          <w:tcPr>
            <w:tcW w:type="dxa" w:w="2154"/>
            <w:shd w:val="clear" w:fill="F7F9FB"/>
          </w:tcPr>
          <w:p>
            <w:pPr>
              <w:spacing w:after="20" w:before="20" w:line="240" w:lineRule="auto"/>
            </w:pPr>
            <w:r/>
            <w:r>
              <w:rPr>
                <w:rFonts w:ascii="Calibri" w:hAnsi="Calibri"/>
                <w:b w:val="0"/>
                <w:sz w:val="14"/>
              </w:rPr>
              <w:t>Distinguishes over-ordering from genuine drawdown of opening stock.</w:t>
            </w:r>
          </w:p>
        </w:tc>
        <w:tc>
          <w:tcPr>
            <w:tcW w:type="dxa" w:w="1587"/>
            <w:shd w:val="clear" w:fill="F7F9FB"/>
          </w:tcPr>
          <w:p>
            <w:pPr>
              <w:spacing w:after="20" w:before="20" w:line="240" w:lineRule="auto"/>
            </w:pPr>
            <w:r/>
            <w:r>
              <w:rPr>
                <w:rFonts w:ascii="Calibri" w:hAnsi="Calibri"/>
                <w:b w:val="0"/>
                <w:sz w:val="14"/>
              </w:rPr>
              <w:t>PO value, GRN value, opening stock, lead times</w:t>
            </w:r>
          </w:p>
        </w:tc>
        <w:tc>
          <w:tcPr>
            <w:tcW w:type="dxa" w:w="1928"/>
            <w:shd w:val="clear" w:fill="F7F9FB"/>
          </w:tcPr>
          <w:p>
            <w:pPr>
              <w:spacing w:after="20" w:before="20" w:line="240" w:lineRule="auto"/>
            </w:pPr>
            <w:r/>
            <w:r>
              <w:rPr>
                <w:rFonts w:ascii="Calibri" w:hAnsi="Calibri"/>
                <w:b w:val="0"/>
                <w:sz w:val="14"/>
              </w:rPr>
              <w:t>Test in order: ordering ahead of need, delayed issues, big pack sizes, project start-up stock</w:t>
            </w:r>
          </w:p>
        </w:tc>
        <w:tc>
          <w:tcPr>
            <w:tcW w:type="dxa" w:w="907"/>
            <w:shd w:val="clear" w:fill="F7F9FB"/>
          </w:tcPr>
          <w:p>
            <w:pPr>
              <w:spacing w:after="20" w:before="20" w:line="240" w:lineRule="auto"/>
            </w:pPr>
            <w:r/>
            <w:r>
              <w:rPr>
                <w:rFonts w:ascii="Calibri" w:hAnsi="Calibri"/>
                <w:b w:val="0"/>
                <w:sz w:val="14"/>
              </w:rPr>
              <w:t>P-02 breach</w:t>
            </w:r>
          </w:p>
        </w:tc>
        <w:tc>
          <w:tcPr>
            <w:tcW w:type="dxa" w:w="850"/>
            <w:shd w:val="clear" w:fill="F7F9FB"/>
          </w:tcPr>
          <w:p>
            <w:pPr>
              <w:spacing w:after="20" w:before="20" w:line="240" w:lineRule="auto"/>
              <w:jc w:val="center"/>
            </w:pPr>
            <w:r/>
            <w:r>
              <w:rPr>
                <w:rFonts w:ascii="Calibri" w:hAnsi="Calibri"/>
                <w:b w:val="0"/>
                <w:sz w:val="14"/>
              </w:rPr>
              <w:t>Monthly</w:t>
            </w:r>
          </w:p>
        </w:tc>
        <w:tc>
          <w:tcPr>
            <w:tcW w:type="dxa" w:w="850"/>
            <w:shd w:val="clear" w:fill="F7F9FB"/>
          </w:tcPr>
          <w:p>
            <w:pPr>
              <w:spacing w:after="20" w:before="20" w:line="240" w:lineRule="auto"/>
              <w:jc w:val="center"/>
            </w:pPr>
            <w:r/>
            <w:r>
              <w:rPr>
                <w:rFonts w:ascii="Calibri" w:hAnsi="Calibri"/>
                <w:b w:val="0"/>
                <w:sz w:val="14"/>
              </w:rPr>
              <w:t>Procurement</w:t>
            </w:r>
          </w:p>
        </w:tc>
      </w:tr>
      <w:tr>
        <w:tc>
          <w:tcPr>
            <w:tcW w:type="dxa" w:w="680"/>
          </w:tcPr>
          <w:p>
            <w:pPr>
              <w:spacing w:after="20" w:before="20" w:line="240" w:lineRule="auto"/>
              <w:jc w:val="center"/>
            </w:pPr>
            <w:r/>
            <w:r>
              <w:rPr>
                <w:rFonts w:ascii="Calibri" w:hAnsi="Calibri"/>
                <w:b w:val="0"/>
                <w:sz w:val="14"/>
              </w:rPr>
              <w:t>G-03</w:t>
            </w:r>
          </w:p>
        </w:tc>
        <w:tc>
          <w:tcPr>
            <w:tcW w:type="dxa" w:w="2494"/>
          </w:tcPr>
          <w:p>
            <w:pPr>
              <w:spacing w:after="20" w:before="20" w:line="240" w:lineRule="auto"/>
            </w:pPr>
            <w:r/>
            <w:r>
              <w:rPr>
                <w:rFonts w:ascii="Calibri" w:hAnsi="Calibri"/>
                <w:b w:val="0"/>
                <w:sz w:val="14"/>
              </w:rPr>
              <w:t>Which cost element explains a budget overrun — price, quantity or a new activity?</w:t>
            </w:r>
          </w:p>
        </w:tc>
        <w:tc>
          <w:tcPr>
            <w:tcW w:type="dxa" w:w="2154"/>
          </w:tcPr>
          <w:p>
            <w:pPr>
              <w:spacing w:after="20" w:before="20" w:line="240" w:lineRule="auto"/>
            </w:pPr>
            <w:r/>
            <w:r>
              <w:rPr>
                <w:rFonts w:ascii="Calibri" w:hAnsi="Calibri"/>
                <w:b w:val="0"/>
                <w:sz w:val="14"/>
              </w:rPr>
              <w:t>Determines whether the answer is negotiation, rationing or a budget revision.</w:t>
            </w:r>
          </w:p>
        </w:tc>
        <w:tc>
          <w:tcPr>
            <w:tcW w:type="dxa" w:w="1587"/>
          </w:tcPr>
          <w:p>
            <w:pPr>
              <w:spacing w:after="20" w:before="20" w:line="240" w:lineRule="auto"/>
            </w:pPr>
            <w:r/>
            <w:r>
              <w:rPr>
                <w:rFonts w:ascii="Calibri" w:hAnsi="Calibri"/>
                <w:b w:val="0"/>
                <w:sz w:val="14"/>
              </w:rPr>
              <w:t>Budget, consumption, unit price history, service volumes</w:t>
            </w:r>
          </w:p>
        </w:tc>
        <w:tc>
          <w:tcPr>
            <w:tcW w:type="dxa" w:w="1928"/>
          </w:tcPr>
          <w:p>
            <w:pPr>
              <w:spacing w:after="20" w:before="20" w:line="240" w:lineRule="auto"/>
            </w:pPr>
            <w:r/>
            <w:r>
              <w:rPr>
                <w:rFonts w:ascii="Calibri" w:hAnsi="Calibri"/>
                <w:b w:val="0"/>
                <w:sz w:val="14"/>
              </w:rPr>
              <w:t>Price × quantity decomposition; compare volume growth with service growth</w:t>
            </w:r>
          </w:p>
        </w:tc>
        <w:tc>
          <w:tcPr>
            <w:tcW w:type="dxa" w:w="907"/>
          </w:tcPr>
          <w:p>
            <w:pPr>
              <w:spacing w:after="20" w:before="20" w:line="240" w:lineRule="auto"/>
            </w:pPr>
            <w:r/>
            <w:r>
              <w:rPr>
                <w:rFonts w:ascii="Calibri" w:hAnsi="Calibri"/>
                <w:b w:val="0"/>
                <w:sz w:val="14"/>
              </w:rPr>
              <w:t>&gt; 10% over</w:t>
            </w:r>
          </w:p>
        </w:tc>
        <w:tc>
          <w:tcPr>
            <w:tcW w:type="dxa" w:w="850"/>
          </w:tcPr>
          <w:p>
            <w:pPr>
              <w:spacing w:after="20" w:before="20" w:line="240" w:lineRule="auto"/>
              <w:jc w:val="center"/>
            </w:pPr>
            <w:r/>
            <w:r>
              <w:rPr>
                <w:rFonts w:ascii="Calibri" w:hAnsi="Calibri"/>
                <w:b w:val="0"/>
                <w:sz w:val="14"/>
              </w:rPr>
              <w:t>Monthly</w:t>
            </w:r>
          </w:p>
        </w:tc>
        <w:tc>
          <w:tcPr>
            <w:tcW w:type="dxa" w:w="850"/>
          </w:tcPr>
          <w:p>
            <w:pPr>
              <w:spacing w:after="20" w:before="20" w:line="240" w:lineRule="auto"/>
              <w:jc w:val="center"/>
            </w:pPr>
            <w:r/>
            <w:r>
              <w:rPr>
                <w:rFonts w:ascii="Calibri" w:hAnsi="Calibri"/>
                <w:b w:val="0"/>
                <w:sz w:val="14"/>
              </w:rPr>
              <w:t>Finance</w:t>
            </w:r>
          </w:p>
        </w:tc>
      </w:tr>
      <w:tr>
        <w:tc>
          <w:tcPr>
            <w:tcW w:type="dxa" w:w="680"/>
            <w:shd w:val="clear" w:fill="F7F9FB"/>
          </w:tcPr>
          <w:p>
            <w:pPr>
              <w:spacing w:after="20" w:before="20" w:line="240" w:lineRule="auto"/>
              <w:jc w:val="center"/>
            </w:pPr>
            <w:r/>
            <w:r>
              <w:rPr>
                <w:rFonts w:ascii="Calibri" w:hAnsi="Calibri"/>
                <w:b w:val="0"/>
                <w:sz w:val="14"/>
              </w:rPr>
              <w:t>G-04</w:t>
            </w:r>
          </w:p>
        </w:tc>
        <w:tc>
          <w:tcPr>
            <w:tcW w:type="dxa" w:w="2494"/>
            <w:shd w:val="clear" w:fill="F7F9FB"/>
          </w:tcPr>
          <w:p>
            <w:pPr>
              <w:spacing w:after="20" w:before="20" w:line="240" w:lineRule="auto"/>
            </w:pPr>
            <w:r/>
            <w:r>
              <w:rPr>
                <w:rFonts w:ascii="Calibri" w:hAnsi="Calibri"/>
                <w:b w:val="0"/>
                <w:sz w:val="14"/>
              </w:rPr>
              <w:t>Why did a specific item's consumption spike?</w:t>
            </w:r>
          </w:p>
        </w:tc>
        <w:tc>
          <w:tcPr>
            <w:tcW w:type="dxa" w:w="2154"/>
            <w:shd w:val="clear" w:fill="F7F9FB"/>
          </w:tcPr>
          <w:p>
            <w:pPr>
              <w:spacing w:after="20" w:before="20" w:line="240" w:lineRule="auto"/>
            </w:pPr>
            <w:r/>
            <w:r>
              <w:rPr>
                <w:rFonts w:ascii="Calibri" w:hAnsi="Calibri"/>
                <w:b w:val="0"/>
                <w:sz w:val="14"/>
              </w:rPr>
              <w:t>A spike is either a genuine outbreak/scale-up or an error (duplicate issue, wrong UOM).</w:t>
            </w:r>
          </w:p>
        </w:tc>
        <w:tc>
          <w:tcPr>
            <w:tcW w:type="dxa" w:w="1587"/>
            <w:shd w:val="clear" w:fill="F7F9FB"/>
          </w:tcPr>
          <w:p>
            <w:pPr>
              <w:spacing w:after="20" w:before="20" w:line="240" w:lineRule="auto"/>
            </w:pPr>
            <w:r/>
            <w:r>
              <w:rPr>
                <w:rFonts w:ascii="Calibri" w:hAnsi="Calibri"/>
                <w:b w:val="0"/>
                <w:sz w:val="14"/>
              </w:rPr>
              <w:t>Item issues by day, project, service point, batch</w:t>
            </w:r>
          </w:p>
        </w:tc>
        <w:tc>
          <w:tcPr>
            <w:tcW w:type="dxa" w:w="1928"/>
            <w:shd w:val="clear" w:fill="F7F9FB"/>
          </w:tcPr>
          <w:p>
            <w:pPr>
              <w:spacing w:after="20" w:before="20" w:line="240" w:lineRule="auto"/>
            </w:pPr>
            <w:r/>
            <w:r>
              <w:rPr>
                <w:rFonts w:ascii="Calibri" w:hAnsi="Calibri"/>
                <w:b w:val="0"/>
                <w:sz w:val="14"/>
              </w:rPr>
              <w:t>Drill from item to date to project to service point; check duplicates and UOM</w:t>
            </w:r>
          </w:p>
        </w:tc>
        <w:tc>
          <w:tcPr>
            <w:tcW w:type="dxa" w:w="907"/>
            <w:shd w:val="clear" w:fill="F7F9FB"/>
          </w:tcPr>
          <w:p>
            <w:pPr>
              <w:spacing w:after="20" w:before="20" w:line="240" w:lineRule="auto"/>
            </w:pPr>
            <w:r/>
            <w:r>
              <w:rPr>
                <w:rFonts w:ascii="Calibri" w:hAnsi="Calibri"/>
                <w:b w:val="0"/>
                <w:sz w:val="14"/>
              </w:rPr>
              <w:t>Item MoM &gt; 50%</w:t>
            </w:r>
          </w:p>
        </w:tc>
        <w:tc>
          <w:tcPr>
            <w:tcW w:type="dxa" w:w="850"/>
            <w:shd w:val="clear" w:fill="F7F9FB"/>
          </w:tcPr>
          <w:p>
            <w:pPr>
              <w:spacing w:after="20" w:before="20" w:line="240" w:lineRule="auto"/>
              <w:jc w:val="center"/>
            </w:pPr>
            <w:r/>
            <w:r>
              <w:rPr>
                <w:rFonts w:ascii="Calibri" w:hAnsi="Calibri"/>
                <w:b w:val="0"/>
                <w:sz w:val="14"/>
              </w:rPr>
              <w:t>Weekly</w:t>
            </w:r>
          </w:p>
        </w:tc>
        <w:tc>
          <w:tcPr>
            <w:tcW w:type="dxa" w:w="850"/>
            <w:shd w:val="clear" w:fill="F7F9FB"/>
          </w:tcPr>
          <w:p>
            <w:pPr>
              <w:spacing w:after="20" w:before="20" w:line="240" w:lineRule="auto"/>
              <w:jc w:val="center"/>
            </w:pPr>
            <w:r/>
            <w:r>
              <w:rPr>
                <w:rFonts w:ascii="Calibri" w:hAnsi="Calibri"/>
                <w:b w:val="0"/>
                <w:sz w:val="14"/>
              </w:rPr>
              <w:t>Project manager</w:t>
            </w:r>
          </w:p>
        </w:tc>
      </w:tr>
      <w:tr>
        <w:tc>
          <w:tcPr>
            <w:tcW w:type="dxa" w:w="680"/>
          </w:tcPr>
          <w:p>
            <w:pPr>
              <w:spacing w:after="20" w:before="20" w:line="240" w:lineRule="auto"/>
              <w:jc w:val="center"/>
            </w:pPr>
            <w:r/>
            <w:r>
              <w:rPr>
                <w:rFonts w:ascii="Calibri" w:hAnsi="Calibri"/>
                <w:b w:val="0"/>
                <w:sz w:val="14"/>
              </w:rPr>
              <w:t>G-05</w:t>
            </w:r>
          </w:p>
        </w:tc>
        <w:tc>
          <w:tcPr>
            <w:tcW w:type="dxa" w:w="2494"/>
          </w:tcPr>
          <w:p>
            <w:pPr>
              <w:spacing w:after="20" w:before="20" w:line="240" w:lineRule="auto"/>
            </w:pPr>
            <w:r/>
            <w:r>
              <w:rPr>
                <w:rFonts w:ascii="Calibri" w:hAnsi="Calibri"/>
                <w:b w:val="0"/>
                <w:sz w:val="14"/>
              </w:rPr>
              <w:t>Why is stock not moving for a particular item?</w:t>
            </w:r>
          </w:p>
        </w:tc>
        <w:tc>
          <w:tcPr>
            <w:tcW w:type="dxa" w:w="2154"/>
          </w:tcPr>
          <w:p>
            <w:pPr>
              <w:spacing w:after="20" w:before="20" w:line="240" w:lineRule="auto"/>
            </w:pPr>
            <w:r/>
            <w:r>
              <w:rPr>
                <w:rFonts w:ascii="Calibri" w:hAnsi="Calibri"/>
                <w:b w:val="0"/>
                <w:sz w:val="14"/>
              </w:rPr>
              <w:t>Slow-moving stock is usually a demand forecast error or an item superseded by a new protocol.</w:t>
            </w:r>
          </w:p>
        </w:tc>
        <w:tc>
          <w:tcPr>
            <w:tcW w:type="dxa" w:w="1587"/>
          </w:tcPr>
          <w:p>
            <w:pPr>
              <w:spacing w:after="20" w:before="20" w:line="240" w:lineRule="auto"/>
            </w:pPr>
            <w:r/>
            <w:r>
              <w:rPr>
                <w:rFonts w:ascii="Calibri" w:hAnsi="Calibri"/>
                <w:b w:val="0"/>
                <w:sz w:val="14"/>
              </w:rPr>
              <w:t>Issues by item, stock, project pipeline, treatment protocol</w:t>
            </w:r>
          </w:p>
        </w:tc>
        <w:tc>
          <w:tcPr>
            <w:tcW w:type="dxa" w:w="1928"/>
          </w:tcPr>
          <w:p>
            <w:pPr>
              <w:spacing w:after="20" w:before="20" w:line="240" w:lineRule="auto"/>
            </w:pPr>
            <w:r/>
            <w:r>
              <w:rPr>
                <w:rFonts w:ascii="Calibri" w:hAnsi="Calibri"/>
                <w:b w:val="0"/>
                <w:sz w:val="14"/>
              </w:rPr>
              <w:t>Check whether the item is still in the protocol; whether stock sits in the wrong warehouse; whether pack size is impractical</w:t>
            </w:r>
          </w:p>
        </w:tc>
        <w:tc>
          <w:tcPr>
            <w:tcW w:type="dxa" w:w="907"/>
          </w:tcPr>
          <w:p>
            <w:pPr>
              <w:spacing w:after="20" w:before="20" w:line="240" w:lineRule="auto"/>
            </w:pPr>
            <w:r/>
            <w:r>
              <w:rPr>
                <w:rFonts w:ascii="Calibri" w:hAnsi="Calibri"/>
                <w:b w:val="0"/>
                <w:sz w:val="14"/>
              </w:rPr>
              <w:t>Zero issues 6 months</w:t>
            </w:r>
          </w:p>
        </w:tc>
        <w:tc>
          <w:tcPr>
            <w:tcW w:type="dxa" w:w="850"/>
          </w:tcPr>
          <w:p>
            <w:pPr>
              <w:spacing w:after="20" w:before="20" w:line="240" w:lineRule="auto"/>
              <w:jc w:val="center"/>
            </w:pPr>
            <w:r/>
            <w:r>
              <w:rPr>
                <w:rFonts w:ascii="Calibri" w:hAnsi="Calibri"/>
                <w:b w:val="0"/>
                <w:sz w:val="14"/>
              </w:rPr>
              <w:t>Monthly</w:t>
            </w:r>
          </w:p>
        </w:tc>
        <w:tc>
          <w:tcPr>
            <w:tcW w:type="dxa" w:w="850"/>
          </w:tcPr>
          <w:p>
            <w:pPr>
              <w:spacing w:after="20" w:before="20" w:line="240" w:lineRule="auto"/>
              <w:jc w:val="center"/>
            </w:pPr>
            <w:r/>
            <w:r>
              <w:rPr>
                <w:rFonts w:ascii="Calibri" w:hAnsi="Calibri"/>
                <w:b w:val="0"/>
                <w:sz w:val="14"/>
              </w:rPr>
              <w:t>Stores + Programme</w:t>
            </w:r>
          </w:p>
        </w:tc>
      </w:tr>
      <w:tr>
        <w:tc>
          <w:tcPr>
            <w:tcW w:type="dxa" w:w="680"/>
            <w:shd w:val="clear" w:fill="F7F9FB"/>
          </w:tcPr>
          <w:p>
            <w:pPr>
              <w:spacing w:after="20" w:before="20" w:line="240" w:lineRule="auto"/>
              <w:jc w:val="center"/>
            </w:pPr>
            <w:r/>
            <w:r>
              <w:rPr>
                <w:rFonts w:ascii="Calibri" w:hAnsi="Calibri"/>
                <w:b w:val="0"/>
                <w:sz w:val="14"/>
              </w:rPr>
              <w:t>G-06</w:t>
            </w:r>
          </w:p>
        </w:tc>
        <w:tc>
          <w:tcPr>
            <w:tcW w:type="dxa" w:w="2494"/>
            <w:shd w:val="clear" w:fill="F7F9FB"/>
          </w:tcPr>
          <w:p>
            <w:pPr>
              <w:spacing w:after="20" w:before="20" w:line="240" w:lineRule="auto"/>
            </w:pPr>
            <w:r/>
            <w:r>
              <w:rPr>
                <w:rFonts w:ascii="Calibri" w:hAnsi="Calibri"/>
                <w:b w:val="0"/>
                <w:sz w:val="14"/>
              </w:rPr>
              <w:t>Why is an item below its cover threshold despite procurement?</w:t>
            </w:r>
          </w:p>
        </w:tc>
        <w:tc>
          <w:tcPr>
            <w:tcW w:type="dxa" w:w="2154"/>
            <w:shd w:val="clear" w:fill="F7F9FB"/>
          </w:tcPr>
          <w:p>
            <w:pPr>
              <w:spacing w:after="20" w:before="20" w:line="240" w:lineRule="auto"/>
            </w:pPr>
            <w:r/>
            <w:r>
              <w:rPr>
                <w:rFonts w:ascii="Calibri" w:hAnsi="Calibri"/>
                <w:b w:val="0"/>
                <w:sz w:val="14"/>
              </w:rPr>
              <w:t>Usually lead time, a demand surge, a transfer out, or a delayed GRN.</w:t>
            </w:r>
          </w:p>
        </w:tc>
        <w:tc>
          <w:tcPr>
            <w:tcW w:type="dxa" w:w="1587"/>
            <w:shd w:val="clear" w:fill="F7F9FB"/>
          </w:tcPr>
          <w:p>
            <w:pPr>
              <w:spacing w:after="20" w:before="20" w:line="240" w:lineRule="auto"/>
            </w:pPr>
            <w:r/>
            <w:r>
              <w:rPr>
                <w:rFonts w:ascii="Calibri" w:hAnsi="Calibri"/>
                <w:b w:val="0"/>
                <w:sz w:val="14"/>
              </w:rPr>
              <w:t>PO and GRN dates, lead time, consumption, transfers</w:t>
            </w:r>
          </w:p>
        </w:tc>
        <w:tc>
          <w:tcPr>
            <w:tcW w:type="dxa" w:w="1928"/>
            <w:shd w:val="clear" w:fill="F7F9FB"/>
          </w:tcPr>
          <w:p>
            <w:pPr>
              <w:spacing w:after="20" w:before="20" w:line="240" w:lineRule="auto"/>
            </w:pPr>
            <w:r/>
            <w:r>
              <w:rPr>
                <w:rFonts w:ascii="Calibri" w:hAnsi="Calibri"/>
                <w:b w:val="0"/>
                <w:sz w:val="14"/>
              </w:rPr>
              <w:t>Reconstruct the supply timeline for the item; compare lead time with the assumption used in planning</w:t>
            </w:r>
          </w:p>
        </w:tc>
        <w:tc>
          <w:tcPr>
            <w:tcW w:type="dxa" w:w="907"/>
            <w:shd w:val="clear" w:fill="F7F9FB"/>
          </w:tcPr>
          <w:p>
            <w:pPr>
              <w:spacing w:after="20" w:before="20" w:line="240" w:lineRule="auto"/>
            </w:pPr>
            <w:r/>
            <w:r>
              <w:rPr>
                <w:rFonts w:ascii="Calibri" w:hAnsi="Calibri"/>
                <w:b w:val="0"/>
                <w:sz w:val="14"/>
              </w:rPr>
              <w:t>Cover &lt; 30 days</w:t>
            </w:r>
          </w:p>
        </w:tc>
        <w:tc>
          <w:tcPr>
            <w:tcW w:type="dxa" w:w="850"/>
            <w:shd w:val="clear" w:fill="F7F9FB"/>
          </w:tcPr>
          <w:p>
            <w:pPr>
              <w:spacing w:after="20" w:before="20" w:line="240" w:lineRule="auto"/>
              <w:jc w:val="center"/>
            </w:pPr>
            <w:r/>
            <w:r>
              <w:rPr>
                <w:rFonts w:ascii="Calibri" w:hAnsi="Calibri"/>
                <w:b w:val="0"/>
                <w:sz w:val="14"/>
              </w:rPr>
              <w:t>Weekly</w:t>
            </w:r>
          </w:p>
        </w:tc>
        <w:tc>
          <w:tcPr>
            <w:tcW w:type="dxa" w:w="850"/>
            <w:shd w:val="clear" w:fill="F7F9FB"/>
          </w:tcPr>
          <w:p>
            <w:pPr>
              <w:spacing w:after="20" w:before="20" w:line="240" w:lineRule="auto"/>
              <w:jc w:val="center"/>
            </w:pPr>
            <w:r/>
            <w:r>
              <w:rPr>
                <w:rFonts w:ascii="Calibri" w:hAnsi="Calibri"/>
                <w:b w:val="0"/>
                <w:sz w:val="14"/>
              </w:rPr>
              <w:t>Procurement</w:t>
            </w:r>
          </w:p>
        </w:tc>
      </w:tr>
      <w:tr>
        <w:tc>
          <w:tcPr>
            <w:tcW w:type="dxa" w:w="680"/>
          </w:tcPr>
          <w:p>
            <w:pPr>
              <w:spacing w:after="20" w:before="20" w:line="240" w:lineRule="auto"/>
              <w:jc w:val="center"/>
            </w:pPr>
            <w:r/>
            <w:r>
              <w:rPr>
                <w:rFonts w:ascii="Calibri" w:hAnsi="Calibri"/>
                <w:b w:val="0"/>
                <w:sz w:val="14"/>
              </w:rPr>
              <w:t>G-07</w:t>
            </w:r>
          </w:p>
        </w:tc>
        <w:tc>
          <w:tcPr>
            <w:tcW w:type="dxa" w:w="2494"/>
          </w:tcPr>
          <w:p>
            <w:pPr>
              <w:spacing w:after="20" w:before="20" w:line="240" w:lineRule="auto"/>
            </w:pPr>
            <w:r/>
            <w:r>
              <w:rPr>
                <w:rFonts w:ascii="Calibri" w:hAnsi="Calibri"/>
                <w:b w:val="0"/>
                <w:sz w:val="14"/>
              </w:rPr>
              <w:t>Why did stock expire or near expiry?</w:t>
            </w:r>
          </w:p>
        </w:tc>
        <w:tc>
          <w:tcPr>
            <w:tcW w:type="dxa" w:w="2154"/>
          </w:tcPr>
          <w:p>
            <w:pPr>
              <w:spacing w:after="20" w:before="20" w:line="240" w:lineRule="auto"/>
            </w:pPr>
            <w:r/>
            <w:r>
              <w:rPr>
                <w:rFonts w:ascii="Calibri" w:hAnsi="Calibri"/>
                <w:b w:val="0"/>
                <w:sz w:val="14"/>
              </w:rPr>
              <w:t>Expiry is caused at the point of ordering, not at the point of disposal.</w:t>
            </w:r>
          </w:p>
        </w:tc>
        <w:tc>
          <w:tcPr>
            <w:tcW w:type="dxa" w:w="1587"/>
          </w:tcPr>
          <w:p>
            <w:pPr>
              <w:spacing w:after="20" w:before="20" w:line="240" w:lineRule="auto"/>
            </w:pPr>
            <w:r/>
            <w:r>
              <w:rPr>
                <w:rFonts w:ascii="Calibri" w:hAnsi="Calibri"/>
                <w:b w:val="0"/>
                <w:sz w:val="14"/>
              </w:rPr>
              <w:t>Batch receipt date, expiry, issue history, donation terms</w:t>
            </w:r>
          </w:p>
        </w:tc>
        <w:tc>
          <w:tcPr>
            <w:tcW w:type="dxa" w:w="1928"/>
          </w:tcPr>
          <w:p>
            <w:pPr>
              <w:spacing w:after="20" w:before="20" w:line="240" w:lineRule="auto"/>
            </w:pPr>
            <w:r/>
            <w:r>
              <w:rPr>
                <w:rFonts w:ascii="Calibri" w:hAnsi="Calibri"/>
                <w:b w:val="0"/>
                <w:sz w:val="14"/>
              </w:rPr>
              <w:t>Trace batch: was it short-dated on receipt, was it over-ordered, was it held in the wrong store?</w:t>
            </w:r>
          </w:p>
        </w:tc>
        <w:tc>
          <w:tcPr>
            <w:tcW w:type="dxa" w:w="907"/>
          </w:tcPr>
          <w:p>
            <w:pPr>
              <w:spacing w:after="20" w:before="20" w:line="240" w:lineRule="auto"/>
            </w:pPr>
            <w:r/>
            <w:r>
              <w:rPr>
                <w:rFonts w:ascii="Calibri" w:hAnsi="Calibri"/>
                <w:b w:val="0"/>
                <w:sz w:val="14"/>
              </w:rPr>
              <w:t>Any expiry</w:t>
            </w:r>
          </w:p>
        </w:tc>
        <w:tc>
          <w:tcPr>
            <w:tcW w:type="dxa" w:w="850"/>
          </w:tcPr>
          <w:p>
            <w:pPr>
              <w:spacing w:after="20" w:before="20" w:line="240" w:lineRule="auto"/>
              <w:jc w:val="center"/>
            </w:pPr>
            <w:r/>
            <w:r>
              <w:rPr>
                <w:rFonts w:ascii="Calibri" w:hAnsi="Calibri"/>
                <w:b w:val="0"/>
                <w:sz w:val="14"/>
              </w:rPr>
              <w:t>Monthly</w:t>
            </w:r>
          </w:p>
        </w:tc>
        <w:tc>
          <w:tcPr>
            <w:tcW w:type="dxa" w:w="850"/>
          </w:tcPr>
          <w:p>
            <w:pPr>
              <w:spacing w:after="20" w:before="20" w:line="240" w:lineRule="auto"/>
              <w:jc w:val="center"/>
            </w:pPr>
            <w:r/>
            <w:r>
              <w:rPr>
                <w:rFonts w:ascii="Calibri" w:hAnsi="Calibri"/>
                <w:b w:val="0"/>
                <w:sz w:val="14"/>
              </w:rPr>
              <w:t>Stores + Procurement</w:t>
            </w:r>
          </w:p>
        </w:tc>
      </w:tr>
      <w:tr>
        <w:tc>
          <w:tcPr>
            <w:tcW w:type="dxa" w:w="680"/>
            <w:shd w:val="clear" w:fill="F7F9FB"/>
          </w:tcPr>
          <w:p>
            <w:pPr>
              <w:spacing w:after="20" w:before="20" w:line="240" w:lineRule="auto"/>
              <w:jc w:val="center"/>
            </w:pPr>
            <w:r/>
            <w:r>
              <w:rPr>
                <w:rFonts w:ascii="Calibri" w:hAnsi="Calibri"/>
                <w:b w:val="0"/>
                <w:sz w:val="14"/>
              </w:rPr>
              <w:t>G-08</w:t>
            </w:r>
          </w:p>
        </w:tc>
        <w:tc>
          <w:tcPr>
            <w:tcW w:type="dxa" w:w="2494"/>
            <w:shd w:val="clear" w:fill="F7F9FB"/>
          </w:tcPr>
          <w:p>
            <w:pPr>
              <w:spacing w:after="20" w:before="20" w:line="240" w:lineRule="auto"/>
            </w:pPr>
            <w:r/>
            <w:r>
              <w:rPr>
                <w:rFonts w:ascii="Calibri" w:hAnsi="Calibri"/>
                <w:b w:val="0"/>
                <w:sz w:val="14"/>
              </w:rPr>
              <w:t>Why is consumption unattributed to a project?</w:t>
            </w:r>
          </w:p>
        </w:tc>
        <w:tc>
          <w:tcPr>
            <w:tcW w:type="dxa" w:w="2154"/>
            <w:shd w:val="clear" w:fill="F7F9FB"/>
          </w:tcPr>
          <w:p>
            <w:pPr>
              <w:spacing w:after="20" w:before="20" w:line="240" w:lineRule="auto"/>
            </w:pPr>
            <w:r/>
            <w:r>
              <w:rPr>
                <w:rFonts w:ascii="Calibri" w:hAnsi="Calibri"/>
                <w:b w:val="0"/>
                <w:sz w:val="14"/>
              </w:rPr>
              <w:t>Attribution failure is a process and system-control issue, not a data accident.</w:t>
            </w:r>
          </w:p>
        </w:tc>
        <w:tc>
          <w:tcPr>
            <w:tcW w:type="dxa" w:w="1587"/>
            <w:shd w:val="clear" w:fill="F7F9FB"/>
          </w:tcPr>
          <w:p>
            <w:pPr>
              <w:spacing w:after="20" w:before="20" w:line="240" w:lineRule="auto"/>
            </w:pPr>
            <w:r/>
            <w:r>
              <w:rPr>
                <w:rFonts w:ascii="Calibri" w:hAnsi="Calibri"/>
                <w:b w:val="0"/>
                <w:sz w:val="14"/>
              </w:rPr>
              <w:t>Issue lines with generic project code, user, service point, month</w:t>
            </w:r>
          </w:p>
        </w:tc>
        <w:tc>
          <w:tcPr>
            <w:tcW w:type="dxa" w:w="1928"/>
            <w:shd w:val="clear" w:fill="F7F9FB"/>
          </w:tcPr>
          <w:p>
            <w:pPr>
              <w:spacing w:after="20" w:before="20" w:line="240" w:lineRule="auto"/>
            </w:pPr>
            <w:r/>
            <w:r>
              <w:rPr>
                <w:rFonts w:ascii="Calibri" w:hAnsi="Calibri"/>
                <w:b w:val="0"/>
                <w:sz w:val="14"/>
              </w:rPr>
              <w:t>Identify pattern by user, warehouse, service point and month; check whether a default code is being used as a shortcut</w:t>
            </w:r>
          </w:p>
        </w:tc>
        <w:tc>
          <w:tcPr>
            <w:tcW w:type="dxa" w:w="907"/>
            <w:shd w:val="clear" w:fill="F7F9FB"/>
          </w:tcPr>
          <w:p>
            <w:pPr>
              <w:spacing w:after="20" w:before="20" w:line="240" w:lineRule="auto"/>
            </w:pPr>
            <w:r/>
            <w:r>
              <w:rPr>
                <w:rFonts w:ascii="Calibri" w:hAnsi="Calibri"/>
                <w:b w:val="0"/>
                <w:sz w:val="14"/>
              </w:rPr>
              <w:t>P-10 breach</w:t>
            </w:r>
          </w:p>
        </w:tc>
        <w:tc>
          <w:tcPr>
            <w:tcW w:type="dxa" w:w="850"/>
            <w:shd w:val="clear" w:fill="F7F9FB"/>
          </w:tcPr>
          <w:p>
            <w:pPr>
              <w:spacing w:after="20" w:before="20" w:line="240" w:lineRule="auto"/>
              <w:jc w:val="center"/>
            </w:pPr>
            <w:r/>
            <w:r>
              <w:rPr>
                <w:rFonts w:ascii="Calibri" w:hAnsi="Calibri"/>
                <w:b w:val="0"/>
                <w:sz w:val="14"/>
              </w:rPr>
              <w:t>Monthly</w:t>
            </w:r>
          </w:p>
        </w:tc>
        <w:tc>
          <w:tcPr>
            <w:tcW w:type="dxa" w:w="850"/>
            <w:shd w:val="clear" w:fill="F7F9FB"/>
          </w:tcPr>
          <w:p>
            <w:pPr>
              <w:spacing w:after="20" w:before="20" w:line="240" w:lineRule="auto"/>
              <w:jc w:val="center"/>
            </w:pPr>
            <w:r/>
            <w:r>
              <w:rPr>
                <w:rFonts w:ascii="Calibri" w:hAnsi="Calibri"/>
                <w:b w:val="0"/>
                <w:sz w:val="14"/>
              </w:rPr>
              <w:t>Procurement + IT</w:t>
            </w:r>
          </w:p>
        </w:tc>
      </w:tr>
      <w:tr>
        <w:tc>
          <w:tcPr>
            <w:tcW w:type="dxa" w:w="680"/>
          </w:tcPr>
          <w:p>
            <w:pPr>
              <w:spacing w:after="20" w:before="20" w:line="240" w:lineRule="auto"/>
              <w:jc w:val="center"/>
            </w:pPr>
            <w:r/>
            <w:r>
              <w:rPr>
                <w:rFonts w:ascii="Calibri" w:hAnsi="Calibri"/>
                <w:b w:val="0"/>
                <w:sz w:val="14"/>
              </w:rPr>
              <w:t>G-09</w:t>
            </w:r>
          </w:p>
        </w:tc>
        <w:tc>
          <w:tcPr>
            <w:tcW w:type="dxa" w:w="2494"/>
          </w:tcPr>
          <w:p>
            <w:pPr>
              <w:spacing w:after="20" w:before="20" w:line="240" w:lineRule="auto"/>
            </w:pPr>
            <w:r/>
            <w:r>
              <w:rPr>
                <w:rFonts w:ascii="Calibri" w:hAnsi="Calibri"/>
                <w:b w:val="0"/>
                <w:sz w:val="14"/>
              </w:rPr>
              <w:t>Why is a project consuming far less than its budget and plan?</w:t>
            </w:r>
          </w:p>
        </w:tc>
        <w:tc>
          <w:tcPr>
            <w:tcW w:type="dxa" w:w="2154"/>
          </w:tcPr>
          <w:p>
            <w:pPr>
              <w:spacing w:after="20" w:before="20" w:line="240" w:lineRule="auto"/>
            </w:pPr>
            <w:r/>
            <w:r>
              <w:rPr>
                <w:rFonts w:ascii="Calibri" w:hAnsi="Calibri"/>
                <w:b w:val="0"/>
                <w:sz w:val="14"/>
              </w:rPr>
              <w:t>Under-consumption is either slow implementation or mis-posting to another project.</w:t>
            </w:r>
          </w:p>
        </w:tc>
        <w:tc>
          <w:tcPr>
            <w:tcW w:type="dxa" w:w="1587"/>
          </w:tcPr>
          <w:p>
            <w:pPr>
              <w:spacing w:after="20" w:before="20" w:line="240" w:lineRule="auto"/>
            </w:pPr>
            <w:r/>
            <w:r>
              <w:rPr>
                <w:rFonts w:ascii="Calibri" w:hAnsi="Calibri"/>
                <w:b w:val="0"/>
                <w:sz w:val="14"/>
              </w:rPr>
              <w:t>Budget, consumption, service volumes, project status</w:t>
            </w:r>
          </w:p>
        </w:tc>
        <w:tc>
          <w:tcPr>
            <w:tcW w:type="dxa" w:w="1928"/>
          </w:tcPr>
          <w:p>
            <w:pPr>
              <w:spacing w:after="20" w:before="20" w:line="240" w:lineRule="auto"/>
            </w:pPr>
            <w:r/>
            <w:r>
              <w:rPr>
                <w:rFonts w:ascii="Calibri" w:hAnsi="Calibri"/>
                <w:b w:val="0"/>
                <w:sz w:val="14"/>
              </w:rPr>
              <w:t>Compare consumption with service output; check for postings to another project code</w:t>
            </w:r>
          </w:p>
        </w:tc>
        <w:tc>
          <w:tcPr>
            <w:tcW w:type="dxa" w:w="907"/>
          </w:tcPr>
          <w:p>
            <w:pPr>
              <w:spacing w:after="20" w:before="20" w:line="240" w:lineRule="auto"/>
            </w:pPr>
            <w:r/>
            <w:r>
              <w:rPr>
                <w:rFonts w:ascii="Calibri" w:hAnsi="Calibri"/>
                <w:b w:val="0"/>
                <w:sz w:val="14"/>
              </w:rPr>
              <w:t>Utilisation 25% below elapsed time</w:t>
            </w:r>
          </w:p>
        </w:tc>
        <w:tc>
          <w:tcPr>
            <w:tcW w:type="dxa" w:w="850"/>
          </w:tcPr>
          <w:p>
            <w:pPr>
              <w:spacing w:after="20" w:before="20" w:line="240" w:lineRule="auto"/>
              <w:jc w:val="center"/>
            </w:pPr>
            <w:r/>
            <w:r>
              <w:rPr>
                <w:rFonts w:ascii="Calibri" w:hAnsi="Calibri"/>
                <w:b w:val="0"/>
                <w:sz w:val="14"/>
              </w:rPr>
              <w:t>Monthly</w:t>
            </w:r>
          </w:p>
        </w:tc>
        <w:tc>
          <w:tcPr>
            <w:tcW w:type="dxa" w:w="850"/>
          </w:tcPr>
          <w:p>
            <w:pPr>
              <w:spacing w:after="20" w:before="20" w:line="240" w:lineRule="auto"/>
              <w:jc w:val="center"/>
            </w:pPr>
            <w:r/>
            <w:r>
              <w:rPr>
                <w:rFonts w:ascii="Calibri" w:hAnsi="Calibri"/>
                <w:b w:val="0"/>
                <w:sz w:val="14"/>
              </w:rPr>
              <w:t>Programme + Finance</w:t>
            </w:r>
          </w:p>
        </w:tc>
      </w:tr>
      <w:tr>
        <w:tc>
          <w:tcPr>
            <w:tcW w:type="dxa" w:w="680"/>
            <w:shd w:val="clear" w:fill="F7F9FB"/>
          </w:tcPr>
          <w:p>
            <w:pPr>
              <w:spacing w:after="20" w:before="20" w:line="240" w:lineRule="auto"/>
              <w:jc w:val="center"/>
            </w:pPr>
            <w:r/>
            <w:r>
              <w:rPr>
                <w:rFonts w:ascii="Calibri" w:hAnsi="Calibri"/>
                <w:b w:val="0"/>
                <w:sz w:val="14"/>
              </w:rPr>
              <w:t>G-10</w:t>
            </w:r>
          </w:p>
        </w:tc>
        <w:tc>
          <w:tcPr>
            <w:tcW w:type="dxa" w:w="2494"/>
            <w:shd w:val="clear" w:fill="F7F9FB"/>
          </w:tcPr>
          <w:p>
            <w:pPr>
              <w:spacing w:after="20" w:before="20" w:line="240" w:lineRule="auto"/>
            </w:pPr>
            <w:r/>
            <w:r>
              <w:rPr>
                <w:rFonts w:ascii="Calibri" w:hAnsi="Calibri"/>
                <w:b w:val="0"/>
                <w:sz w:val="14"/>
              </w:rPr>
              <w:t>Why do two projects show very different cost per beneficiary for the same service?</w:t>
            </w:r>
          </w:p>
        </w:tc>
        <w:tc>
          <w:tcPr>
            <w:tcW w:type="dxa" w:w="2154"/>
            <w:shd w:val="clear" w:fill="F7F9FB"/>
          </w:tcPr>
          <w:p>
            <w:pPr>
              <w:spacing w:after="20" w:before="20" w:line="240" w:lineRule="auto"/>
            </w:pPr>
            <w:r/>
            <w:r>
              <w:rPr>
                <w:rFonts w:ascii="Calibri" w:hAnsi="Calibri"/>
                <w:b w:val="0"/>
                <w:sz w:val="14"/>
              </w:rPr>
              <w:t>Differences come from case mix, prices paid, facility level or efficiency.</w:t>
            </w:r>
          </w:p>
        </w:tc>
        <w:tc>
          <w:tcPr>
            <w:tcW w:type="dxa" w:w="1587"/>
            <w:shd w:val="clear" w:fill="F7F9FB"/>
          </w:tcPr>
          <w:p>
            <w:pPr>
              <w:spacing w:after="20" w:before="20" w:line="240" w:lineRule="auto"/>
            </w:pPr>
            <w:r/>
            <w:r>
              <w:rPr>
                <w:rFonts w:ascii="Calibri" w:hAnsi="Calibri"/>
                <w:b w:val="0"/>
                <w:sz w:val="14"/>
              </w:rPr>
              <w:t>Cost per beneficiary, category mix, price paid, service point</w:t>
            </w:r>
          </w:p>
        </w:tc>
        <w:tc>
          <w:tcPr>
            <w:tcW w:type="dxa" w:w="1928"/>
            <w:shd w:val="clear" w:fill="F7F9FB"/>
          </w:tcPr>
          <w:p>
            <w:pPr>
              <w:spacing w:after="20" w:before="20" w:line="240" w:lineRule="auto"/>
            </w:pPr>
            <w:r/>
            <w:r>
              <w:rPr>
                <w:rFonts w:ascii="Calibri" w:hAnsi="Calibri"/>
                <w:b w:val="0"/>
                <w:sz w:val="14"/>
              </w:rPr>
              <w:t>Normalise for category mix and price; then compare the residual</w:t>
            </w:r>
          </w:p>
        </w:tc>
        <w:tc>
          <w:tcPr>
            <w:tcW w:type="dxa" w:w="907"/>
            <w:shd w:val="clear" w:fill="F7F9FB"/>
          </w:tcPr>
          <w:p>
            <w:pPr>
              <w:spacing w:after="20" w:before="20" w:line="240" w:lineRule="auto"/>
            </w:pPr>
            <w:r/>
            <w:r>
              <w:rPr>
                <w:rFonts w:ascii="Calibri" w:hAnsi="Calibri"/>
                <w:b w:val="0"/>
                <w:sz w:val="14"/>
              </w:rPr>
              <w:t>Spread &gt; 30%</w:t>
            </w:r>
          </w:p>
        </w:tc>
        <w:tc>
          <w:tcPr>
            <w:tcW w:type="dxa" w:w="850"/>
            <w:shd w:val="clear" w:fill="F7F9FB"/>
          </w:tcPr>
          <w:p>
            <w:pPr>
              <w:spacing w:after="20" w:before="20" w:line="240" w:lineRule="auto"/>
              <w:jc w:val="center"/>
            </w:pPr>
            <w:r/>
            <w:r>
              <w:rPr>
                <w:rFonts w:ascii="Calibri" w:hAnsi="Calibri"/>
                <w:b w:val="0"/>
                <w:sz w:val="14"/>
              </w:rPr>
              <w:t>Quarterly</w:t>
            </w:r>
          </w:p>
        </w:tc>
        <w:tc>
          <w:tcPr>
            <w:tcW w:type="dxa" w:w="850"/>
            <w:shd w:val="clear" w:fill="F7F9FB"/>
          </w:tcPr>
          <w:p>
            <w:pPr>
              <w:spacing w:after="20" w:before="20" w:line="240" w:lineRule="auto"/>
              <w:jc w:val="center"/>
            </w:pPr>
            <w:r/>
            <w:r>
              <w:rPr>
                <w:rFonts w:ascii="Calibri" w:hAnsi="Calibri"/>
                <w:b w:val="0"/>
                <w:sz w:val="14"/>
              </w:rPr>
              <w:t>Programme</w:t>
            </w:r>
          </w:p>
        </w:tc>
      </w:tr>
      <w:tr>
        <w:tc>
          <w:tcPr>
            <w:tcW w:type="dxa" w:w="680"/>
          </w:tcPr>
          <w:p>
            <w:pPr>
              <w:spacing w:after="20" w:before="20" w:line="240" w:lineRule="auto"/>
              <w:jc w:val="center"/>
            </w:pPr>
            <w:r/>
            <w:r>
              <w:rPr>
                <w:rFonts w:ascii="Calibri" w:hAnsi="Calibri"/>
                <w:b w:val="0"/>
                <w:sz w:val="14"/>
              </w:rPr>
              <w:t>G-11</w:t>
            </w:r>
          </w:p>
        </w:tc>
        <w:tc>
          <w:tcPr>
            <w:tcW w:type="dxa" w:w="2494"/>
          </w:tcPr>
          <w:p>
            <w:pPr>
              <w:spacing w:after="20" w:before="20" w:line="240" w:lineRule="auto"/>
            </w:pPr>
            <w:r/>
            <w:r>
              <w:rPr>
                <w:rFonts w:ascii="Calibri" w:hAnsi="Calibri"/>
                <w:b w:val="0"/>
                <w:sz w:val="14"/>
              </w:rPr>
              <w:t>Why has the unit price of an item changed?</w:t>
            </w:r>
          </w:p>
        </w:tc>
        <w:tc>
          <w:tcPr>
            <w:tcW w:type="dxa" w:w="2154"/>
          </w:tcPr>
          <w:p>
            <w:pPr>
              <w:spacing w:after="20" w:before="20" w:line="240" w:lineRule="auto"/>
            </w:pPr>
            <w:r/>
            <w:r>
              <w:rPr>
                <w:rFonts w:ascii="Calibri" w:hAnsi="Calibri"/>
                <w:b w:val="0"/>
                <w:sz w:val="14"/>
              </w:rPr>
              <w:t>Distinguishes market/currency movement from supplier or specification change.</w:t>
            </w:r>
          </w:p>
        </w:tc>
        <w:tc>
          <w:tcPr>
            <w:tcW w:type="dxa" w:w="1587"/>
          </w:tcPr>
          <w:p>
            <w:pPr>
              <w:spacing w:after="20" w:before="20" w:line="240" w:lineRule="auto"/>
            </w:pPr>
            <w:r/>
            <w:r>
              <w:rPr>
                <w:rFonts w:ascii="Calibri" w:hAnsi="Calibri"/>
                <w:b w:val="0"/>
                <w:sz w:val="14"/>
              </w:rPr>
              <w:t>PO price history, supplier, specification, exchange rate</w:t>
            </w:r>
          </w:p>
        </w:tc>
        <w:tc>
          <w:tcPr>
            <w:tcW w:type="dxa" w:w="1928"/>
          </w:tcPr>
          <w:p>
            <w:pPr>
              <w:spacing w:after="20" w:before="20" w:line="240" w:lineRule="auto"/>
            </w:pPr>
            <w:r/>
            <w:r>
              <w:rPr>
                <w:rFonts w:ascii="Calibri" w:hAnsi="Calibri"/>
                <w:b w:val="0"/>
                <w:sz w:val="14"/>
              </w:rPr>
              <w:t>Compare like-for-like specification, supplier and pack; check contract price validity</w:t>
            </w:r>
          </w:p>
        </w:tc>
        <w:tc>
          <w:tcPr>
            <w:tcW w:type="dxa" w:w="907"/>
          </w:tcPr>
          <w:p>
            <w:pPr>
              <w:spacing w:after="20" w:before="20" w:line="240" w:lineRule="auto"/>
            </w:pPr>
            <w:r/>
            <w:r>
              <w:rPr>
                <w:rFonts w:ascii="Calibri" w:hAnsi="Calibri"/>
                <w:b w:val="0"/>
                <w:sz w:val="14"/>
              </w:rPr>
              <w:t>P-09</w:t>
            </w:r>
          </w:p>
        </w:tc>
        <w:tc>
          <w:tcPr>
            <w:tcW w:type="dxa" w:w="850"/>
          </w:tcPr>
          <w:p>
            <w:pPr>
              <w:spacing w:after="20" w:before="20" w:line="240" w:lineRule="auto"/>
              <w:jc w:val="center"/>
            </w:pPr>
            <w:r/>
            <w:r>
              <w:rPr>
                <w:rFonts w:ascii="Calibri" w:hAnsi="Calibri"/>
                <w:b w:val="0"/>
                <w:sz w:val="14"/>
              </w:rPr>
              <w:t>Monthly</w:t>
            </w:r>
          </w:p>
        </w:tc>
        <w:tc>
          <w:tcPr>
            <w:tcW w:type="dxa" w:w="850"/>
          </w:tcPr>
          <w:p>
            <w:pPr>
              <w:spacing w:after="20" w:before="20" w:line="240" w:lineRule="auto"/>
              <w:jc w:val="center"/>
            </w:pPr>
            <w:r/>
            <w:r>
              <w:rPr>
                <w:rFonts w:ascii="Calibri" w:hAnsi="Calibri"/>
                <w:b w:val="0"/>
                <w:sz w:val="14"/>
              </w:rPr>
              <w:t>Procurement</w:t>
            </w:r>
          </w:p>
        </w:tc>
      </w:tr>
      <w:tr>
        <w:tc>
          <w:tcPr>
            <w:tcW w:type="dxa" w:w="680"/>
            <w:shd w:val="clear" w:fill="F7F9FB"/>
          </w:tcPr>
          <w:p>
            <w:pPr>
              <w:spacing w:after="20" w:before="20" w:line="240" w:lineRule="auto"/>
              <w:jc w:val="center"/>
            </w:pPr>
            <w:r/>
            <w:r>
              <w:rPr>
                <w:rFonts w:ascii="Calibri" w:hAnsi="Calibri"/>
                <w:b w:val="0"/>
                <w:sz w:val="14"/>
              </w:rPr>
              <w:t>G-12</w:t>
            </w:r>
          </w:p>
        </w:tc>
        <w:tc>
          <w:tcPr>
            <w:tcW w:type="dxa" w:w="2494"/>
            <w:shd w:val="clear" w:fill="F7F9FB"/>
          </w:tcPr>
          <w:p>
            <w:pPr>
              <w:spacing w:after="20" w:before="20" w:line="240" w:lineRule="auto"/>
            </w:pPr>
            <w:r/>
            <w:r>
              <w:rPr>
                <w:rFonts w:ascii="Calibri" w:hAnsi="Calibri"/>
                <w:b w:val="0"/>
                <w:sz w:val="14"/>
              </w:rPr>
              <w:t>Why are purchase orders being cancelled or partially received?</w:t>
            </w:r>
          </w:p>
        </w:tc>
        <w:tc>
          <w:tcPr>
            <w:tcW w:type="dxa" w:w="2154"/>
            <w:shd w:val="clear" w:fill="F7F9FB"/>
          </w:tcPr>
          <w:p>
            <w:pPr>
              <w:spacing w:after="20" w:before="20" w:line="240" w:lineRule="auto"/>
            </w:pPr>
            <w:r/>
            <w:r>
              <w:rPr>
                <w:rFonts w:ascii="Calibri" w:hAnsi="Calibri"/>
                <w:b w:val="0"/>
                <w:sz w:val="14"/>
              </w:rPr>
              <w:t>Points to planning quality, supplier capacity or budget holds.</w:t>
            </w:r>
          </w:p>
        </w:tc>
        <w:tc>
          <w:tcPr>
            <w:tcW w:type="dxa" w:w="1587"/>
            <w:shd w:val="clear" w:fill="F7F9FB"/>
          </w:tcPr>
          <w:p>
            <w:pPr>
              <w:spacing w:after="20" w:before="20" w:line="240" w:lineRule="auto"/>
            </w:pPr>
            <w:r/>
            <w:r>
              <w:rPr>
                <w:rFonts w:ascii="Calibri" w:hAnsi="Calibri"/>
                <w:b w:val="0"/>
                <w:sz w:val="14"/>
              </w:rPr>
              <w:t>PO status, supplier, item, lead time, buyer</w:t>
            </w:r>
          </w:p>
        </w:tc>
        <w:tc>
          <w:tcPr>
            <w:tcW w:type="dxa" w:w="1928"/>
            <w:shd w:val="clear" w:fill="F7F9FB"/>
          </w:tcPr>
          <w:p>
            <w:pPr>
              <w:spacing w:after="20" w:before="20" w:line="240" w:lineRule="auto"/>
            </w:pPr>
            <w:r/>
            <w:r>
              <w:rPr>
                <w:rFonts w:ascii="Calibri" w:hAnsi="Calibri"/>
                <w:b w:val="0"/>
                <w:sz w:val="14"/>
              </w:rPr>
              <w:t>Group cancellations by supplier, item and buyer; check whether they were replaced by split orders</w:t>
            </w:r>
          </w:p>
        </w:tc>
        <w:tc>
          <w:tcPr>
            <w:tcW w:type="dxa" w:w="907"/>
            <w:shd w:val="clear" w:fill="F7F9FB"/>
          </w:tcPr>
          <w:p>
            <w:pPr>
              <w:spacing w:after="20" w:before="20" w:line="240" w:lineRule="auto"/>
            </w:pPr>
            <w:r/>
            <w:r>
              <w:rPr>
                <w:rFonts w:ascii="Calibri" w:hAnsi="Calibri"/>
                <w:b w:val="0"/>
                <w:sz w:val="14"/>
              </w:rPr>
              <w:t>&gt; 2% of lines</w:t>
            </w:r>
          </w:p>
        </w:tc>
        <w:tc>
          <w:tcPr>
            <w:tcW w:type="dxa" w:w="850"/>
            <w:shd w:val="clear" w:fill="F7F9FB"/>
          </w:tcPr>
          <w:p>
            <w:pPr>
              <w:spacing w:after="20" w:before="20" w:line="240" w:lineRule="auto"/>
              <w:jc w:val="center"/>
            </w:pPr>
            <w:r/>
            <w:r>
              <w:rPr>
                <w:rFonts w:ascii="Calibri" w:hAnsi="Calibri"/>
                <w:b w:val="0"/>
                <w:sz w:val="14"/>
              </w:rPr>
              <w:t>Monthly</w:t>
            </w:r>
          </w:p>
        </w:tc>
        <w:tc>
          <w:tcPr>
            <w:tcW w:type="dxa" w:w="850"/>
            <w:shd w:val="clear" w:fill="F7F9FB"/>
          </w:tcPr>
          <w:p>
            <w:pPr>
              <w:spacing w:after="20" w:before="20" w:line="240" w:lineRule="auto"/>
              <w:jc w:val="center"/>
            </w:pPr>
            <w:r/>
            <w:r>
              <w:rPr>
                <w:rFonts w:ascii="Calibri" w:hAnsi="Calibri"/>
                <w:b w:val="0"/>
                <w:sz w:val="14"/>
              </w:rPr>
              <w:t>Procurement</w:t>
            </w:r>
          </w:p>
        </w:tc>
      </w:tr>
      <w:tr>
        <w:tc>
          <w:tcPr>
            <w:tcW w:type="dxa" w:w="680"/>
          </w:tcPr>
          <w:p>
            <w:pPr>
              <w:spacing w:after="20" w:before="20" w:line="240" w:lineRule="auto"/>
              <w:jc w:val="center"/>
            </w:pPr>
            <w:r/>
            <w:r>
              <w:rPr>
                <w:rFonts w:ascii="Calibri" w:hAnsi="Calibri"/>
                <w:b w:val="0"/>
                <w:sz w:val="14"/>
              </w:rPr>
              <w:t>G-13</w:t>
            </w:r>
          </w:p>
        </w:tc>
        <w:tc>
          <w:tcPr>
            <w:tcW w:type="dxa" w:w="2494"/>
          </w:tcPr>
          <w:p>
            <w:pPr>
              <w:spacing w:after="20" w:before="20" w:line="240" w:lineRule="auto"/>
            </w:pPr>
            <w:r/>
            <w:r>
              <w:rPr>
                <w:rFonts w:ascii="Calibri" w:hAnsi="Calibri"/>
                <w:b w:val="0"/>
                <w:sz w:val="14"/>
              </w:rPr>
              <w:t>Why does the warehouse-level stock balance disagree with the issue record?</w:t>
            </w:r>
          </w:p>
        </w:tc>
        <w:tc>
          <w:tcPr>
            <w:tcW w:type="dxa" w:w="2154"/>
          </w:tcPr>
          <w:p>
            <w:pPr>
              <w:spacing w:after="20" w:before="20" w:line="240" w:lineRule="auto"/>
            </w:pPr>
            <w:r/>
            <w:r>
              <w:rPr>
                <w:rFonts w:ascii="Calibri" w:hAnsi="Calibri"/>
                <w:b w:val="0"/>
                <w:sz w:val="14"/>
              </w:rPr>
              <w:t>Unexplained differences mean issues are not being recorded, or transfers are.</w:t>
            </w:r>
          </w:p>
        </w:tc>
        <w:tc>
          <w:tcPr>
            <w:tcW w:type="dxa" w:w="1587"/>
          </w:tcPr>
          <w:p>
            <w:pPr>
              <w:spacing w:after="20" w:before="20" w:line="240" w:lineRule="auto"/>
            </w:pPr>
            <w:r/>
            <w:r>
              <w:rPr>
                <w:rFonts w:ascii="Calibri" w:hAnsi="Calibri"/>
                <w:b w:val="0"/>
                <w:sz w:val="14"/>
              </w:rPr>
              <w:t>Stock by batch, issues, transfers, adjustments</w:t>
            </w:r>
          </w:p>
        </w:tc>
        <w:tc>
          <w:tcPr>
            <w:tcW w:type="dxa" w:w="1928"/>
          </w:tcPr>
          <w:p>
            <w:pPr>
              <w:spacing w:after="20" w:before="20" w:line="240" w:lineRule="auto"/>
            </w:pPr>
            <w:r/>
            <w:r>
              <w:rPr>
                <w:rFonts w:ascii="Calibri" w:hAnsi="Calibri"/>
                <w:b w:val="0"/>
                <w:sz w:val="14"/>
              </w:rPr>
              <w:t>Rebuild movements per batch; look for issues without GRN reference and transfers in only one direction</w:t>
            </w:r>
          </w:p>
        </w:tc>
        <w:tc>
          <w:tcPr>
            <w:tcW w:type="dxa" w:w="907"/>
          </w:tcPr>
          <w:p>
            <w:pPr>
              <w:spacing w:after="20" w:before="20" w:line="240" w:lineRule="auto"/>
            </w:pPr>
            <w:r/>
            <w:r>
              <w:rPr>
                <w:rFonts w:ascii="Calibri" w:hAnsi="Calibri"/>
                <w:b w:val="0"/>
                <w:sz w:val="14"/>
              </w:rPr>
              <w:t>Any negative balance</w:t>
            </w:r>
          </w:p>
        </w:tc>
        <w:tc>
          <w:tcPr>
            <w:tcW w:type="dxa" w:w="850"/>
          </w:tcPr>
          <w:p>
            <w:pPr>
              <w:spacing w:after="20" w:before="20" w:line="240" w:lineRule="auto"/>
              <w:jc w:val="center"/>
            </w:pPr>
            <w:r/>
            <w:r>
              <w:rPr>
                <w:rFonts w:ascii="Calibri" w:hAnsi="Calibri"/>
                <w:b w:val="0"/>
                <w:sz w:val="14"/>
              </w:rPr>
              <w:t>Weekly</w:t>
            </w:r>
          </w:p>
        </w:tc>
        <w:tc>
          <w:tcPr>
            <w:tcW w:type="dxa" w:w="850"/>
          </w:tcPr>
          <w:p>
            <w:pPr>
              <w:spacing w:after="20" w:before="20" w:line="240" w:lineRule="auto"/>
              <w:jc w:val="center"/>
            </w:pPr>
            <w:r/>
            <w:r>
              <w:rPr>
                <w:rFonts w:ascii="Calibri" w:hAnsi="Calibri"/>
                <w:b w:val="0"/>
                <w:sz w:val="14"/>
              </w:rPr>
              <w:t>Stores</w:t>
            </w:r>
          </w:p>
        </w:tc>
      </w:tr>
      <w:tr>
        <w:tc>
          <w:tcPr>
            <w:tcW w:type="dxa" w:w="680"/>
            <w:shd w:val="clear" w:fill="F7F9FB"/>
          </w:tcPr>
          <w:p>
            <w:pPr>
              <w:spacing w:after="20" w:before="20" w:line="240" w:lineRule="auto"/>
              <w:jc w:val="center"/>
            </w:pPr>
            <w:r/>
            <w:r>
              <w:rPr>
                <w:rFonts w:ascii="Calibri" w:hAnsi="Calibri"/>
                <w:b w:val="0"/>
                <w:sz w:val="14"/>
              </w:rPr>
              <w:t>G-14</w:t>
            </w:r>
          </w:p>
        </w:tc>
        <w:tc>
          <w:tcPr>
            <w:tcW w:type="dxa" w:w="2494"/>
            <w:shd w:val="clear" w:fill="F7F9FB"/>
          </w:tcPr>
          <w:p>
            <w:pPr>
              <w:spacing w:after="20" w:before="20" w:line="240" w:lineRule="auto"/>
            </w:pPr>
            <w:r/>
            <w:r>
              <w:rPr>
                <w:rFonts w:ascii="Calibri" w:hAnsi="Calibri"/>
                <w:b w:val="0"/>
                <w:sz w:val="14"/>
              </w:rPr>
              <w:t>Why did consumption in the last month look lower than demand?</w:t>
            </w:r>
          </w:p>
        </w:tc>
        <w:tc>
          <w:tcPr>
            <w:tcW w:type="dxa" w:w="2154"/>
            <w:shd w:val="clear" w:fill="F7F9FB"/>
          </w:tcPr>
          <w:p>
            <w:pPr>
              <w:spacing w:after="20" w:before="20" w:line="240" w:lineRule="auto"/>
            </w:pPr>
            <w:r/>
            <w:r>
              <w:rPr>
                <w:rFonts w:ascii="Calibri" w:hAnsi="Calibri"/>
                <w:b w:val="0"/>
                <w:sz w:val="14"/>
              </w:rPr>
              <w:t>Unmet demand masquerades as reduced consumption.</w:t>
            </w:r>
          </w:p>
        </w:tc>
        <w:tc>
          <w:tcPr>
            <w:tcW w:type="dxa" w:w="1587"/>
            <w:shd w:val="clear" w:fill="F7F9FB"/>
          </w:tcPr>
          <w:p>
            <w:pPr>
              <w:spacing w:after="20" w:before="20" w:line="240" w:lineRule="auto"/>
            </w:pPr>
            <w:r/>
            <w:r>
              <w:rPr>
                <w:rFonts w:ascii="Calibri" w:hAnsi="Calibri"/>
                <w:b w:val="0"/>
                <w:sz w:val="14"/>
              </w:rPr>
              <w:t>Requisitions, issues, stock-outs, carry-forward demand</w:t>
            </w:r>
          </w:p>
        </w:tc>
        <w:tc>
          <w:tcPr>
            <w:tcW w:type="dxa" w:w="1928"/>
            <w:shd w:val="clear" w:fill="F7F9FB"/>
          </w:tcPr>
          <w:p>
            <w:pPr>
              <w:spacing w:after="20" w:before="20" w:line="240" w:lineRule="auto"/>
            </w:pPr>
            <w:r/>
            <w:r>
              <w:rPr>
                <w:rFonts w:ascii="Calibri" w:hAnsi="Calibri"/>
                <w:b w:val="0"/>
                <w:sz w:val="14"/>
              </w:rPr>
              <w:t>Compare demand (requisition or projected) with issues; identify stock-out events</w:t>
            </w:r>
          </w:p>
        </w:tc>
        <w:tc>
          <w:tcPr>
            <w:tcW w:type="dxa" w:w="907"/>
            <w:shd w:val="clear" w:fill="F7F9FB"/>
          </w:tcPr>
          <w:p>
            <w:pPr>
              <w:spacing w:after="20" w:before="20" w:line="240" w:lineRule="auto"/>
            </w:pPr>
            <w:r/>
            <w:r>
              <w:rPr>
                <w:rFonts w:ascii="Calibri" w:hAnsi="Calibri"/>
                <w:b w:val="0"/>
                <w:sz w:val="14"/>
              </w:rPr>
              <w:t>Gap &gt; 5%</w:t>
            </w:r>
          </w:p>
        </w:tc>
        <w:tc>
          <w:tcPr>
            <w:tcW w:type="dxa" w:w="850"/>
            <w:shd w:val="clear" w:fill="F7F9FB"/>
          </w:tcPr>
          <w:p>
            <w:pPr>
              <w:spacing w:after="20" w:before="20" w:line="240" w:lineRule="auto"/>
              <w:jc w:val="center"/>
            </w:pPr>
            <w:r/>
            <w:r>
              <w:rPr>
                <w:rFonts w:ascii="Calibri" w:hAnsi="Calibri"/>
                <w:b w:val="0"/>
                <w:sz w:val="14"/>
              </w:rPr>
              <w:t>Monthly</w:t>
            </w:r>
          </w:p>
        </w:tc>
        <w:tc>
          <w:tcPr>
            <w:tcW w:type="dxa" w:w="850"/>
            <w:shd w:val="clear" w:fill="F7F9FB"/>
          </w:tcPr>
          <w:p>
            <w:pPr>
              <w:spacing w:after="20" w:before="20" w:line="240" w:lineRule="auto"/>
              <w:jc w:val="center"/>
            </w:pPr>
            <w:r/>
            <w:r>
              <w:rPr>
                <w:rFonts w:ascii="Calibri" w:hAnsi="Calibri"/>
                <w:b w:val="0"/>
                <w:sz w:val="14"/>
              </w:rPr>
              <w:t>Stores</w:t>
            </w:r>
          </w:p>
        </w:tc>
      </w:tr>
      <w:tr>
        <w:tc>
          <w:tcPr>
            <w:tcW w:type="dxa" w:w="680"/>
          </w:tcPr>
          <w:p>
            <w:pPr>
              <w:spacing w:after="20" w:before="20" w:line="240" w:lineRule="auto"/>
              <w:jc w:val="center"/>
            </w:pPr>
            <w:r/>
            <w:r>
              <w:rPr>
                <w:rFonts w:ascii="Calibri" w:hAnsi="Calibri"/>
                <w:b w:val="0"/>
                <w:sz w:val="14"/>
              </w:rPr>
              <w:t>G-15</w:t>
            </w:r>
          </w:p>
        </w:tc>
        <w:tc>
          <w:tcPr>
            <w:tcW w:type="dxa" w:w="2494"/>
          </w:tcPr>
          <w:p>
            <w:pPr>
              <w:spacing w:after="20" w:before="20" w:line="240" w:lineRule="auto"/>
            </w:pPr>
            <w:r/>
            <w:r>
              <w:rPr>
                <w:rFonts w:ascii="Calibri" w:hAnsi="Calibri"/>
                <w:b w:val="0"/>
                <w:sz w:val="14"/>
              </w:rPr>
              <w:t>Why is equipment budget almost entirely unspent?</w:t>
            </w:r>
          </w:p>
        </w:tc>
        <w:tc>
          <w:tcPr>
            <w:tcW w:type="dxa" w:w="2154"/>
          </w:tcPr>
          <w:p>
            <w:pPr>
              <w:spacing w:after="20" w:before="20" w:line="240" w:lineRule="auto"/>
            </w:pPr>
            <w:r/>
            <w:r>
              <w:rPr>
                <w:rFonts w:ascii="Calibri" w:hAnsi="Calibri"/>
                <w:b w:val="0"/>
                <w:sz w:val="14"/>
              </w:rPr>
              <w:t>Capital purchases are lumpy and often delayed by procurement rules or approvals.</w:t>
            </w:r>
          </w:p>
        </w:tc>
        <w:tc>
          <w:tcPr>
            <w:tcW w:type="dxa" w:w="1587"/>
          </w:tcPr>
          <w:p>
            <w:pPr>
              <w:spacing w:after="20" w:before="20" w:line="240" w:lineRule="auto"/>
            </w:pPr>
            <w:r/>
            <w:r>
              <w:rPr>
                <w:rFonts w:ascii="Calibri" w:hAnsi="Calibri"/>
                <w:b w:val="0"/>
                <w:sz w:val="14"/>
              </w:rPr>
              <w:t>Equipment budget, PO status, approval date</w:t>
            </w:r>
          </w:p>
        </w:tc>
        <w:tc>
          <w:tcPr>
            <w:tcW w:type="dxa" w:w="1928"/>
          </w:tcPr>
          <w:p>
            <w:pPr>
              <w:spacing w:after="20" w:before="20" w:line="240" w:lineRule="auto"/>
            </w:pPr>
            <w:r/>
            <w:r>
              <w:rPr>
                <w:rFonts w:ascii="Calibri" w:hAnsi="Calibri"/>
                <w:b w:val="0"/>
                <w:sz w:val="14"/>
              </w:rPr>
              <w:t>Check pending approvals, quotation stages and planned replacement schedule</w:t>
            </w:r>
          </w:p>
        </w:tc>
        <w:tc>
          <w:tcPr>
            <w:tcW w:type="dxa" w:w="907"/>
          </w:tcPr>
          <w:p>
            <w:pPr>
              <w:spacing w:after="20" w:before="20" w:line="240" w:lineRule="auto"/>
            </w:pPr>
            <w:r/>
            <w:r>
              <w:rPr>
                <w:rFonts w:ascii="Calibri" w:hAnsi="Calibri"/>
                <w:b w:val="0"/>
                <w:sz w:val="14"/>
              </w:rPr>
              <w:t>Utilisation &lt; 20%</w:t>
            </w:r>
          </w:p>
        </w:tc>
        <w:tc>
          <w:tcPr>
            <w:tcW w:type="dxa" w:w="850"/>
          </w:tcPr>
          <w:p>
            <w:pPr>
              <w:spacing w:after="20" w:before="20" w:line="240" w:lineRule="auto"/>
              <w:jc w:val="center"/>
            </w:pPr>
            <w:r/>
            <w:r>
              <w:rPr>
                <w:rFonts w:ascii="Calibri" w:hAnsi="Calibri"/>
                <w:b w:val="0"/>
                <w:sz w:val="14"/>
              </w:rPr>
              <w:t>Quarterly</w:t>
            </w:r>
          </w:p>
        </w:tc>
        <w:tc>
          <w:tcPr>
            <w:tcW w:type="dxa" w:w="850"/>
          </w:tcPr>
          <w:p>
            <w:pPr>
              <w:spacing w:after="20" w:before="20" w:line="240" w:lineRule="auto"/>
              <w:jc w:val="center"/>
            </w:pPr>
            <w:r/>
            <w:r>
              <w:rPr>
                <w:rFonts w:ascii="Calibri" w:hAnsi="Calibri"/>
                <w:b w:val="0"/>
                <w:sz w:val="14"/>
              </w:rPr>
              <w:t>Procurement + Finance</w:t>
            </w:r>
          </w:p>
        </w:tc>
      </w:tr>
      <w:tr>
        <w:tc>
          <w:tcPr>
            <w:tcW w:type="dxa" w:w="680"/>
            <w:shd w:val="clear" w:fill="F7F9FB"/>
          </w:tcPr>
          <w:p>
            <w:pPr>
              <w:spacing w:after="20" w:before="20" w:line="240" w:lineRule="auto"/>
              <w:jc w:val="center"/>
            </w:pPr>
            <w:r/>
            <w:r>
              <w:rPr>
                <w:rFonts w:ascii="Calibri" w:hAnsi="Calibri"/>
                <w:b w:val="0"/>
                <w:sz w:val="14"/>
              </w:rPr>
              <w:t>G-16</w:t>
            </w:r>
          </w:p>
        </w:tc>
        <w:tc>
          <w:tcPr>
            <w:tcW w:type="dxa" w:w="2494"/>
            <w:shd w:val="clear" w:fill="F7F9FB"/>
          </w:tcPr>
          <w:p>
            <w:pPr>
              <w:spacing w:after="20" w:before="20" w:line="240" w:lineRule="auto"/>
            </w:pPr>
            <w:r/>
            <w:r>
              <w:rPr>
                <w:rFonts w:ascii="Calibri" w:hAnsi="Calibri"/>
                <w:b w:val="0"/>
                <w:sz w:val="14"/>
              </w:rPr>
              <w:t>Why does consumption per service point not match the case load reported by the facility?</w:t>
            </w:r>
          </w:p>
        </w:tc>
        <w:tc>
          <w:tcPr>
            <w:tcW w:type="dxa" w:w="2154"/>
            <w:shd w:val="clear" w:fill="F7F9FB"/>
          </w:tcPr>
          <w:p>
            <w:pPr>
              <w:spacing w:after="20" w:before="20" w:line="240" w:lineRule="auto"/>
            </w:pPr>
            <w:r/>
            <w:r>
              <w:rPr>
                <w:rFonts w:ascii="Calibri" w:hAnsi="Calibri"/>
                <w:b w:val="0"/>
                <w:sz w:val="14"/>
              </w:rPr>
              <w:t>Mismatch indicates unrecorded issues, pilferage or mis-posting.</w:t>
            </w:r>
          </w:p>
        </w:tc>
        <w:tc>
          <w:tcPr>
            <w:tcW w:type="dxa" w:w="1587"/>
            <w:shd w:val="clear" w:fill="F7F9FB"/>
          </w:tcPr>
          <w:p>
            <w:pPr>
              <w:spacing w:after="20" w:before="20" w:line="240" w:lineRule="auto"/>
            </w:pPr>
            <w:r/>
            <w:r>
              <w:rPr>
                <w:rFonts w:ascii="Calibri" w:hAnsi="Calibri"/>
                <w:b w:val="0"/>
                <w:sz w:val="14"/>
              </w:rPr>
              <w:t>Service point consumption, patient visits</w:t>
            </w:r>
          </w:p>
        </w:tc>
        <w:tc>
          <w:tcPr>
            <w:tcW w:type="dxa" w:w="1928"/>
            <w:shd w:val="clear" w:fill="F7F9FB"/>
          </w:tcPr>
          <w:p>
            <w:pPr>
              <w:spacing w:after="20" w:before="20" w:line="240" w:lineRule="auto"/>
            </w:pPr>
            <w:r/>
            <w:r>
              <w:rPr>
                <w:rFonts w:ascii="Calibri" w:hAnsi="Calibri"/>
                <w:b w:val="0"/>
                <w:sz w:val="14"/>
              </w:rPr>
              <w:t>Compare unit consumption per visit against the norm for that service point</w:t>
            </w:r>
          </w:p>
        </w:tc>
        <w:tc>
          <w:tcPr>
            <w:tcW w:type="dxa" w:w="907"/>
            <w:shd w:val="clear" w:fill="F7F9FB"/>
          </w:tcPr>
          <w:p>
            <w:pPr>
              <w:spacing w:after="20" w:before="20" w:line="240" w:lineRule="auto"/>
            </w:pPr>
            <w:r/>
            <w:r>
              <w:rPr>
                <w:rFonts w:ascii="Calibri" w:hAnsi="Calibri"/>
                <w:b w:val="0"/>
                <w:sz w:val="14"/>
              </w:rPr>
              <w:t>Deviation &gt; 25%</w:t>
            </w:r>
          </w:p>
        </w:tc>
        <w:tc>
          <w:tcPr>
            <w:tcW w:type="dxa" w:w="850"/>
            <w:shd w:val="clear" w:fill="F7F9FB"/>
          </w:tcPr>
          <w:p>
            <w:pPr>
              <w:spacing w:after="20" w:before="20" w:line="240" w:lineRule="auto"/>
              <w:jc w:val="center"/>
            </w:pPr>
            <w:r/>
            <w:r>
              <w:rPr>
                <w:rFonts w:ascii="Calibri" w:hAnsi="Calibri"/>
                <w:b w:val="0"/>
                <w:sz w:val="14"/>
              </w:rPr>
              <w:t>Monthly</w:t>
            </w:r>
          </w:p>
        </w:tc>
        <w:tc>
          <w:tcPr>
            <w:tcW w:type="dxa" w:w="850"/>
            <w:shd w:val="clear" w:fill="F7F9FB"/>
          </w:tcPr>
          <w:p>
            <w:pPr>
              <w:spacing w:after="20" w:before="20" w:line="240" w:lineRule="auto"/>
              <w:jc w:val="center"/>
            </w:pPr>
            <w:r/>
            <w:r>
              <w:rPr>
                <w:rFonts w:ascii="Calibri" w:hAnsi="Calibri"/>
                <w:b w:val="0"/>
                <w:sz w:val="14"/>
              </w:rPr>
              <w:t>Project manager</w:t>
            </w:r>
          </w:p>
        </w:tc>
      </w:tr>
      <w:tr>
        <w:tc>
          <w:tcPr>
            <w:tcW w:type="dxa" w:w="680"/>
          </w:tcPr>
          <w:p>
            <w:pPr>
              <w:spacing w:after="20" w:before="20" w:line="240" w:lineRule="auto"/>
              <w:jc w:val="center"/>
            </w:pPr>
            <w:r/>
            <w:r>
              <w:rPr>
                <w:rFonts w:ascii="Calibri" w:hAnsi="Calibri"/>
                <w:b w:val="0"/>
                <w:sz w:val="14"/>
              </w:rPr>
              <w:t>G-17</w:t>
            </w:r>
          </w:p>
        </w:tc>
        <w:tc>
          <w:tcPr>
            <w:tcW w:type="dxa" w:w="2494"/>
          </w:tcPr>
          <w:p>
            <w:pPr>
              <w:spacing w:after="20" w:before="20" w:line="240" w:lineRule="auto"/>
            </w:pPr>
            <w:r/>
            <w:r>
              <w:rPr>
                <w:rFonts w:ascii="Calibri" w:hAnsi="Calibri"/>
                <w:b w:val="0"/>
                <w:sz w:val="14"/>
              </w:rPr>
              <w:t>Why is one warehouse holding far more stock than its consumption warrants?</w:t>
            </w:r>
          </w:p>
        </w:tc>
        <w:tc>
          <w:tcPr>
            <w:tcW w:type="dxa" w:w="2154"/>
          </w:tcPr>
          <w:p>
            <w:pPr>
              <w:spacing w:after="20" w:before="20" w:line="240" w:lineRule="auto"/>
            </w:pPr>
            <w:r/>
            <w:r>
              <w:rPr>
                <w:rFonts w:ascii="Calibri" w:hAnsi="Calibri"/>
                <w:b w:val="0"/>
                <w:sz w:val="14"/>
              </w:rPr>
              <w:t>Over-supply to a field store ties up cash and risks expiry.</w:t>
            </w:r>
          </w:p>
        </w:tc>
        <w:tc>
          <w:tcPr>
            <w:tcW w:type="dxa" w:w="1587"/>
          </w:tcPr>
          <w:p>
            <w:pPr>
              <w:spacing w:after="20" w:before="20" w:line="240" w:lineRule="auto"/>
            </w:pPr>
            <w:r/>
            <w:r>
              <w:rPr>
                <w:rFonts w:ascii="Calibri" w:hAnsi="Calibri"/>
                <w:b w:val="0"/>
                <w:sz w:val="14"/>
              </w:rPr>
              <w:t>Stock by warehouse, consumption by warehouse, transfers</w:t>
            </w:r>
          </w:p>
        </w:tc>
        <w:tc>
          <w:tcPr>
            <w:tcW w:type="dxa" w:w="1928"/>
          </w:tcPr>
          <w:p>
            <w:pPr>
              <w:spacing w:after="20" w:before="20" w:line="240" w:lineRule="auto"/>
            </w:pPr>
            <w:r/>
            <w:r>
              <w:rPr>
                <w:rFonts w:ascii="Calibri" w:hAnsi="Calibri"/>
                <w:b w:val="0"/>
                <w:sz w:val="14"/>
              </w:rPr>
              <w:t>Compare cover by warehouse with that of the central store</w:t>
            </w:r>
          </w:p>
        </w:tc>
        <w:tc>
          <w:tcPr>
            <w:tcW w:type="dxa" w:w="907"/>
          </w:tcPr>
          <w:p>
            <w:pPr>
              <w:spacing w:after="20" w:before="20" w:line="240" w:lineRule="auto"/>
            </w:pPr>
            <w:r/>
            <w:r>
              <w:rPr>
                <w:rFonts w:ascii="Calibri" w:hAnsi="Calibri"/>
                <w:b w:val="0"/>
                <w:sz w:val="14"/>
              </w:rPr>
              <w:t>Cover &gt; 2× central store</w:t>
            </w:r>
          </w:p>
        </w:tc>
        <w:tc>
          <w:tcPr>
            <w:tcW w:type="dxa" w:w="850"/>
          </w:tcPr>
          <w:p>
            <w:pPr>
              <w:spacing w:after="20" w:before="20" w:line="240" w:lineRule="auto"/>
              <w:jc w:val="center"/>
            </w:pPr>
            <w:r/>
            <w:r>
              <w:rPr>
                <w:rFonts w:ascii="Calibri" w:hAnsi="Calibri"/>
                <w:b w:val="0"/>
                <w:sz w:val="14"/>
              </w:rPr>
              <w:t>Monthly</w:t>
            </w:r>
          </w:p>
        </w:tc>
        <w:tc>
          <w:tcPr>
            <w:tcW w:type="dxa" w:w="850"/>
          </w:tcPr>
          <w:p>
            <w:pPr>
              <w:spacing w:after="20" w:before="20" w:line="240" w:lineRule="auto"/>
              <w:jc w:val="center"/>
            </w:pPr>
            <w:r/>
            <w:r>
              <w:rPr>
                <w:rFonts w:ascii="Calibri" w:hAnsi="Calibri"/>
                <w:b w:val="0"/>
                <w:sz w:val="14"/>
              </w:rPr>
              <w:t>Supply chain</w:t>
            </w:r>
          </w:p>
        </w:tc>
      </w:tr>
      <w:tr>
        <w:tc>
          <w:tcPr>
            <w:tcW w:type="dxa" w:w="680"/>
            <w:shd w:val="clear" w:fill="F7F9FB"/>
          </w:tcPr>
          <w:p>
            <w:pPr>
              <w:spacing w:after="20" w:before="20" w:line="240" w:lineRule="auto"/>
              <w:jc w:val="center"/>
            </w:pPr>
            <w:r/>
            <w:r>
              <w:rPr>
                <w:rFonts w:ascii="Calibri" w:hAnsi="Calibri"/>
                <w:b w:val="0"/>
                <w:sz w:val="14"/>
              </w:rPr>
              <w:t>G-18</w:t>
            </w:r>
          </w:p>
        </w:tc>
        <w:tc>
          <w:tcPr>
            <w:tcW w:type="dxa" w:w="2494"/>
            <w:shd w:val="clear" w:fill="F7F9FB"/>
          </w:tcPr>
          <w:p>
            <w:pPr>
              <w:spacing w:after="20" w:before="20" w:line="240" w:lineRule="auto"/>
            </w:pPr>
            <w:r/>
            <w:r>
              <w:rPr>
                <w:rFonts w:ascii="Calibri" w:hAnsi="Calibri"/>
                <w:b w:val="0"/>
                <w:sz w:val="14"/>
              </w:rPr>
              <w:t>Why are there duplicate or near-duplicate receipt records?</w:t>
            </w:r>
          </w:p>
        </w:tc>
        <w:tc>
          <w:tcPr>
            <w:tcW w:type="dxa" w:w="2154"/>
            <w:shd w:val="clear" w:fill="F7F9FB"/>
          </w:tcPr>
          <w:p>
            <w:pPr>
              <w:spacing w:after="20" w:before="20" w:line="240" w:lineRule="auto"/>
            </w:pPr>
            <w:r/>
            <w:r>
              <w:rPr>
                <w:rFonts w:ascii="Calibri" w:hAnsi="Calibri"/>
                <w:b w:val="0"/>
                <w:sz w:val="14"/>
              </w:rPr>
              <w:t>Double-posting inflates stock and cost, and distorts every ratio.</w:t>
            </w:r>
          </w:p>
        </w:tc>
        <w:tc>
          <w:tcPr>
            <w:tcW w:type="dxa" w:w="1587"/>
            <w:shd w:val="clear" w:fill="F7F9FB"/>
          </w:tcPr>
          <w:p>
            <w:pPr>
              <w:spacing w:after="20" w:before="20" w:line="240" w:lineRule="auto"/>
            </w:pPr>
            <w:r/>
            <w:r>
              <w:rPr>
                <w:rFonts w:ascii="Calibri" w:hAnsi="Calibri"/>
                <w:b w:val="0"/>
                <w:sz w:val="14"/>
              </w:rPr>
              <w:t>GRN number, batch, quantity, value, date</w:t>
            </w:r>
          </w:p>
        </w:tc>
        <w:tc>
          <w:tcPr>
            <w:tcW w:type="dxa" w:w="1928"/>
            <w:shd w:val="clear" w:fill="F7F9FB"/>
          </w:tcPr>
          <w:p>
            <w:pPr>
              <w:spacing w:after="20" w:before="20" w:line="240" w:lineRule="auto"/>
            </w:pPr>
            <w:r/>
            <w:r>
              <w:rPr>
                <w:rFonts w:ascii="Calibri" w:hAnsi="Calibri"/>
                <w:b w:val="0"/>
                <w:sz w:val="14"/>
              </w:rPr>
              <w:t>Identify identical GRN and batch combinations; check posting user and time</w:t>
            </w:r>
          </w:p>
        </w:tc>
        <w:tc>
          <w:tcPr>
            <w:tcW w:type="dxa" w:w="907"/>
            <w:shd w:val="clear" w:fill="F7F9FB"/>
          </w:tcPr>
          <w:p>
            <w:pPr>
              <w:spacing w:after="20" w:before="20" w:line="240" w:lineRule="auto"/>
            </w:pPr>
            <w:r/>
            <w:r>
              <w:rPr>
                <w:rFonts w:ascii="Calibri" w:hAnsi="Calibri"/>
                <w:b w:val="0"/>
                <w:sz w:val="14"/>
              </w:rPr>
              <w:t>Any duplicate</w:t>
            </w:r>
          </w:p>
        </w:tc>
        <w:tc>
          <w:tcPr>
            <w:tcW w:type="dxa" w:w="850"/>
            <w:shd w:val="clear" w:fill="F7F9FB"/>
          </w:tcPr>
          <w:p>
            <w:pPr>
              <w:spacing w:after="20" w:before="20" w:line="240" w:lineRule="auto"/>
              <w:jc w:val="center"/>
            </w:pPr>
            <w:r/>
            <w:r>
              <w:rPr>
                <w:rFonts w:ascii="Calibri" w:hAnsi="Calibri"/>
                <w:b w:val="0"/>
                <w:sz w:val="14"/>
              </w:rPr>
              <w:t>Daily</w:t>
            </w:r>
          </w:p>
        </w:tc>
        <w:tc>
          <w:tcPr>
            <w:tcW w:type="dxa" w:w="850"/>
            <w:shd w:val="clear" w:fill="F7F9FB"/>
          </w:tcPr>
          <w:p>
            <w:pPr>
              <w:spacing w:after="20" w:before="20" w:line="240" w:lineRule="auto"/>
              <w:jc w:val="center"/>
            </w:pPr>
            <w:r/>
            <w:r>
              <w:rPr>
                <w:rFonts w:ascii="Calibri" w:hAnsi="Calibri"/>
                <w:b w:val="0"/>
                <w:sz w:val="14"/>
              </w:rPr>
              <w:t>IT / Stores</w:t>
            </w:r>
          </w:p>
        </w:tc>
      </w:tr>
      <w:tr>
        <w:tc>
          <w:tcPr>
            <w:tcW w:type="dxa" w:w="680"/>
          </w:tcPr>
          <w:p>
            <w:pPr>
              <w:spacing w:after="20" w:before="20" w:line="240" w:lineRule="auto"/>
              <w:jc w:val="center"/>
            </w:pPr>
            <w:r/>
            <w:r>
              <w:rPr>
                <w:rFonts w:ascii="Calibri" w:hAnsi="Calibri"/>
                <w:b w:val="0"/>
                <w:sz w:val="14"/>
              </w:rPr>
              <w:t>G-19</w:t>
            </w:r>
          </w:p>
        </w:tc>
        <w:tc>
          <w:tcPr>
            <w:tcW w:type="dxa" w:w="2494"/>
          </w:tcPr>
          <w:p>
            <w:pPr>
              <w:spacing w:after="20" w:before="20" w:line="240" w:lineRule="auto"/>
            </w:pPr>
            <w:r/>
            <w:r>
              <w:rPr>
                <w:rFonts w:ascii="Calibri" w:hAnsi="Calibri"/>
                <w:b w:val="0"/>
                <w:sz w:val="14"/>
              </w:rPr>
              <w:t>Why has the trend broken after a specific month?</w:t>
            </w:r>
          </w:p>
        </w:tc>
        <w:tc>
          <w:tcPr>
            <w:tcW w:type="dxa" w:w="2154"/>
          </w:tcPr>
          <w:p>
            <w:pPr>
              <w:spacing w:after="20" w:before="20" w:line="240" w:lineRule="auto"/>
            </w:pPr>
            <w:r/>
            <w:r>
              <w:rPr>
                <w:rFonts w:ascii="Calibri" w:hAnsi="Calibri"/>
                <w:b w:val="0"/>
                <w:sz w:val="14"/>
              </w:rPr>
              <w:t>A structural break means a change in process, staffing, system or funding.</w:t>
            </w:r>
          </w:p>
        </w:tc>
        <w:tc>
          <w:tcPr>
            <w:tcW w:type="dxa" w:w="1587"/>
          </w:tcPr>
          <w:p>
            <w:pPr>
              <w:spacing w:after="20" w:before="20" w:line="240" w:lineRule="auto"/>
            </w:pPr>
            <w:r/>
            <w:r>
              <w:rPr>
                <w:rFonts w:ascii="Calibri" w:hAnsi="Calibri"/>
                <w:b w:val="0"/>
                <w:sz w:val="14"/>
              </w:rPr>
              <w:t>Monthly series, event log, load history</w:t>
            </w:r>
          </w:p>
        </w:tc>
        <w:tc>
          <w:tcPr>
            <w:tcW w:type="dxa" w:w="1928"/>
          </w:tcPr>
          <w:p>
            <w:pPr>
              <w:spacing w:after="20" w:before="20" w:line="240" w:lineRule="auto"/>
            </w:pPr>
            <w:r/>
            <w:r>
              <w:rPr>
                <w:rFonts w:ascii="Calibri" w:hAnsi="Calibri"/>
                <w:b w:val="0"/>
                <w:sz w:val="14"/>
              </w:rPr>
              <w:t>Plot with control limits; check for load failures, project start/end, or code changes in that month</w:t>
            </w:r>
          </w:p>
        </w:tc>
        <w:tc>
          <w:tcPr>
            <w:tcW w:type="dxa" w:w="907"/>
          </w:tcPr>
          <w:p>
            <w:pPr>
              <w:spacing w:after="20" w:before="20" w:line="240" w:lineRule="auto"/>
            </w:pPr>
            <w:r/>
            <w:r>
              <w:rPr>
                <w:rFonts w:ascii="Calibri" w:hAnsi="Calibri"/>
                <w:b w:val="0"/>
                <w:sz w:val="14"/>
              </w:rPr>
              <w:t>Outside 2σ</w:t>
            </w:r>
          </w:p>
        </w:tc>
        <w:tc>
          <w:tcPr>
            <w:tcW w:type="dxa" w:w="850"/>
          </w:tcPr>
          <w:p>
            <w:pPr>
              <w:spacing w:after="20" w:before="20" w:line="240" w:lineRule="auto"/>
              <w:jc w:val="center"/>
            </w:pPr>
            <w:r/>
            <w:r>
              <w:rPr>
                <w:rFonts w:ascii="Calibri" w:hAnsi="Calibri"/>
                <w:b w:val="0"/>
                <w:sz w:val="14"/>
              </w:rPr>
              <w:t>Monthly</w:t>
            </w:r>
          </w:p>
        </w:tc>
        <w:tc>
          <w:tcPr>
            <w:tcW w:type="dxa" w:w="850"/>
          </w:tcPr>
          <w:p>
            <w:pPr>
              <w:spacing w:after="20" w:before="20" w:line="240" w:lineRule="auto"/>
              <w:jc w:val="center"/>
            </w:pPr>
            <w:r/>
            <w:r>
              <w:rPr>
                <w:rFonts w:ascii="Calibri" w:hAnsi="Calibri"/>
                <w:b w:val="0"/>
                <w:sz w:val="14"/>
              </w:rPr>
              <w:t>Procurement + IT</w:t>
            </w:r>
          </w:p>
        </w:tc>
      </w:tr>
      <w:tr>
        <w:tc>
          <w:tcPr>
            <w:tcW w:type="dxa" w:w="680"/>
            <w:shd w:val="clear" w:fill="F7F9FB"/>
          </w:tcPr>
          <w:p>
            <w:pPr>
              <w:spacing w:after="20" w:before="20" w:line="240" w:lineRule="auto"/>
              <w:jc w:val="center"/>
            </w:pPr>
            <w:r/>
            <w:r>
              <w:rPr>
                <w:rFonts w:ascii="Calibri" w:hAnsi="Calibri"/>
                <w:b w:val="0"/>
                <w:sz w:val="14"/>
              </w:rPr>
              <w:t>G-20</w:t>
            </w:r>
          </w:p>
        </w:tc>
        <w:tc>
          <w:tcPr>
            <w:tcW w:type="dxa" w:w="2494"/>
            <w:shd w:val="clear" w:fill="F7F9FB"/>
          </w:tcPr>
          <w:p>
            <w:pPr>
              <w:spacing w:after="20" w:before="20" w:line="240" w:lineRule="auto"/>
            </w:pPr>
            <w:r/>
            <w:r>
              <w:rPr>
                <w:rFonts w:ascii="Calibri" w:hAnsi="Calibri"/>
                <w:b w:val="0"/>
                <w:sz w:val="14"/>
              </w:rPr>
              <w:t>Why is one supplier's lead time consistently longer than agreed?</w:t>
            </w:r>
          </w:p>
        </w:tc>
        <w:tc>
          <w:tcPr>
            <w:tcW w:type="dxa" w:w="2154"/>
            <w:shd w:val="clear" w:fill="F7F9FB"/>
          </w:tcPr>
          <w:p>
            <w:pPr>
              <w:spacing w:after="20" w:before="20" w:line="240" w:lineRule="auto"/>
            </w:pPr>
            <w:r/>
            <w:r>
              <w:rPr>
                <w:rFonts w:ascii="Calibri" w:hAnsi="Calibri"/>
                <w:b w:val="0"/>
                <w:sz w:val="14"/>
              </w:rPr>
              <w:t>Lead-time drift invalidates reorder points and causes stock-outs.</w:t>
            </w:r>
          </w:p>
        </w:tc>
        <w:tc>
          <w:tcPr>
            <w:tcW w:type="dxa" w:w="1587"/>
            <w:shd w:val="clear" w:fill="F7F9FB"/>
          </w:tcPr>
          <w:p>
            <w:pPr>
              <w:spacing w:after="20" w:before="20" w:line="240" w:lineRule="auto"/>
            </w:pPr>
            <w:r/>
            <w:r>
              <w:rPr>
                <w:rFonts w:ascii="Calibri" w:hAnsi="Calibri"/>
                <w:b w:val="0"/>
                <w:sz w:val="14"/>
              </w:rPr>
              <w:t>PO date, GRN date, agreed lead time, item</w:t>
            </w:r>
          </w:p>
        </w:tc>
        <w:tc>
          <w:tcPr>
            <w:tcW w:type="dxa" w:w="1928"/>
            <w:shd w:val="clear" w:fill="F7F9FB"/>
          </w:tcPr>
          <w:p>
            <w:pPr>
              <w:spacing w:after="20" w:before="20" w:line="240" w:lineRule="auto"/>
            </w:pPr>
            <w:r/>
            <w:r>
              <w:rPr>
                <w:rFonts w:ascii="Calibri" w:hAnsi="Calibri"/>
                <w:b w:val="0"/>
                <w:sz w:val="14"/>
              </w:rPr>
              <w:t>Compare actual vs agreed by supplier and item; identify import vs local items</w:t>
            </w:r>
          </w:p>
        </w:tc>
        <w:tc>
          <w:tcPr>
            <w:tcW w:type="dxa" w:w="907"/>
            <w:shd w:val="clear" w:fill="F7F9FB"/>
          </w:tcPr>
          <w:p>
            <w:pPr>
              <w:spacing w:after="20" w:before="20" w:line="240" w:lineRule="auto"/>
            </w:pPr>
            <w:r/>
            <w:r>
              <w:rPr>
                <w:rFonts w:ascii="Calibri" w:hAnsi="Calibri"/>
                <w:b w:val="0"/>
                <w:sz w:val="14"/>
              </w:rPr>
              <w:t>Actual &gt; agreed + 20%</w:t>
            </w:r>
          </w:p>
        </w:tc>
        <w:tc>
          <w:tcPr>
            <w:tcW w:type="dxa" w:w="850"/>
            <w:shd w:val="clear" w:fill="F7F9FB"/>
          </w:tcPr>
          <w:p>
            <w:pPr>
              <w:spacing w:after="20" w:before="20" w:line="240" w:lineRule="auto"/>
              <w:jc w:val="center"/>
            </w:pPr>
            <w:r/>
            <w:r>
              <w:rPr>
                <w:rFonts w:ascii="Calibri" w:hAnsi="Calibri"/>
                <w:b w:val="0"/>
                <w:sz w:val="14"/>
              </w:rPr>
              <w:t>Quarterly</w:t>
            </w:r>
          </w:p>
        </w:tc>
        <w:tc>
          <w:tcPr>
            <w:tcW w:type="dxa" w:w="850"/>
            <w:shd w:val="clear" w:fill="F7F9FB"/>
          </w:tcPr>
          <w:p>
            <w:pPr>
              <w:spacing w:after="20" w:before="20" w:line="240" w:lineRule="auto"/>
              <w:jc w:val="center"/>
            </w:pPr>
            <w:r/>
            <w:r>
              <w:rPr>
                <w:rFonts w:ascii="Calibri" w:hAnsi="Calibri"/>
                <w:b w:val="0"/>
                <w:sz w:val="14"/>
              </w:rPr>
              <w:t>Procurement</w:t>
            </w:r>
          </w:p>
        </w:tc>
      </w:tr>
    </w:tbl>
    <w:p>
      <w:pPr>
        <w:spacing w:after="20"/>
      </w:pPr>
    </w:p>
    <w:p>
      <w:pPr>
        <w:pStyle w:val="Heading2"/>
      </w:pPr>
      <w:r>
        <w:t>4.1 How to run a diagnosis</w:t>
      </w:r>
    </w:p>
    <w:p>
      <w:pPr>
        <w:pStyle w:val="ListNumber"/>
        <w:spacing w:after="50"/>
      </w:pPr>
      <w:r>
        <w:t>State the observation precisely: metric, scope, period, and the size of the movement.</w:t>
      </w:r>
    </w:p>
    <w:p>
      <w:pPr>
        <w:pStyle w:val="ListNumber"/>
        <w:spacing w:after="50"/>
      </w:pPr>
      <w:r>
        <w:t>List the plausible causes in order of likelihood for this organisation — the commentary rules in Section 9 provide the standard order.</w:t>
      </w:r>
    </w:p>
    <w:p>
      <w:pPr>
        <w:pStyle w:val="ListNumber"/>
        <w:spacing w:after="50"/>
      </w:pPr>
      <w:r>
        <w:t>For each cause, state the evidence that would confirm it and the evidence that would eliminate it.</w:t>
      </w:r>
    </w:p>
    <w:p>
      <w:pPr>
        <w:pStyle w:val="ListNumber"/>
        <w:spacing w:after="50"/>
      </w:pPr>
      <w:r>
        <w:t>Test against the data; record what was eliminated as well as what was confirmed.</w:t>
      </w:r>
    </w:p>
    <w:p>
      <w:pPr>
        <w:pStyle w:val="ListNumber"/>
        <w:spacing w:after="50"/>
      </w:pPr>
      <w:r>
        <w:t>Convert the confirmed cause into a prescriptive question — and only then into an action.</w:t>
      </w:r>
    </w:p>
    <w:p>
      <w:pPr>
        <w:spacing w:after="100"/>
      </w:pPr>
      <w:r>
        <w:rPr>
          <w:b w:val="0"/>
          <w:i w:val="0"/>
        </w:rPr>
        <w:t>A diagnosis that names a cause without citing the test that confirmed it is a hypothesis, and should be labelled as one.</w:t>
      </w:r>
    </w:p>
    <w:p>
      <w:r>
        <w:br w:type="page"/>
      </w:r>
    </w:p>
    <w:p>
      <w:pPr>
        <w:pStyle w:val="Heading1"/>
      </w:pPr>
      <w:r>
        <w:t>5. Predictive questions – what happens next</w:t>
      </w:r>
    </w:p>
    <w:p>
      <w:pPr>
        <w:spacing w:after="100"/>
      </w:pPr>
      <w:r>
        <w:rPr>
          <w:b w:val="0"/>
          <w:i w:val="0"/>
        </w:rPr>
        <w:t>Predictions are generated from the latest data at each refresh. Each carries a stated assumption and is recomputed when the data changes, so a projection can never quietly become stale. They are decision aids, not commitments.</w:t>
      </w:r>
    </w:p>
    <w:tbl>
      <w:tblPr>
        <w:tblStyle w:val="TableGrid"/>
        <w:tblW w:type="auto" w:w="0"/>
        <w:jc w:val="center"/>
        <w:tblLayout w:type="fixed"/>
        <w:tblLook w:firstColumn="1" w:firstRow="1" w:lastColumn="0" w:lastRow="0" w:noHBand="0" w:noVBand="1" w:val="04A0"/>
      </w:tblPr>
      <w:tblGrid>
        <w:gridCol w:w="1261"/>
        <w:gridCol w:w="1261"/>
        <w:gridCol w:w="1261"/>
        <w:gridCol w:w="1261"/>
        <w:gridCol w:w="1261"/>
        <w:gridCol w:w="1261"/>
        <w:gridCol w:w="1261"/>
        <w:gridCol w:w="1261"/>
      </w:tblGrid>
      <w:tr>
        <w:trPr>
          <w:tblHeader/>
        </w:trPr>
        <w:tc>
          <w:tcPr>
            <w:tcW w:type="dxa" w:w="680"/>
            <w:shd w:val="clear" w:fill="1F3B57"/>
          </w:tcPr>
          <w:p>
            <w:pPr>
              <w:spacing w:after="20" w:before="20" w:line="240" w:lineRule="auto"/>
            </w:pPr>
            <w:r/>
            <w:r>
              <w:rPr>
                <w:rFonts w:ascii="Calibri" w:hAnsi="Calibri"/>
                <w:b/>
                <w:color w:val="FFFFFF"/>
                <w:sz w:val="14"/>
              </w:rPr>
              <w:t>ID</w:t>
            </w:r>
          </w:p>
        </w:tc>
        <w:tc>
          <w:tcPr>
            <w:tcW w:type="dxa" w:w="2494"/>
            <w:shd w:val="clear" w:fill="1F3B57"/>
          </w:tcPr>
          <w:p>
            <w:pPr>
              <w:spacing w:after="20" w:before="20" w:line="240" w:lineRule="auto"/>
            </w:pPr>
            <w:r/>
            <w:r>
              <w:rPr>
                <w:rFonts w:ascii="Calibri" w:hAnsi="Calibri"/>
                <w:b/>
                <w:color w:val="FFFFFF"/>
                <w:sz w:val="14"/>
              </w:rPr>
              <w:t>Question</w:t>
            </w:r>
          </w:p>
        </w:tc>
        <w:tc>
          <w:tcPr>
            <w:tcW w:type="dxa" w:w="2154"/>
            <w:shd w:val="clear" w:fill="1F3B57"/>
          </w:tcPr>
          <w:p>
            <w:pPr>
              <w:spacing w:after="20" w:before="20" w:line="240" w:lineRule="auto"/>
            </w:pPr>
            <w:r/>
            <w:r>
              <w:rPr>
                <w:rFonts w:ascii="Calibri" w:hAnsi="Calibri"/>
                <w:b/>
                <w:color w:val="FFFFFF"/>
                <w:sz w:val="14"/>
              </w:rPr>
              <w:t>Why it matters / decision supported</w:t>
            </w:r>
          </w:p>
        </w:tc>
        <w:tc>
          <w:tcPr>
            <w:tcW w:type="dxa" w:w="1587"/>
            <w:shd w:val="clear" w:fill="1F3B57"/>
          </w:tcPr>
          <w:p>
            <w:pPr>
              <w:spacing w:after="20" w:before="20" w:line="240" w:lineRule="auto"/>
            </w:pPr>
            <w:r/>
            <w:r>
              <w:rPr>
                <w:rFonts w:ascii="Calibri" w:hAnsi="Calibri"/>
                <w:b/>
                <w:color w:val="FFFFFF"/>
                <w:sz w:val="14"/>
              </w:rPr>
              <w:t>Data required</w:t>
            </w:r>
          </w:p>
        </w:tc>
        <w:tc>
          <w:tcPr>
            <w:tcW w:type="dxa" w:w="1928"/>
            <w:shd w:val="clear" w:fill="1F3B57"/>
          </w:tcPr>
          <w:p>
            <w:pPr>
              <w:spacing w:after="20" w:before="20" w:line="240" w:lineRule="auto"/>
            </w:pPr>
            <w:r/>
            <w:r>
              <w:rPr>
                <w:rFonts w:ascii="Calibri" w:hAnsi="Calibri"/>
                <w:b/>
                <w:color w:val="FFFFFF"/>
                <w:sz w:val="14"/>
              </w:rPr>
              <w:t>How to answer</w:t>
            </w:r>
          </w:p>
        </w:tc>
        <w:tc>
          <w:tcPr>
            <w:tcW w:type="dxa" w:w="907"/>
            <w:shd w:val="clear" w:fill="1F3B57"/>
          </w:tcPr>
          <w:p>
            <w:pPr>
              <w:spacing w:after="20" w:before="20" w:line="240" w:lineRule="auto"/>
            </w:pPr>
            <w:r/>
            <w:r>
              <w:rPr>
                <w:rFonts w:ascii="Calibri" w:hAnsi="Calibri"/>
                <w:b/>
                <w:color w:val="FFFFFF"/>
                <w:sz w:val="14"/>
              </w:rPr>
              <w:t>Trigger</w:t>
            </w:r>
          </w:p>
        </w:tc>
        <w:tc>
          <w:tcPr>
            <w:tcW w:type="dxa" w:w="850"/>
            <w:shd w:val="clear" w:fill="1F3B57"/>
          </w:tcPr>
          <w:p>
            <w:pPr>
              <w:spacing w:after="20" w:before="20" w:line="240" w:lineRule="auto"/>
            </w:pPr>
            <w:r/>
            <w:r>
              <w:rPr>
                <w:rFonts w:ascii="Calibri" w:hAnsi="Calibri"/>
                <w:b/>
                <w:color w:val="FFFFFF"/>
                <w:sz w:val="14"/>
              </w:rPr>
              <w:t>Cadence</w:t>
            </w:r>
          </w:p>
        </w:tc>
        <w:tc>
          <w:tcPr>
            <w:tcW w:type="dxa" w:w="850"/>
            <w:shd w:val="clear" w:fill="1F3B57"/>
          </w:tcPr>
          <w:p>
            <w:pPr>
              <w:spacing w:after="20" w:before="20" w:line="240" w:lineRule="auto"/>
            </w:pPr>
            <w:r/>
            <w:r>
              <w:rPr>
                <w:rFonts w:ascii="Calibri" w:hAnsi="Calibri"/>
                <w:b/>
                <w:color w:val="FFFFFF"/>
                <w:sz w:val="14"/>
              </w:rPr>
              <w:t>Owner</w:t>
            </w:r>
          </w:p>
        </w:tc>
      </w:tr>
      <w:tr>
        <w:tc>
          <w:tcPr>
            <w:tcW w:type="dxa" w:w="680"/>
          </w:tcPr>
          <w:p>
            <w:pPr>
              <w:spacing w:after="20" w:before="20" w:line="240" w:lineRule="auto"/>
              <w:jc w:val="center"/>
            </w:pPr>
            <w:r/>
            <w:r>
              <w:rPr>
                <w:rFonts w:ascii="Calibri" w:hAnsi="Calibri"/>
                <w:b w:val="0"/>
                <w:sz w:val="14"/>
              </w:rPr>
              <w:t>X-01</w:t>
            </w:r>
          </w:p>
        </w:tc>
        <w:tc>
          <w:tcPr>
            <w:tcW w:type="dxa" w:w="2494"/>
          </w:tcPr>
          <w:p>
            <w:pPr>
              <w:spacing w:after="20" w:before="20" w:line="240" w:lineRule="auto"/>
            </w:pPr>
            <w:r/>
            <w:r>
              <w:rPr>
                <w:rFonts w:ascii="Calibri" w:hAnsi="Calibri"/>
                <w:b w:val="0"/>
                <w:sz w:val="14"/>
              </w:rPr>
              <w:t>What will consumption be next month and next quarter at the current run rate?</w:t>
            </w:r>
          </w:p>
        </w:tc>
        <w:tc>
          <w:tcPr>
            <w:tcW w:type="dxa" w:w="2154"/>
          </w:tcPr>
          <w:p>
            <w:pPr>
              <w:spacing w:after="20" w:before="20" w:line="240" w:lineRule="auto"/>
            </w:pPr>
            <w:r/>
            <w:r>
              <w:rPr>
                <w:rFonts w:ascii="Calibri" w:hAnsi="Calibri"/>
                <w:b w:val="0"/>
                <w:sz w:val="14"/>
              </w:rPr>
              <w:t>Gives procurement and finance a forward number to plan against.</w:t>
            </w:r>
          </w:p>
        </w:tc>
        <w:tc>
          <w:tcPr>
            <w:tcW w:type="dxa" w:w="1587"/>
          </w:tcPr>
          <w:p>
            <w:pPr>
              <w:spacing w:after="20" w:before="20" w:line="240" w:lineRule="auto"/>
            </w:pPr>
            <w:r/>
            <w:r>
              <w:rPr>
                <w:rFonts w:ascii="Calibri" w:hAnsi="Calibri"/>
                <w:b w:val="0"/>
                <w:sz w:val="14"/>
              </w:rPr>
              <w:t>Last 3–12 months consumption, seasonality index</w:t>
            </w:r>
          </w:p>
        </w:tc>
        <w:tc>
          <w:tcPr>
            <w:tcW w:type="dxa" w:w="1928"/>
          </w:tcPr>
          <w:p>
            <w:pPr>
              <w:spacing w:after="20" w:before="20" w:line="240" w:lineRule="auto"/>
            </w:pPr>
            <w:r/>
            <w:r>
              <w:rPr>
                <w:rFonts w:ascii="Calibri" w:hAnsi="Calibri"/>
                <w:b w:val="0"/>
                <w:sz w:val="14"/>
              </w:rPr>
              <w:t>Run-rate projection; seasonally adjusted projection</w:t>
            </w:r>
          </w:p>
        </w:tc>
        <w:tc>
          <w:tcPr>
            <w:tcW w:type="dxa" w:w="907"/>
          </w:tcPr>
          <w:p>
            <w:pPr>
              <w:spacing w:after="20" w:before="20" w:line="240" w:lineRule="auto"/>
            </w:pPr>
            <w:r/>
            <w:r>
              <w:rPr>
                <w:rFonts w:ascii="Calibri" w:hAnsi="Calibri"/>
                <w:b w:val="0"/>
                <w:sz w:val="14"/>
              </w:rPr>
              <w:t>Recompute each refresh</w:t>
            </w:r>
          </w:p>
        </w:tc>
        <w:tc>
          <w:tcPr>
            <w:tcW w:type="dxa" w:w="850"/>
          </w:tcPr>
          <w:p>
            <w:pPr>
              <w:spacing w:after="20" w:before="20" w:line="240" w:lineRule="auto"/>
              <w:jc w:val="center"/>
            </w:pPr>
            <w:r/>
            <w:r>
              <w:rPr>
                <w:rFonts w:ascii="Calibri" w:hAnsi="Calibri"/>
                <w:b w:val="0"/>
                <w:sz w:val="14"/>
              </w:rPr>
              <w:t>Monthly</w:t>
            </w:r>
          </w:p>
        </w:tc>
        <w:tc>
          <w:tcPr>
            <w:tcW w:type="dxa" w:w="850"/>
          </w:tcPr>
          <w:p>
            <w:pPr>
              <w:spacing w:after="20" w:before="20" w:line="240" w:lineRule="auto"/>
              <w:jc w:val="center"/>
            </w:pPr>
            <w:r/>
            <w:r>
              <w:rPr>
                <w:rFonts w:ascii="Calibri" w:hAnsi="Calibri"/>
                <w:b w:val="0"/>
                <w:sz w:val="14"/>
              </w:rPr>
              <w:t>Procurement</w:t>
            </w:r>
          </w:p>
        </w:tc>
      </w:tr>
      <w:tr>
        <w:tc>
          <w:tcPr>
            <w:tcW w:type="dxa" w:w="680"/>
            <w:shd w:val="clear" w:fill="F7F9FB"/>
          </w:tcPr>
          <w:p>
            <w:pPr>
              <w:spacing w:after="20" w:before="20" w:line="240" w:lineRule="auto"/>
              <w:jc w:val="center"/>
            </w:pPr>
            <w:r/>
            <w:r>
              <w:rPr>
                <w:rFonts w:ascii="Calibri" w:hAnsi="Calibri"/>
                <w:b w:val="0"/>
                <w:sz w:val="14"/>
              </w:rPr>
              <w:t>X-02</w:t>
            </w:r>
          </w:p>
        </w:tc>
        <w:tc>
          <w:tcPr>
            <w:tcW w:type="dxa" w:w="2494"/>
            <w:shd w:val="clear" w:fill="F7F9FB"/>
          </w:tcPr>
          <w:p>
            <w:pPr>
              <w:spacing w:after="20" w:before="20" w:line="240" w:lineRule="auto"/>
            </w:pPr>
            <w:r/>
            <w:r>
              <w:rPr>
                <w:rFonts w:ascii="Calibri" w:hAnsi="Calibri"/>
                <w:b w:val="0"/>
                <w:sz w:val="14"/>
              </w:rPr>
              <w:t>Which items are likely to fall below the cover threshold before the next delivery?</w:t>
            </w:r>
          </w:p>
        </w:tc>
        <w:tc>
          <w:tcPr>
            <w:tcW w:type="dxa" w:w="2154"/>
            <w:shd w:val="clear" w:fill="F7F9FB"/>
          </w:tcPr>
          <w:p>
            <w:pPr>
              <w:spacing w:after="20" w:before="20" w:line="240" w:lineRule="auto"/>
            </w:pPr>
            <w:r/>
            <w:r>
              <w:rPr>
                <w:rFonts w:ascii="Calibri" w:hAnsi="Calibri"/>
                <w:b w:val="0"/>
                <w:sz w:val="14"/>
              </w:rPr>
              <w:t>Converts current stock and lead time into a future stock-out list.</w:t>
            </w:r>
          </w:p>
        </w:tc>
        <w:tc>
          <w:tcPr>
            <w:tcW w:type="dxa" w:w="1587"/>
            <w:shd w:val="clear" w:fill="F7F9FB"/>
          </w:tcPr>
          <w:p>
            <w:pPr>
              <w:spacing w:after="20" w:before="20" w:line="240" w:lineRule="auto"/>
            </w:pPr>
            <w:r/>
            <w:r>
              <w:rPr>
                <w:rFonts w:ascii="Calibri" w:hAnsi="Calibri"/>
                <w:b w:val="0"/>
                <w:sz w:val="14"/>
              </w:rPr>
              <w:t>Cover, lead time, open commitments, consumption trend</w:t>
            </w:r>
          </w:p>
        </w:tc>
        <w:tc>
          <w:tcPr>
            <w:tcW w:type="dxa" w:w="1928"/>
            <w:shd w:val="clear" w:fill="F7F9FB"/>
          </w:tcPr>
          <w:p>
            <w:pPr>
              <w:spacing w:after="20" w:before="20" w:line="240" w:lineRule="auto"/>
            </w:pPr>
            <w:r/>
            <w:r>
              <w:rPr>
                <w:rFonts w:ascii="Calibri" w:hAnsi="Calibri"/>
                <w:b w:val="0"/>
                <w:sz w:val="14"/>
              </w:rPr>
              <w:t>Projected stock-out date = report date + days of cover; compare with expected delivery date</w:t>
            </w:r>
          </w:p>
        </w:tc>
        <w:tc>
          <w:tcPr>
            <w:tcW w:type="dxa" w:w="907"/>
            <w:shd w:val="clear" w:fill="F7F9FB"/>
          </w:tcPr>
          <w:p>
            <w:pPr>
              <w:spacing w:after="20" w:before="20" w:line="240" w:lineRule="auto"/>
            </w:pPr>
            <w:r/>
            <w:r>
              <w:rPr>
                <w:rFonts w:ascii="Calibri" w:hAnsi="Calibri"/>
                <w:b w:val="0"/>
                <w:sz w:val="14"/>
              </w:rPr>
              <w:t>Cover &lt; lead time + 15 days</w:t>
            </w:r>
          </w:p>
        </w:tc>
        <w:tc>
          <w:tcPr>
            <w:tcW w:type="dxa" w:w="850"/>
            <w:shd w:val="clear" w:fill="F7F9FB"/>
          </w:tcPr>
          <w:p>
            <w:pPr>
              <w:spacing w:after="20" w:before="20" w:line="240" w:lineRule="auto"/>
              <w:jc w:val="center"/>
            </w:pPr>
            <w:r/>
            <w:r>
              <w:rPr>
                <w:rFonts w:ascii="Calibri" w:hAnsi="Calibri"/>
                <w:b w:val="0"/>
                <w:sz w:val="14"/>
              </w:rPr>
              <w:t>Weekly</w:t>
            </w:r>
          </w:p>
        </w:tc>
        <w:tc>
          <w:tcPr>
            <w:tcW w:type="dxa" w:w="850"/>
            <w:shd w:val="clear" w:fill="F7F9FB"/>
          </w:tcPr>
          <w:p>
            <w:pPr>
              <w:spacing w:after="20" w:before="20" w:line="240" w:lineRule="auto"/>
              <w:jc w:val="center"/>
            </w:pPr>
            <w:r/>
            <w:r>
              <w:rPr>
                <w:rFonts w:ascii="Calibri" w:hAnsi="Calibri"/>
                <w:b w:val="0"/>
                <w:sz w:val="14"/>
              </w:rPr>
              <w:t>Stores</w:t>
            </w:r>
          </w:p>
        </w:tc>
      </w:tr>
      <w:tr>
        <w:tc>
          <w:tcPr>
            <w:tcW w:type="dxa" w:w="680"/>
          </w:tcPr>
          <w:p>
            <w:pPr>
              <w:spacing w:after="20" w:before="20" w:line="240" w:lineRule="auto"/>
              <w:jc w:val="center"/>
            </w:pPr>
            <w:r/>
            <w:r>
              <w:rPr>
                <w:rFonts w:ascii="Calibri" w:hAnsi="Calibri"/>
                <w:b w:val="0"/>
                <w:sz w:val="14"/>
              </w:rPr>
              <w:t>X-03</w:t>
            </w:r>
          </w:p>
        </w:tc>
        <w:tc>
          <w:tcPr>
            <w:tcW w:type="dxa" w:w="2494"/>
          </w:tcPr>
          <w:p>
            <w:pPr>
              <w:spacing w:after="20" w:before="20" w:line="240" w:lineRule="auto"/>
            </w:pPr>
            <w:r/>
            <w:r>
              <w:rPr>
                <w:rFonts w:ascii="Calibri" w:hAnsi="Calibri"/>
                <w:b w:val="0"/>
                <w:sz w:val="14"/>
              </w:rPr>
              <w:t>What quantity should be purchased for each item in the next cycle?</w:t>
            </w:r>
          </w:p>
        </w:tc>
        <w:tc>
          <w:tcPr>
            <w:tcW w:type="dxa" w:w="2154"/>
          </w:tcPr>
          <w:p>
            <w:pPr>
              <w:spacing w:after="20" w:before="20" w:line="240" w:lineRule="auto"/>
            </w:pPr>
            <w:r/>
            <w:r>
              <w:rPr>
                <w:rFonts w:ascii="Calibri" w:hAnsi="Calibri"/>
                <w:b w:val="0"/>
                <w:sz w:val="14"/>
              </w:rPr>
              <w:t>Converts evidence into a requisition quantity.</w:t>
            </w:r>
          </w:p>
        </w:tc>
        <w:tc>
          <w:tcPr>
            <w:tcW w:type="dxa" w:w="1587"/>
          </w:tcPr>
          <w:p>
            <w:pPr>
              <w:spacing w:after="20" w:before="20" w:line="240" w:lineRule="auto"/>
            </w:pPr>
            <w:r/>
            <w:r>
              <w:rPr>
                <w:rFonts w:ascii="Calibri" w:hAnsi="Calibri"/>
                <w:b w:val="0"/>
                <w:sz w:val="14"/>
              </w:rPr>
              <w:t>Average monthly consumption, cover target, lead time, stock on hand, open commitment</w:t>
            </w:r>
          </w:p>
        </w:tc>
        <w:tc>
          <w:tcPr>
            <w:tcW w:type="dxa" w:w="1928"/>
          </w:tcPr>
          <w:p>
            <w:pPr>
              <w:spacing w:after="20" w:before="20" w:line="240" w:lineRule="auto"/>
            </w:pPr>
            <w:r/>
            <w:r>
              <w:rPr>
                <w:rFonts w:ascii="Calibri" w:hAnsi="Calibri"/>
                <w:b w:val="0"/>
                <w:sz w:val="14"/>
              </w:rPr>
              <w:t>Indicative quantity = consumption × (cover target + lead time months) − on hand − open commitment, floored at zero</w:t>
            </w:r>
          </w:p>
        </w:tc>
        <w:tc>
          <w:tcPr>
            <w:tcW w:type="dxa" w:w="907"/>
          </w:tcPr>
          <w:p>
            <w:pPr>
              <w:spacing w:after="20" w:before="20" w:line="240" w:lineRule="auto"/>
            </w:pPr>
            <w:r/>
            <w:r>
              <w:rPr>
                <w:rFonts w:ascii="Calibri" w:hAnsi="Calibri"/>
                <w:b w:val="0"/>
                <w:sz w:val="14"/>
              </w:rPr>
              <w:t>P-13</w:t>
            </w:r>
          </w:p>
        </w:tc>
        <w:tc>
          <w:tcPr>
            <w:tcW w:type="dxa" w:w="850"/>
          </w:tcPr>
          <w:p>
            <w:pPr>
              <w:spacing w:after="20" w:before="20" w:line="240" w:lineRule="auto"/>
              <w:jc w:val="center"/>
            </w:pPr>
            <w:r/>
            <w:r>
              <w:rPr>
                <w:rFonts w:ascii="Calibri" w:hAnsi="Calibri"/>
                <w:b w:val="0"/>
                <w:sz w:val="14"/>
              </w:rPr>
              <w:t>Monthly</w:t>
            </w:r>
          </w:p>
        </w:tc>
        <w:tc>
          <w:tcPr>
            <w:tcW w:type="dxa" w:w="850"/>
          </w:tcPr>
          <w:p>
            <w:pPr>
              <w:spacing w:after="20" w:before="20" w:line="240" w:lineRule="auto"/>
              <w:jc w:val="center"/>
            </w:pPr>
            <w:r/>
            <w:r>
              <w:rPr>
                <w:rFonts w:ascii="Calibri" w:hAnsi="Calibri"/>
                <w:b w:val="0"/>
                <w:sz w:val="14"/>
              </w:rPr>
              <w:t>Procurement</w:t>
            </w:r>
          </w:p>
        </w:tc>
      </w:tr>
      <w:tr>
        <w:tc>
          <w:tcPr>
            <w:tcW w:type="dxa" w:w="680"/>
            <w:shd w:val="clear" w:fill="F7F9FB"/>
          </w:tcPr>
          <w:p>
            <w:pPr>
              <w:spacing w:after="20" w:before="20" w:line="240" w:lineRule="auto"/>
              <w:jc w:val="center"/>
            </w:pPr>
            <w:r/>
            <w:r>
              <w:rPr>
                <w:rFonts w:ascii="Calibri" w:hAnsi="Calibri"/>
                <w:b w:val="0"/>
                <w:sz w:val="14"/>
              </w:rPr>
              <w:t>X-04</w:t>
            </w:r>
          </w:p>
        </w:tc>
        <w:tc>
          <w:tcPr>
            <w:tcW w:type="dxa" w:w="2494"/>
            <w:shd w:val="clear" w:fill="F7F9FB"/>
          </w:tcPr>
          <w:p>
            <w:pPr>
              <w:spacing w:after="20" w:before="20" w:line="240" w:lineRule="auto"/>
            </w:pPr>
            <w:r/>
            <w:r>
              <w:rPr>
                <w:rFonts w:ascii="Calibri" w:hAnsi="Calibri"/>
                <w:b w:val="0"/>
                <w:sz w:val="14"/>
              </w:rPr>
              <w:t>What stock will expire within the next 60 / 90 / 180 days if consumption continues at the current rate?</w:t>
            </w:r>
          </w:p>
        </w:tc>
        <w:tc>
          <w:tcPr>
            <w:tcW w:type="dxa" w:w="2154"/>
            <w:shd w:val="clear" w:fill="F7F9FB"/>
          </w:tcPr>
          <w:p>
            <w:pPr>
              <w:spacing w:after="20" w:before="20" w:line="240" w:lineRule="auto"/>
            </w:pPr>
            <w:r/>
            <w:r>
              <w:rPr>
                <w:rFonts w:ascii="Calibri" w:hAnsi="Calibri"/>
                <w:b w:val="0"/>
                <w:sz w:val="14"/>
              </w:rPr>
              <w:t>Predicts write-off value, not just current expiry.</w:t>
            </w:r>
          </w:p>
        </w:tc>
        <w:tc>
          <w:tcPr>
            <w:tcW w:type="dxa" w:w="1587"/>
            <w:shd w:val="clear" w:fill="F7F9FB"/>
          </w:tcPr>
          <w:p>
            <w:pPr>
              <w:spacing w:after="20" w:before="20" w:line="240" w:lineRule="auto"/>
            </w:pPr>
            <w:r/>
            <w:r>
              <w:rPr>
                <w:rFonts w:ascii="Calibri" w:hAnsi="Calibri"/>
                <w:b w:val="0"/>
                <w:sz w:val="14"/>
              </w:rPr>
              <w:t>Batch expiry, batch quantity, item consumption rate</w:t>
            </w:r>
          </w:p>
        </w:tc>
        <w:tc>
          <w:tcPr>
            <w:tcW w:type="dxa" w:w="1928"/>
            <w:shd w:val="clear" w:fill="F7F9FB"/>
          </w:tcPr>
          <w:p>
            <w:pPr>
              <w:spacing w:after="20" w:before="20" w:line="240" w:lineRule="auto"/>
            </w:pPr>
            <w:r/>
            <w:r>
              <w:rPr>
                <w:rFonts w:ascii="Calibri" w:hAnsi="Calibri"/>
                <w:b w:val="0"/>
                <w:sz w:val="14"/>
              </w:rPr>
              <w:t>For each batch, compare days to expiry with days of stock cover</w:t>
            </w:r>
          </w:p>
        </w:tc>
        <w:tc>
          <w:tcPr>
            <w:tcW w:type="dxa" w:w="907"/>
            <w:shd w:val="clear" w:fill="F7F9FB"/>
          </w:tcPr>
          <w:p>
            <w:pPr>
              <w:spacing w:after="20" w:before="20" w:line="240" w:lineRule="auto"/>
            </w:pPr>
            <w:r/>
            <w:r>
              <w:rPr>
                <w:rFonts w:ascii="Calibri" w:hAnsi="Calibri"/>
                <w:b w:val="0"/>
                <w:sz w:val="14"/>
              </w:rPr>
              <w:t>P-08</w:t>
            </w:r>
          </w:p>
        </w:tc>
        <w:tc>
          <w:tcPr>
            <w:tcW w:type="dxa" w:w="850"/>
            <w:shd w:val="clear" w:fill="F7F9FB"/>
          </w:tcPr>
          <w:p>
            <w:pPr>
              <w:spacing w:after="20" w:before="20" w:line="240" w:lineRule="auto"/>
              <w:jc w:val="center"/>
            </w:pPr>
            <w:r/>
            <w:r>
              <w:rPr>
                <w:rFonts w:ascii="Calibri" w:hAnsi="Calibri"/>
                <w:b w:val="0"/>
                <w:sz w:val="14"/>
              </w:rPr>
              <w:t>Monthly</w:t>
            </w:r>
          </w:p>
        </w:tc>
        <w:tc>
          <w:tcPr>
            <w:tcW w:type="dxa" w:w="850"/>
            <w:shd w:val="clear" w:fill="F7F9FB"/>
          </w:tcPr>
          <w:p>
            <w:pPr>
              <w:spacing w:after="20" w:before="20" w:line="240" w:lineRule="auto"/>
              <w:jc w:val="center"/>
            </w:pPr>
            <w:r/>
            <w:r>
              <w:rPr>
                <w:rFonts w:ascii="Calibri" w:hAnsi="Calibri"/>
                <w:b w:val="0"/>
                <w:sz w:val="14"/>
              </w:rPr>
              <w:t>Stores</w:t>
            </w:r>
          </w:p>
        </w:tc>
      </w:tr>
      <w:tr>
        <w:tc>
          <w:tcPr>
            <w:tcW w:type="dxa" w:w="680"/>
          </w:tcPr>
          <w:p>
            <w:pPr>
              <w:spacing w:after="20" w:before="20" w:line="240" w:lineRule="auto"/>
              <w:jc w:val="center"/>
            </w:pPr>
            <w:r/>
            <w:r>
              <w:rPr>
                <w:rFonts w:ascii="Calibri" w:hAnsi="Calibri"/>
                <w:b w:val="0"/>
                <w:sz w:val="14"/>
              </w:rPr>
              <w:t>X-05</w:t>
            </w:r>
          </w:p>
        </w:tc>
        <w:tc>
          <w:tcPr>
            <w:tcW w:type="dxa" w:w="2494"/>
          </w:tcPr>
          <w:p>
            <w:pPr>
              <w:spacing w:after="20" w:before="20" w:line="240" w:lineRule="auto"/>
            </w:pPr>
            <w:r/>
            <w:r>
              <w:rPr>
                <w:rFonts w:ascii="Calibri" w:hAnsi="Calibri"/>
                <w:b w:val="0"/>
                <w:sz w:val="14"/>
              </w:rPr>
              <w:t>What is the projected year-end consumption for each project, and will it exceed budget?</w:t>
            </w:r>
          </w:p>
        </w:tc>
        <w:tc>
          <w:tcPr>
            <w:tcW w:type="dxa" w:w="2154"/>
          </w:tcPr>
          <w:p>
            <w:pPr>
              <w:spacing w:after="20" w:before="20" w:line="240" w:lineRule="auto"/>
            </w:pPr>
            <w:r/>
            <w:r>
              <w:rPr>
                <w:rFonts w:ascii="Calibri" w:hAnsi="Calibri"/>
                <w:b w:val="0"/>
                <w:sz w:val="14"/>
              </w:rPr>
              <w:t>Flags overspend while there is still time to act.</w:t>
            </w:r>
          </w:p>
        </w:tc>
        <w:tc>
          <w:tcPr>
            <w:tcW w:type="dxa" w:w="1587"/>
          </w:tcPr>
          <w:p>
            <w:pPr>
              <w:spacing w:after="20" w:before="20" w:line="240" w:lineRule="auto"/>
            </w:pPr>
            <w:r/>
            <w:r>
              <w:rPr>
                <w:rFonts w:ascii="Calibri" w:hAnsi="Calibri"/>
                <w:b w:val="0"/>
                <w:sz w:val="14"/>
              </w:rPr>
              <w:t>YTD consumption, elapsed months, budget</w:t>
            </w:r>
          </w:p>
        </w:tc>
        <w:tc>
          <w:tcPr>
            <w:tcW w:type="dxa" w:w="1928"/>
          </w:tcPr>
          <w:p>
            <w:pPr>
              <w:spacing w:after="20" w:before="20" w:line="240" w:lineRule="auto"/>
            </w:pPr>
            <w:r/>
            <w:r>
              <w:rPr>
                <w:rFonts w:ascii="Calibri" w:hAnsi="Calibri"/>
                <w:b w:val="0"/>
                <w:sz w:val="14"/>
              </w:rPr>
              <w:t>YTD + (burn rate × remaining months) vs budget</w:t>
            </w:r>
          </w:p>
        </w:tc>
        <w:tc>
          <w:tcPr>
            <w:tcW w:type="dxa" w:w="907"/>
          </w:tcPr>
          <w:p>
            <w:pPr>
              <w:spacing w:after="20" w:before="20" w:line="240" w:lineRule="auto"/>
            </w:pPr>
            <w:r/>
            <w:r>
              <w:rPr>
                <w:rFonts w:ascii="Calibri" w:hAnsi="Calibri"/>
                <w:b w:val="0"/>
                <w:sz w:val="14"/>
              </w:rPr>
              <w:t>P-15</w:t>
            </w:r>
          </w:p>
        </w:tc>
        <w:tc>
          <w:tcPr>
            <w:tcW w:type="dxa" w:w="850"/>
          </w:tcPr>
          <w:p>
            <w:pPr>
              <w:spacing w:after="20" w:before="20" w:line="240" w:lineRule="auto"/>
              <w:jc w:val="center"/>
            </w:pPr>
            <w:r/>
            <w:r>
              <w:rPr>
                <w:rFonts w:ascii="Calibri" w:hAnsi="Calibri"/>
                <w:b w:val="0"/>
                <w:sz w:val="14"/>
              </w:rPr>
              <w:t>Monthly</w:t>
            </w:r>
          </w:p>
        </w:tc>
        <w:tc>
          <w:tcPr>
            <w:tcW w:type="dxa" w:w="850"/>
          </w:tcPr>
          <w:p>
            <w:pPr>
              <w:spacing w:after="20" w:before="20" w:line="240" w:lineRule="auto"/>
              <w:jc w:val="center"/>
            </w:pPr>
            <w:r/>
            <w:r>
              <w:rPr>
                <w:rFonts w:ascii="Calibri" w:hAnsi="Calibri"/>
                <w:b w:val="0"/>
                <w:sz w:val="14"/>
              </w:rPr>
              <w:t>Finance</w:t>
            </w:r>
          </w:p>
        </w:tc>
      </w:tr>
      <w:tr>
        <w:tc>
          <w:tcPr>
            <w:tcW w:type="dxa" w:w="680"/>
            <w:shd w:val="clear" w:fill="F7F9FB"/>
          </w:tcPr>
          <w:p>
            <w:pPr>
              <w:spacing w:after="20" w:before="20" w:line="240" w:lineRule="auto"/>
              <w:jc w:val="center"/>
            </w:pPr>
            <w:r/>
            <w:r>
              <w:rPr>
                <w:rFonts w:ascii="Calibri" w:hAnsi="Calibri"/>
                <w:b w:val="0"/>
                <w:sz w:val="14"/>
              </w:rPr>
              <w:t>X-06</w:t>
            </w:r>
          </w:p>
        </w:tc>
        <w:tc>
          <w:tcPr>
            <w:tcW w:type="dxa" w:w="2494"/>
            <w:shd w:val="clear" w:fill="F7F9FB"/>
          </w:tcPr>
          <w:p>
            <w:pPr>
              <w:spacing w:after="20" w:before="20" w:line="240" w:lineRule="auto"/>
            </w:pPr>
            <w:r/>
            <w:r>
              <w:rPr>
                <w:rFonts w:ascii="Calibri" w:hAnsi="Calibri"/>
                <w:b w:val="0"/>
                <w:sz w:val="14"/>
              </w:rPr>
              <w:t>Which projects will finish with unspent budget?</w:t>
            </w:r>
          </w:p>
        </w:tc>
        <w:tc>
          <w:tcPr>
            <w:tcW w:type="dxa" w:w="2154"/>
            <w:shd w:val="clear" w:fill="F7F9FB"/>
          </w:tcPr>
          <w:p>
            <w:pPr>
              <w:spacing w:after="20" w:before="20" w:line="240" w:lineRule="auto"/>
            </w:pPr>
            <w:r/>
            <w:r>
              <w:rPr>
                <w:rFonts w:ascii="Calibri" w:hAnsi="Calibri"/>
                <w:b w:val="0"/>
                <w:sz w:val="14"/>
              </w:rPr>
              <w:t>Unspent budget at project end is a reporting and donor-relationship risk.</w:t>
            </w:r>
          </w:p>
        </w:tc>
        <w:tc>
          <w:tcPr>
            <w:tcW w:type="dxa" w:w="1587"/>
            <w:shd w:val="clear" w:fill="F7F9FB"/>
          </w:tcPr>
          <w:p>
            <w:pPr>
              <w:spacing w:after="20" w:before="20" w:line="240" w:lineRule="auto"/>
            </w:pPr>
            <w:r/>
            <w:r>
              <w:rPr>
                <w:rFonts w:ascii="Calibri" w:hAnsi="Calibri"/>
                <w:b w:val="0"/>
                <w:sz w:val="14"/>
              </w:rPr>
              <w:t>Budget, burn rate, months remaining, end date</w:t>
            </w:r>
          </w:p>
        </w:tc>
        <w:tc>
          <w:tcPr>
            <w:tcW w:type="dxa" w:w="1928"/>
            <w:shd w:val="clear" w:fill="F7F9FB"/>
          </w:tcPr>
          <w:p>
            <w:pPr>
              <w:spacing w:after="20" w:before="20" w:line="240" w:lineRule="auto"/>
            </w:pPr>
            <w:r/>
            <w:r>
              <w:rPr>
                <w:rFonts w:ascii="Calibri" w:hAnsi="Calibri"/>
                <w:b w:val="0"/>
                <w:sz w:val="14"/>
              </w:rPr>
              <w:t>Projected consumption at end date vs budget; rank by unspent value</w:t>
            </w:r>
          </w:p>
        </w:tc>
        <w:tc>
          <w:tcPr>
            <w:tcW w:type="dxa" w:w="907"/>
            <w:shd w:val="clear" w:fill="F7F9FB"/>
          </w:tcPr>
          <w:p>
            <w:pPr>
              <w:spacing w:after="20" w:before="20" w:line="240" w:lineRule="auto"/>
            </w:pPr>
            <w:r/>
            <w:r>
              <w:rPr>
                <w:rFonts w:ascii="Calibri" w:hAnsi="Calibri"/>
                <w:b w:val="0"/>
                <w:sz w:val="14"/>
              </w:rPr>
              <w:t>&gt; 20% unspent with &lt; 6 months left</w:t>
            </w:r>
          </w:p>
        </w:tc>
        <w:tc>
          <w:tcPr>
            <w:tcW w:type="dxa" w:w="850"/>
            <w:shd w:val="clear" w:fill="F7F9FB"/>
          </w:tcPr>
          <w:p>
            <w:pPr>
              <w:spacing w:after="20" w:before="20" w:line="240" w:lineRule="auto"/>
              <w:jc w:val="center"/>
            </w:pPr>
            <w:r/>
            <w:r>
              <w:rPr>
                <w:rFonts w:ascii="Calibri" w:hAnsi="Calibri"/>
                <w:b w:val="0"/>
                <w:sz w:val="14"/>
              </w:rPr>
              <w:t>Monthly</w:t>
            </w:r>
          </w:p>
        </w:tc>
        <w:tc>
          <w:tcPr>
            <w:tcW w:type="dxa" w:w="850"/>
            <w:shd w:val="clear" w:fill="F7F9FB"/>
          </w:tcPr>
          <w:p>
            <w:pPr>
              <w:spacing w:after="20" w:before="20" w:line="240" w:lineRule="auto"/>
              <w:jc w:val="center"/>
            </w:pPr>
            <w:r/>
            <w:r>
              <w:rPr>
                <w:rFonts w:ascii="Calibri" w:hAnsi="Calibri"/>
                <w:b w:val="0"/>
                <w:sz w:val="14"/>
              </w:rPr>
              <w:t>Finance + Programme</w:t>
            </w:r>
          </w:p>
        </w:tc>
      </w:tr>
      <w:tr>
        <w:tc>
          <w:tcPr>
            <w:tcW w:type="dxa" w:w="680"/>
          </w:tcPr>
          <w:p>
            <w:pPr>
              <w:spacing w:after="20" w:before="20" w:line="240" w:lineRule="auto"/>
              <w:jc w:val="center"/>
            </w:pPr>
            <w:r/>
            <w:r>
              <w:rPr>
                <w:rFonts w:ascii="Calibri" w:hAnsi="Calibri"/>
                <w:b w:val="0"/>
                <w:sz w:val="14"/>
              </w:rPr>
              <w:t>X-07</w:t>
            </w:r>
          </w:p>
        </w:tc>
        <w:tc>
          <w:tcPr>
            <w:tcW w:type="dxa" w:w="2494"/>
          </w:tcPr>
          <w:p>
            <w:pPr>
              <w:spacing w:after="20" w:before="20" w:line="240" w:lineRule="auto"/>
            </w:pPr>
            <w:r/>
            <w:r>
              <w:rPr>
                <w:rFonts w:ascii="Calibri" w:hAnsi="Calibri"/>
                <w:b w:val="0"/>
                <w:sz w:val="14"/>
              </w:rPr>
              <w:t>What is the expected consumption during the next seasonal peak?</w:t>
            </w:r>
          </w:p>
        </w:tc>
        <w:tc>
          <w:tcPr>
            <w:tcW w:type="dxa" w:w="2154"/>
          </w:tcPr>
          <w:p>
            <w:pPr>
              <w:spacing w:after="20" w:before="20" w:line="240" w:lineRule="auto"/>
            </w:pPr>
            <w:r/>
            <w:r>
              <w:rPr>
                <w:rFonts w:ascii="Calibri" w:hAnsi="Calibri"/>
                <w:b w:val="0"/>
                <w:sz w:val="14"/>
              </w:rPr>
              <w:t>Peak demand must be prepositioned, not procured during the surge.</w:t>
            </w:r>
          </w:p>
        </w:tc>
        <w:tc>
          <w:tcPr>
            <w:tcW w:type="dxa" w:w="1587"/>
          </w:tcPr>
          <w:p>
            <w:pPr>
              <w:spacing w:after="20" w:before="20" w:line="240" w:lineRule="auto"/>
            </w:pPr>
            <w:r/>
            <w:r>
              <w:rPr>
                <w:rFonts w:ascii="Calibri" w:hAnsi="Calibri"/>
                <w:b w:val="0"/>
                <w:sz w:val="14"/>
              </w:rPr>
              <w:t>Seasonality index, trend, lead times</w:t>
            </w:r>
          </w:p>
        </w:tc>
        <w:tc>
          <w:tcPr>
            <w:tcW w:type="dxa" w:w="1928"/>
          </w:tcPr>
          <w:p>
            <w:pPr>
              <w:spacing w:after="20" w:before="20" w:line="240" w:lineRule="auto"/>
            </w:pPr>
            <w:r/>
            <w:r>
              <w:rPr>
                <w:rFonts w:ascii="Calibri" w:hAnsi="Calibri"/>
                <w:b w:val="0"/>
                <w:sz w:val="14"/>
              </w:rPr>
              <w:t>Apply seasonal index to the current run rate for the peak months; add lead-time buffer</w:t>
            </w:r>
          </w:p>
        </w:tc>
        <w:tc>
          <w:tcPr>
            <w:tcW w:type="dxa" w:w="907"/>
          </w:tcPr>
          <w:p>
            <w:pPr>
              <w:spacing w:after="20" w:before="20" w:line="240" w:lineRule="auto"/>
            </w:pPr>
            <w:r/>
            <w:r>
              <w:rPr>
                <w:rFonts w:ascii="Calibri" w:hAnsi="Calibri"/>
                <w:b w:val="0"/>
                <w:sz w:val="14"/>
              </w:rPr>
              <w:t>Peak index &gt; 1.10</w:t>
            </w:r>
          </w:p>
        </w:tc>
        <w:tc>
          <w:tcPr>
            <w:tcW w:type="dxa" w:w="850"/>
          </w:tcPr>
          <w:p>
            <w:pPr>
              <w:spacing w:after="20" w:before="20" w:line="240" w:lineRule="auto"/>
              <w:jc w:val="center"/>
            </w:pPr>
            <w:r/>
            <w:r>
              <w:rPr>
                <w:rFonts w:ascii="Calibri" w:hAnsi="Calibri"/>
                <w:b w:val="0"/>
                <w:sz w:val="14"/>
              </w:rPr>
              <w:t>Quarterly</w:t>
            </w:r>
          </w:p>
        </w:tc>
        <w:tc>
          <w:tcPr>
            <w:tcW w:type="dxa" w:w="850"/>
          </w:tcPr>
          <w:p>
            <w:pPr>
              <w:spacing w:after="20" w:before="20" w:line="240" w:lineRule="auto"/>
              <w:jc w:val="center"/>
            </w:pPr>
            <w:r/>
            <w:r>
              <w:rPr>
                <w:rFonts w:ascii="Calibri" w:hAnsi="Calibri"/>
                <w:b w:val="0"/>
                <w:sz w:val="14"/>
              </w:rPr>
              <w:t>Supply chain</w:t>
            </w:r>
          </w:p>
        </w:tc>
      </w:tr>
      <w:tr>
        <w:tc>
          <w:tcPr>
            <w:tcW w:type="dxa" w:w="680"/>
            <w:shd w:val="clear" w:fill="F7F9FB"/>
          </w:tcPr>
          <w:p>
            <w:pPr>
              <w:spacing w:after="20" w:before="20" w:line="240" w:lineRule="auto"/>
              <w:jc w:val="center"/>
            </w:pPr>
            <w:r/>
            <w:r>
              <w:rPr>
                <w:rFonts w:ascii="Calibri" w:hAnsi="Calibri"/>
                <w:b w:val="0"/>
                <w:sz w:val="14"/>
              </w:rPr>
              <w:t>X-08</w:t>
            </w:r>
          </w:p>
        </w:tc>
        <w:tc>
          <w:tcPr>
            <w:tcW w:type="dxa" w:w="2494"/>
            <w:shd w:val="clear" w:fill="F7F9FB"/>
          </w:tcPr>
          <w:p>
            <w:pPr>
              <w:spacing w:after="20" w:before="20" w:line="240" w:lineRule="auto"/>
            </w:pPr>
            <w:r/>
            <w:r>
              <w:rPr>
                <w:rFonts w:ascii="Calibri" w:hAnsi="Calibri"/>
                <w:b w:val="0"/>
                <w:sz w:val="14"/>
              </w:rPr>
              <w:t>What will the consumption-to-investment ratio be by year end if current ordering continues?</w:t>
            </w:r>
          </w:p>
        </w:tc>
        <w:tc>
          <w:tcPr>
            <w:tcW w:type="dxa" w:w="2154"/>
            <w:shd w:val="clear" w:fill="F7F9FB"/>
          </w:tcPr>
          <w:p>
            <w:pPr>
              <w:spacing w:after="20" w:before="20" w:line="240" w:lineRule="auto"/>
            </w:pPr>
            <w:r/>
            <w:r>
              <w:rPr>
                <w:rFonts w:ascii="Calibri" w:hAnsi="Calibri"/>
                <w:b w:val="0"/>
                <w:sz w:val="14"/>
              </w:rPr>
              <w:t>Projects the stock position and the cash implication of current behaviour.</w:t>
            </w:r>
          </w:p>
        </w:tc>
        <w:tc>
          <w:tcPr>
            <w:tcW w:type="dxa" w:w="1587"/>
            <w:shd w:val="clear" w:fill="F7F9FB"/>
          </w:tcPr>
          <w:p>
            <w:pPr>
              <w:spacing w:after="20" w:before="20" w:line="240" w:lineRule="auto"/>
            </w:pPr>
            <w:r/>
            <w:r>
              <w:rPr>
                <w:rFonts w:ascii="Calibri" w:hAnsi="Calibri"/>
                <w:b w:val="0"/>
                <w:sz w:val="14"/>
              </w:rPr>
              <w:t>PO pipeline, consumption rate, open commitments</w:t>
            </w:r>
          </w:p>
        </w:tc>
        <w:tc>
          <w:tcPr>
            <w:tcW w:type="dxa" w:w="1928"/>
            <w:shd w:val="clear" w:fill="F7F9FB"/>
          </w:tcPr>
          <w:p>
            <w:pPr>
              <w:spacing w:after="20" w:before="20" w:line="240" w:lineRule="auto"/>
            </w:pPr>
            <w:r/>
            <w:r>
              <w:rPr>
                <w:rFonts w:ascii="Calibri" w:hAnsi="Calibri"/>
                <w:b w:val="0"/>
                <w:sz w:val="14"/>
              </w:rPr>
              <w:t>Projected consumption and projected receipts to year end</w:t>
            </w:r>
          </w:p>
        </w:tc>
        <w:tc>
          <w:tcPr>
            <w:tcW w:type="dxa" w:w="907"/>
            <w:shd w:val="clear" w:fill="F7F9FB"/>
          </w:tcPr>
          <w:p>
            <w:pPr>
              <w:spacing w:after="20" w:before="20" w:line="240" w:lineRule="auto"/>
            </w:pPr>
            <w:r/>
            <w:r>
              <w:rPr>
                <w:rFonts w:ascii="Calibri" w:hAnsi="Calibri"/>
                <w:b w:val="0"/>
                <w:sz w:val="14"/>
              </w:rPr>
              <w:t>P-02 band</w:t>
            </w:r>
          </w:p>
        </w:tc>
        <w:tc>
          <w:tcPr>
            <w:tcW w:type="dxa" w:w="850"/>
            <w:shd w:val="clear" w:fill="F7F9FB"/>
          </w:tcPr>
          <w:p>
            <w:pPr>
              <w:spacing w:after="20" w:before="20" w:line="240" w:lineRule="auto"/>
              <w:jc w:val="center"/>
            </w:pPr>
            <w:r/>
            <w:r>
              <w:rPr>
                <w:rFonts w:ascii="Calibri" w:hAnsi="Calibri"/>
                <w:b w:val="0"/>
                <w:sz w:val="14"/>
              </w:rPr>
              <w:t>Monthly</w:t>
            </w:r>
          </w:p>
        </w:tc>
        <w:tc>
          <w:tcPr>
            <w:tcW w:type="dxa" w:w="850"/>
            <w:shd w:val="clear" w:fill="F7F9FB"/>
          </w:tcPr>
          <w:p>
            <w:pPr>
              <w:spacing w:after="20" w:before="20" w:line="240" w:lineRule="auto"/>
              <w:jc w:val="center"/>
            </w:pPr>
            <w:r/>
            <w:r>
              <w:rPr>
                <w:rFonts w:ascii="Calibri" w:hAnsi="Calibri"/>
                <w:b w:val="0"/>
                <w:sz w:val="14"/>
              </w:rPr>
              <w:t>Procurement</w:t>
            </w:r>
          </w:p>
        </w:tc>
      </w:tr>
      <w:tr>
        <w:tc>
          <w:tcPr>
            <w:tcW w:type="dxa" w:w="680"/>
          </w:tcPr>
          <w:p>
            <w:pPr>
              <w:spacing w:after="20" w:before="20" w:line="240" w:lineRule="auto"/>
              <w:jc w:val="center"/>
            </w:pPr>
            <w:r/>
            <w:r>
              <w:rPr>
                <w:rFonts w:ascii="Calibri" w:hAnsi="Calibri"/>
                <w:b w:val="0"/>
                <w:sz w:val="14"/>
              </w:rPr>
              <w:t>X-09</w:t>
            </w:r>
          </w:p>
        </w:tc>
        <w:tc>
          <w:tcPr>
            <w:tcW w:type="dxa" w:w="2494"/>
          </w:tcPr>
          <w:p>
            <w:pPr>
              <w:spacing w:after="20" w:before="20" w:line="240" w:lineRule="auto"/>
            </w:pPr>
            <w:r/>
            <w:r>
              <w:rPr>
                <w:rFonts w:ascii="Calibri" w:hAnsi="Calibri"/>
                <w:b w:val="0"/>
                <w:sz w:val="14"/>
              </w:rPr>
              <w:t>Which projects are most likely to miss their service targets because of stock-outs?</w:t>
            </w:r>
          </w:p>
        </w:tc>
        <w:tc>
          <w:tcPr>
            <w:tcW w:type="dxa" w:w="2154"/>
          </w:tcPr>
          <w:p>
            <w:pPr>
              <w:spacing w:after="20" w:before="20" w:line="240" w:lineRule="auto"/>
            </w:pPr>
            <w:r/>
            <w:r>
              <w:rPr>
                <w:rFonts w:ascii="Calibri" w:hAnsi="Calibri"/>
                <w:b w:val="0"/>
                <w:sz w:val="14"/>
              </w:rPr>
              <w:t>Links supply risk to programme risk.</w:t>
            </w:r>
          </w:p>
        </w:tc>
        <w:tc>
          <w:tcPr>
            <w:tcW w:type="dxa" w:w="1587"/>
          </w:tcPr>
          <w:p>
            <w:pPr>
              <w:spacing w:after="20" w:before="20" w:line="240" w:lineRule="auto"/>
            </w:pPr>
            <w:r/>
            <w:r>
              <w:rPr>
                <w:rFonts w:ascii="Calibri" w:hAnsi="Calibri"/>
                <w:b w:val="0"/>
                <w:sz w:val="14"/>
              </w:rPr>
              <w:t>Cover, stock-outs, service volumes</w:t>
            </w:r>
          </w:p>
        </w:tc>
        <w:tc>
          <w:tcPr>
            <w:tcW w:type="dxa" w:w="1928"/>
          </w:tcPr>
          <w:p>
            <w:pPr>
              <w:spacing w:after="20" w:before="20" w:line="240" w:lineRule="auto"/>
            </w:pPr>
            <w:r/>
            <w:r>
              <w:rPr>
                <w:rFonts w:ascii="Calibri" w:hAnsi="Calibri"/>
                <w:b w:val="0"/>
                <w:sz w:val="14"/>
              </w:rPr>
              <w:t>Combine projected stock-out dates with critical-item lists and service volumes</w:t>
            </w:r>
          </w:p>
        </w:tc>
        <w:tc>
          <w:tcPr>
            <w:tcW w:type="dxa" w:w="907"/>
          </w:tcPr>
          <w:p>
            <w:pPr>
              <w:spacing w:after="20" w:before="20" w:line="240" w:lineRule="auto"/>
            </w:pPr>
            <w:r/>
            <w:r>
              <w:rPr>
                <w:rFonts w:ascii="Calibri" w:hAnsi="Calibri"/>
                <w:b w:val="0"/>
                <w:sz w:val="14"/>
              </w:rPr>
              <w:t>Any critical item gap</w:t>
            </w:r>
          </w:p>
        </w:tc>
        <w:tc>
          <w:tcPr>
            <w:tcW w:type="dxa" w:w="850"/>
          </w:tcPr>
          <w:p>
            <w:pPr>
              <w:spacing w:after="20" w:before="20" w:line="240" w:lineRule="auto"/>
              <w:jc w:val="center"/>
            </w:pPr>
            <w:r/>
            <w:r>
              <w:rPr>
                <w:rFonts w:ascii="Calibri" w:hAnsi="Calibri"/>
                <w:b w:val="0"/>
                <w:sz w:val="14"/>
              </w:rPr>
              <w:t>Monthly</w:t>
            </w:r>
          </w:p>
        </w:tc>
        <w:tc>
          <w:tcPr>
            <w:tcW w:type="dxa" w:w="850"/>
          </w:tcPr>
          <w:p>
            <w:pPr>
              <w:spacing w:after="20" w:before="20" w:line="240" w:lineRule="auto"/>
              <w:jc w:val="center"/>
            </w:pPr>
            <w:r/>
            <w:r>
              <w:rPr>
                <w:rFonts w:ascii="Calibri" w:hAnsi="Calibri"/>
                <w:b w:val="0"/>
                <w:sz w:val="14"/>
              </w:rPr>
              <w:t>Programme</w:t>
            </w:r>
          </w:p>
        </w:tc>
      </w:tr>
      <w:tr>
        <w:tc>
          <w:tcPr>
            <w:tcW w:type="dxa" w:w="680"/>
            <w:shd w:val="clear" w:fill="F7F9FB"/>
          </w:tcPr>
          <w:p>
            <w:pPr>
              <w:spacing w:after="20" w:before="20" w:line="240" w:lineRule="auto"/>
              <w:jc w:val="center"/>
            </w:pPr>
            <w:r/>
            <w:r>
              <w:rPr>
                <w:rFonts w:ascii="Calibri" w:hAnsi="Calibri"/>
                <w:b w:val="0"/>
                <w:sz w:val="14"/>
              </w:rPr>
              <w:t>X-10</w:t>
            </w:r>
          </w:p>
        </w:tc>
        <w:tc>
          <w:tcPr>
            <w:tcW w:type="dxa" w:w="2494"/>
            <w:shd w:val="clear" w:fill="F7F9FB"/>
          </w:tcPr>
          <w:p>
            <w:pPr>
              <w:spacing w:after="20" w:before="20" w:line="240" w:lineRule="auto"/>
            </w:pPr>
            <w:r/>
            <w:r>
              <w:rPr>
                <w:rFonts w:ascii="Calibri" w:hAnsi="Calibri"/>
                <w:b w:val="0"/>
                <w:sz w:val="14"/>
              </w:rPr>
              <w:t>Which items are at risk of price increase in the next purchase cycle, and what is the budget impact?</w:t>
            </w:r>
          </w:p>
        </w:tc>
        <w:tc>
          <w:tcPr>
            <w:tcW w:type="dxa" w:w="2154"/>
            <w:shd w:val="clear" w:fill="F7F9FB"/>
          </w:tcPr>
          <w:p>
            <w:pPr>
              <w:spacing w:after="20" w:before="20" w:line="240" w:lineRule="auto"/>
            </w:pPr>
            <w:r/>
            <w:r>
              <w:rPr>
                <w:rFonts w:ascii="Calibri" w:hAnsi="Calibri"/>
                <w:b w:val="0"/>
                <w:sz w:val="14"/>
              </w:rPr>
              <w:t>Allows negotiation or pre-buying before the increase lands.</w:t>
            </w:r>
          </w:p>
        </w:tc>
        <w:tc>
          <w:tcPr>
            <w:tcW w:type="dxa" w:w="1587"/>
            <w:shd w:val="clear" w:fill="F7F9FB"/>
          </w:tcPr>
          <w:p>
            <w:pPr>
              <w:spacing w:after="20" w:before="20" w:line="240" w:lineRule="auto"/>
            </w:pPr>
            <w:r/>
            <w:r>
              <w:rPr>
                <w:rFonts w:ascii="Calibri" w:hAnsi="Calibri"/>
                <w:b w:val="0"/>
                <w:sz w:val="14"/>
              </w:rPr>
              <w:t>Price trend, inflation, supplier quotes</w:t>
            </w:r>
          </w:p>
        </w:tc>
        <w:tc>
          <w:tcPr>
            <w:tcW w:type="dxa" w:w="1928"/>
            <w:shd w:val="clear" w:fill="F7F9FB"/>
          </w:tcPr>
          <w:p>
            <w:pPr>
              <w:spacing w:after="20" w:before="20" w:line="240" w:lineRule="auto"/>
            </w:pPr>
            <w:r/>
            <w:r>
              <w:rPr>
                <w:rFonts w:ascii="Calibri" w:hAnsi="Calibri"/>
                <w:b w:val="0"/>
                <w:sz w:val="14"/>
              </w:rPr>
              <w:t>Extrapolate price trend; quantify impact at planned quantity</w:t>
            </w:r>
          </w:p>
        </w:tc>
        <w:tc>
          <w:tcPr>
            <w:tcW w:type="dxa" w:w="907"/>
            <w:shd w:val="clear" w:fill="F7F9FB"/>
          </w:tcPr>
          <w:p>
            <w:pPr>
              <w:spacing w:after="20" w:before="20" w:line="240" w:lineRule="auto"/>
            </w:pPr>
            <w:r/>
            <w:r>
              <w:rPr>
                <w:rFonts w:ascii="Calibri" w:hAnsi="Calibri"/>
                <w:b w:val="0"/>
                <w:sz w:val="14"/>
              </w:rPr>
              <w:t>P-09</w:t>
            </w:r>
          </w:p>
        </w:tc>
        <w:tc>
          <w:tcPr>
            <w:tcW w:type="dxa" w:w="850"/>
            <w:shd w:val="clear" w:fill="F7F9FB"/>
          </w:tcPr>
          <w:p>
            <w:pPr>
              <w:spacing w:after="20" w:before="20" w:line="240" w:lineRule="auto"/>
              <w:jc w:val="center"/>
            </w:pPr>
            <w:r/>
            <w:r>
              <w:rPr>
                <w:rFonts w:ascii="Calibri" w:hAnsi="Calibri"/>
                <w:b w:val="0"/>
                <w:sz w:val="14"/>
              </w:rPr>
              <w:t>Quarterly</w:t>
            </w:r>
          </w:p>
        </w:tc>
        <w:tc>
          <w:tcPr>
            <w:tcW w:type="dxa" w:w="850"/>
            <w:shd w:val="clear" w:fill="F7F9FB"/>
          </w:tcPr>
          <w:p>
            <w:pPr>
              <w:spacing w:after="20" w:before="20" w:line="240" w:lineRule="auto"/>
              <w:jc w:val="center"/>
            </w:pPr>
            <w:r/>
            <w:r>
              <w:rPr>
                <w:rFonts w:ascii="Calibri" w:hAnsi="Calibri"/>
                <w:b w:val="0"/>
                <w:sz w:val="14"/>
              </w:rPr>
              <w:t>Procurement</w:t>
            </w:r>
          </w:p>
        </w:tc>
      </w:tr>
      <w:tr>
        <w:tc>
          <w:tcPr>
            <w:tcW w:type="dxa" w:w="680"/>
          </w:tcPr>
          <w:p>
            <w:pPr>
              <w:spacing w:after="20" w:before="20" w:line="240" w:lineRule="auto"/>
              <w:jc w:val="center"/>
            </w:pPr>
            <w:r/>
            <w:r>
              <w:rPr>
                <w:rFonts w:ascii="Calibri" w:hAnsi="Calibri"/>
                <w:b w:val="0"/>
                <w:sz w:val="14"/>
              </w:rPr>
              <w:t>X-11</w:t>
            </w:r>
          </w:p>
        </w:tc>
        <w:tc>
          <w:tcPr>
            <w:tcW w:type="dxa" w:w="2494"/>
          </w:tcPr>
          <w:p>
            <w:pPr>
              <w:spacing w:after="20" w:before="20" w:line="240" w:lineRule="auto"/>
            </w:pPr>
            <w:r/>
            <w:r>
              <w:rPr>
                <w:rFonts w:ascii="Calibri" w:hAnsi="Calibri"/>
                <w:b w:val="0"/>
                <w:sz w:val="14"/>
              </w:rPr>
              <w:t>What is the expected write-off value at the end of the current financial year?</w:t>
            </w:r>
          </w:p>
        </w:tc>
        <w:tc>
          <w:tcPr>
            <w:tcW w:type="dxa" w:w="2154"/>
          </w:tcPr>
          <w:p>
            <w:pPr>
              <w:spacing w:after="20" w:before="20" w:line="240" w:lineRule="auto"/>
            </w:pPr>
            <w:r/>
            <w:r>
              <w:rPr>
                <w:rFonts w:ascii="Calibri" w:hAnsi="Calibri"/>
                <w:b w:val="0"/>
                <w:sz w:val="14"/>
              </w:rPr>
              <w:t>Converts expiry risk into the number finance needs for provisioning.</w:t>
            </w:r>
          </w:p>
        </w:tc>
        <w:tc>
          <w:tcPr>
            <w:tcW w:type="dxa" w:w="1587"/>
          </w:tcPr>
          <w:p>
            <w:pPr>
              <w:spacing w:after="20" w:before="20" w:line="240" w:lineRule="auto"/>
            </w:pPr>
            <w:r/>
            <w:r>
              <w:rPr>
                <w:rFonts w:ascii="Calibri" w:hAnsi="Calibri"/>
                <w:b w:val="0"/>
                <w:sz w:val="14"/>
              </w:rPr>
              <w:t>Expiry buckets, consumption rate, slow-moving stock</w:t>
            </w:r>
          </w:p>
        </w:tc>
        <w:tc>
          <w:tcPr>
            <w:tcW w:type="dxa" w:w="1928"/>
          </w:tcPr>
          <w:p>
            <w:pPr>
              <w:spacing w:after="20" w:before="20" w:line="240" w:lineRule="auto"/>
            </w:pPr>
            <w:r/>
            <w:r>
              <w:rPr>
                <w:rFonts w:ascii="Calibri" w:hAnsi="Calibri"/>
                <w:b w:val="0"/>
                <w:sz w:val="14"/>
              </w:rPr>
              <w:t>Sum of batches whose days to expiry is less than their days of cover</w:t>
            </w:r>
          </w:p>
        </w:tc>
        <w:tc>
          <w:tcPr>
            <w:tcW w:type="dxa" w:w="907"/>
          </w:tcPr>
          <w:p>
            <w:pPr>
              <w:spacing w:after="20" w:before="20" w:line="240" w:lineRule="auto"/>
            </w:pPr>
            <w:r/>
            <w:r>
              <w:rPr>
                <w:rFonts w:ascii="Calibri" w:hAnsi="Calibri"/>
                <w:b w:val="0"/>
                <w:sz w:val="14"/>
              </w:rPr>
              <w:t>Any value</w:t>
            </w:r>
          </w:p>
        </w:tc>
        <w:tc>
          <w:tcPr>
            <w:tcW w:type="dxa" w:w="850"/>
          </w:tcPr>
          <w:p>
            <w:pPr>
              <w:spacing w:after="20" w:before="20" w:line="240" w:lineRule="auto"/>
              <w:jc w:val="center"/>
            </w:pPr>
            <w:r/>
            <w:r>
              <w:rPr>
                <w:rFonts w:ascii="Calibri" w:hAnsi="Calibri"/>
                <w:b w:val="0"/>
                <w:sz w:val="14"/>
              </w:rPr>
              <w:t>Quarterly</w:t>
            </w:r>
          </w:p>
        </w:tc>
        <w:tc>
          <w:tcPr>
            <w:tcW w:type="dxa" w:w="850"/>
          </w:tcPr>
          <w:p>
            <w:pPr>
              <w:spacing w:after="20" w:before="20" w:line="240" w:lineRule="auto"/>
              <w:jc w:val="center"/>
            </w:pPr>
            <w:r/>
            <w:r>
              <w:rPr>
                <w:rFonts w:ascii="Calibri" w:hAnsi="Calibri"/>
                <w:b w:val="0"/>
                <w:sz w:val="14"/>
              </w:rPr>
              <w:t>Finance</w:t>
            </w:r>
          </w:p>
        </w:tc>
      </w:tr>
      <w:tr>
        <w:tc>
          <w:tcPr>
            <w:tcW w:type="dxa" w:w="680"/>
            <w:shd w:val="clear" w:fill="F7F9FB"/>
          </w:tcPr>
          <w:p>
            <w:pPr>
              <w:spacing w:after="20" w:before="20" w:line="240" w:lineRule="auto"/>
              <w:jc w:val="center"/>
            </w:pPr>
            <w:r/>
            <w:r>
              <w:rPr>
                <w:rFonts w:ascii="Calibri" w:hAnsi="Calibri"/>
                <w:b w:val="0"/>
                <w:sz w:val="14"/>
              </w:rPr>
              <w:t>X-12</w:t>
            </w:r>
          </w:p>
        </w:tc>
        <w:tc>
          <w:tcPr>
            <w:tcW w:type="dxa" w:w="2494"/>
            <w:shd w:val="clear" w:fill="F7F9FB"/>
          </w:tcPr>
          <w:p>
            <w:pPr>
              <w:spacing w:after="20" w:before="20" w:line="240" w:lineRule="auto"/>
            </w:pPr>
            <w:r/>
            <w:r>
              <w:rPr>
                <w:rFonts w:ascii="Calibri" w:hAnsi="Calibri"/>
                <w:b w:val="0"/>
                <w:sz w:val="14"/>
              </w:rPr>
              <w:t>What is the likely open commitment at the next month end?</w:t>
            </w:r>
          </w:p>
        </w:tc>
        <w:tc>
          <w:tcPr>
            <w:tcW w:type="dxa" w:w="2154"/>
            <w:shd w:val="clear" w:fill="F7F9FB"/>
          </w:tcPr>
          <w:p>
            <w:pPr>
              <w:spacing w:after="20" w:before="20" w:line="240" w:lineRule="auto"/>
            </w:pPr>
            <w:r/>
            <w:r>
              <w:rPr>
                <w:rFonts w:ascii="Calibri" w:hAnsi="Calibri"/>
                <w:b w:val="0"/>
                <w:sz w:val="14"/>
              </w:rPr>
              <w:t>Helps cash planning and avoids surprise liabilities.</w:t>
            </w:r>
          </w:p>
        </w:tc>
        <w:tc>
          <w:tcPr>
            <w:tcW w:type="dxa" w:w="1587"/>
            <w:shd w:val="clear" w:fill="F7F9FB"/>
          </w:tcPr>
          <w:p>
            <w:pPr>
              <w:spacing w:after="20" w:before="20" w:line="240" w:lineRule="auto"/>
            </w:pPr>
            <w:r/>
            <w:r>
              <w:rPr>
                <w:rFonts w:ascii="Calibri" w:hAnsi="Calibri"/>
                <w:b w:val="0"/>
                <w:sz w:val="14"/>
              </w:rPr>
              <w:t>Open POs, lead times, receipt performance</w:t>
            </w:r>
          </w:p>
        </w:tc>
        <w:tc>
          <w:tcPr>
            <w:tcW w:type="dxa" w:w="1928"/>
            <w:shd w:val="clear" w:fill="F7F9FB"/>
          </w:tcPr>
          <w:p>
            <w:pPr>
              <w:spacing w:after="20" w:before="20" w:line="240" w:lineRule="auto"/>
            </w:pPr>
            <w:r/>
            <w:r>
              <w:rPr>
                <w:rFonts w:ascii="Calibri" w:hAnsi="Calibri"/>
                <w:b w:val="0"/>
                <w:sz w:val="14"/>
              </w:rPr>
              <w:t>Open commitments + POs expected to be raised − expected receipts</w:t>
            </w:r>
          </w:p>
        </w:tc>
        <w:tc>
          <w:tcPr>
            <w:tcW w:type="dxa" w:w="907"/>
            <w:shd w:val="clear" w:fill="F7F9FB"/>
          </w:tcPr>
          <w:p>
            <w:pPr>
              <w:spacing w:after="20" w:before="20" w:line="240" w:lineRule="auto"/>
            </w:pPr>
            <w:r/>
            <w:r>
              <w:rPr>
                <w:rFonts w:ascii="Calibri" w:hAnsi="Calibri"/>
                <w:b w:val="0"/>
                <w:sz w:val="14"/>
              </w:rPr>
              <w:t>Recompute each refresh</w:t>
            </w:r>
          </w:p>
        </w:tc>
        <w:tc>
          <w:tcPr>
            <w:tcW w:type="dxa" w:w="850"/>
            <w:shd w:val="clear" w:fill="F7F9FB"/>
          </w:tcPr>
          <w:p>
            <w:pPr>
              <w:spacing w:after="20" w:before="20" w:line="240" w:lineRule="auto"/>
              <w:jc w:val="center"/>
            </w:pPr>
            <w:r/>
            <w:r>
              <w:rPr>
                <w:rFonts w:ascii="Calibri" w:hAnsi="Calibri"/>
                <w:b w:val="0"/>
                <w:sz w:val="14"/>
              </w:rPr>
              <w:t>Monthly</w:t>
            </w:r>
          </w:p>
        </w:tc>
        <w:tc>
          <w:tcPr>
            <w:tcW w:type="dxa" w:w="850"/>
            <w:shd w:val="clear" w:fill="F7F9FB"/>
          </w:tcPr>
          <w:p>
            <w:pPr>
              <w:spacing w:after="20" w:before="20" w:line="240" w:lineRule="auto"/>
              <w:jc w:val="center"/>
            </w:pPr>
            <w:r/>
            <w:r>
              <w:rPr>
                <w:rFonts w:ascii="Calibri" w:hAnsi="Calibri"/>
                <w:b w:val="0"/>
                <w:sz w:val="14"/>
              </w:rPr>
              <w:t>Finance</w:t>
            </w:r>
          </w:p>
        </w:tc>
      </w:tr>
      <w:tr>
        <w:tc>
          <w:tcPr>
            <w:tcW w:type="dxa" w:w="680"/>
          </w:tcPr>
          <w:p>
            <w:pPr>
              <w:spacing w:after="20" w:before="20" w:line="240" w:lineRule="auto"/>
              <w:jc w:val="center"/>
            </w:pPr>
            <w:r/>
            <w:r>
              <w:rPr>
                <w:rFonts w:ascii="Calibri" w:hAnsi="Calibri"/>
                <w:b w:val="0"/>
                <w:sz w:val="14"/>
              </w:rPr>
              <w:t>X-13</w:t>
            </w:r>
          </w:p>
        </w:tc>
        <w:tc>
          <w:tcPr>
            <w:tcW w:type="dxa" w:w="2494"/>
          </w:tcPr>
          <w:p>
            <w:pPr>
              <w:spacing w:after="20" w:before="20" w:line="240" w:lineRule="auto"/>
            </w:pPr>
            <w:r/>
            <w:r>
              <w:rPr>
                <w:rFonts w:ascii="Calibri" w:hAnsi="Calibri"/>
                <w:b w:val="0"/>
                <w:sz w:val="14"/>
              </w:rPr>
              <w:t>Which suppliers are likely to deliver late, based on past performance?</w:t>
            </w:r>
          </w:p>
        </w:tc>
        <w:tc>
          <w:tcPr>
            <w:tcW w:type="dxa" w:w="2154"/>
          </w:tcPr>
          <w:p>
            <w:pPr>
              <w:spacing w:after="20" w:before="20" w:line="240" w:lineRule="auto"/>
            </w:pPr>
            <w:r/>
            <w:r>
              <w:rPr>
                <w:rFonts w:ascii="Calibri" w:hAnsi="Calibri"/>
                <w:b w:val="0"/>
                <w:sz w:val="14"/>
              </w:rPr>
              <w:t>Allows buffer stock or alternative sourcing to be planned.</w:t>
            </w:r>
          </w:p>
        </w:tc>
        <w:tc>
          <w:tcPr>
            <w:tcW w:type="dxa" w:w="1587"/>
          </w:tcPr>
          <w:p>
            <w:pPr>
              <w:spacing w:after="20" w:before="20" w:line="240" w:lineRule="auto"/>
            </w:pPr>
            <w:r/>
            <w:r>
              <w:rPr>
                <w:rFonts w:ascii="Calibri" w:hAnsi="Calibri"/>
                <w:b w:val="0"/>
                <w:sz w:val="14"/>
              </w:rPr>
              <w:t>Supplier lead-time history, fulfilment rate</w:t>
            </w:r>
          </w:p>
        </w:tc>
        <w:tc>
          <w:tcPr>
            <w:tcW w:type="dxa" w:w="1928"/>
          </w:tcPr>
          <w:p>
            <w:pPr>
              <w:spacing w:after="20" w:before="20" w:line="240" w:lineRule="auto"/>
            </w:pPr>
            <w:r/>
            <w:r>
              <w:rPr>
                <w:rFonts w:ascii="Calibri" w:hAnsi="Calibri"/>
                <w:b w:val="0"/>
                <w:sz w:val="14"/>
              </w:rPr>
              <w:t>Rank suppliers by average lateness and variability</w:t>
            </w:r>
          </w:p>
        </w:tc>
        <w:tc>
          <w:tcPr>
            <w:tcW w:type="dxa" w:w="907"/>
          </w:tcPr>
          <w:p>
            <w:pPr>
              <w:spacing w:after="20" w:before="20" w:line="240" w:lineRule="auto"/>
            </w:pPr>
            <w:r/>
            <w:r>
              <w:rPr>
                <w:rFonts w:ascii="Calibri" w:hAnsi="Calibri"/>
                <w:b w:val="0"/>
                <w:sz w:val="14"/>
              </w:rPr>
              <w:t>Actual &gt; agreed + 20%</w:t>
            </w:r>
          </w:p>
        </w:tc>
        <w:tc>
          <w:tcPr>
            <w:tcW w:type="dxa" w:w="850"/>
          </w:tcPr>
          <w:p>
            <w:pPr>
              <w:spacing w:after="20" w:before="20" w:line="240" w:lineRule="auto"/>
              <w:jc w:val="center"/>
            </w:pPr>
            <w:r/>
            <w:r>
              <w:rPr>
                <w:rFonts w:ascii="Calibri" w:hAnsi="Calibri"/>
                <w:b w:val="0"/>
                <w:sz w:val="14"/>
              </w:rPr>
              <w:t>Quarterly</w:t>
            </w:r>
          </w:p>
        </w:tc>
        <w:tc>
          <w:tcPr>
            <w:tcW w:type="dxa" w:w="850"/>
          </w:tcPr>
          <w:p>
            <w:pPr>
              <w:spacing w:after="20" w:before="20" w:line="240" w:lineRule="auto"/>
              <w:jc w:val="center"/>
            </w:pPr>
            <w:r/>
            <w:r>
              <w:rPr>
                <w:rFonts w:ascii="Calibri" w:hAnsi="Calibri"/>
                <w:b w:val="0"/>
                <w:sz w:val="14"/>
              </w:rPr>
              <w:t>Procurement</w:t>
            </w:r>
          </w:p>
        </w:tc>
      </w:tr>
      <w:tr>
        <w:tc>
          <w:tcPr>
            <w:tcW w:type="dxa" w:w="680"/>
            <w:shd w:val="clear" w:fill="F7F9FB"/>
          </w:tcPr>
          <w:p>
            <w:pPr>
              <w:spacing w:after="20" w:before="20" w:line="240" w:lineRule="auto"/>
              <w:jc w:val="center"/>
            </w:pPr>
            <w:r/>
            <w:r>
              <w:rPr>
                <w:rFonts w:ascii="Calibri" w:hAnsi="Calibri"/>
                <w:b w:val="0"/>
                <w:sz w:val="14"/>
              </w:rPr>
              <w:t>X-14</w:t>
            </w:r>
          </w:p>
        </w:tc>
        <w:tc>
          <w:tcPr>
            <w:tcW w:type="dxa" w:w="2494"/>
            <w:shd w:val="clear" w:fill="F7F9FB"/>
          </w:tcPr>
          <w:p>
            <w:pPr>
              <w:spacing w:after="20" w:before="20" w:line="240" w:lineRule="auto"/>
            </w:pPr>
            <w:r/>
            <w:r>
              <w:rPr>
                <w:rFonts w:ascii="Calibri" w:hAnsi="Calibri"/>
                <w:b w:val="0"/>
                <w:sz w:val="14"/>
              </w:rPr>
              <w:t>What will cost per beneficiary be next quarter if consumption and service volumes follow trend?</w:t>
            </w:r>
          </w:p>
        </w:tc>
        <w:tc>
          <w:tcPr>
            <w:tcW w:type="dxa" w:w="2154"/>
            <w:shd w:val="clear" w:fill="F7F9FB"/>
          </w:tcPr>
          <w:p>
            <w:pPr>
              <w:spacing w:after="20" w:before="20" w:line="240" w:lineRule="auto"/>
            </w:pPr>
            <w:r/>
            <w:r>
              <w:rPr>
                <w:rFonts w:ascii="Calibri" w:hAnsi="Calibri"/>
                <w:b w:val="0"/>
                <w:sz w:val="14"/>
              </w:rPr>
              <w:t>Gives donors a forward value-for-money figure.</w:t>
            </w:r>
          </w:p>
        </w:tc>
        <w:tc>
          <w:tcPr>
            <w:tcW w:type="dxa" w:w="1587"/>
            <w:shd w:val="clear" w:fill="F7F9FB"/>
          </w:tcPr>
          <w:p>
            <w:pPr>
              <w:spacing w:after="20" w:before="20" w:line="240" w:lineRule="auto"/>
            </w:pPr>
            <w:r/>
            <w:r>
              <w:rPr>
                <w:rFonts w:ascii="Calibri" w:hAnsi="Calibri"/>
                <w:b w:val="0"/>
                <w:sz w:val="14"/>
              </w:rPr>
              <w:t>Consumption trend, beneficiary trend</w:t>
            </w:r>
          </w:p>
        </w:tc>
        <w:tc>
          <w:tcPr>
            <w:tcW w:type="dxa" w:w="1928"/>
            <w:shd w:val="clear" w:fill="F7F9FB"/>
          </w:tcPr>
          <w:p>
            <w:pPr>
              <w:spacing w:after="20" w:before="20" w:line="240" w:lineRule="auto"/>
            </w:pPr>
            <w:r/>
            <w:r>
              <w:rPr>
                <w:rFonts w:ascii="Calibri" w:hAnsi="Calibri"/>
                <w:b w:val="0"/>
                <w:sz w:val="14"/>
              </w:rPr>
              <w:t>Project both series; compute ratio</w:t>
            </w:r>
          </w:p>
        </w:tc>
        <w:tc>
          <w:tcPr>
            <w:tcW w:type="dxa" w:w="907"/>
            <w:shd w:val="clear" w:fill="F7F9FB"/>
          </w:tcPr>
          <w:p>
            <w:pPr>
              <w:spacing w:after="20" w:before="20" w:line="240" w:lineRule="auto"/>
            </w:pPr>
            <w:r/>
            <w:r>
              <w:rPr>
                <w:rFonts w:ascii="Calibri" w:hAnsi="Calibri"/>
                <w:b w:val="0"/>
                <w:sz w:val="14"/>
              </w:rPr>
              <w:t>Trend change &gt; 10%</w:t>
            </w:r>
          </w:p>
        </w:tc>
        <w:tc>
          <w:tcPr>
            <w:tcW w:type="dxa" w:w="850"/>
            <w:shd w:val="clear" w:fill="F7F9FB"/>
          </w:tcPr>
          <w:p>
            <w:pPr>
              <w:spacing w:after="20" w:before="20" w:line="240" w:lineRule="auto"/>
              <w:jc w:val="center"/>
            </w:pPr>
            <w:r/>
            <w:r>
              <w:rPr>
                <w:rFonts w:ascii="Calibri" w:hAnsi="Calibri"/>
                <w:b w:val="0"/>
                <w:sz w:val="14"/>
              </w:rPr>
              <w:t>Quarterly</w:t>
            </w:r>
          </w:p>
        </w:tc>
        <w:tc>
          <w:tcPr>
            <w:tcW w:type="dxa" w:w="850"/>
            <w:shd w:val="clear" w:fill="F7F9FB"/>
          </w:tcPr>
          <w:p>
            <w:pPr>
              <w:spacing w:after="20" w:before="20" w:line="240" w:lineRule="auto"/>
              <w:jc w:val="center"/>
            </w:pPr>
            <w:r/>
            <w:r>
              <w:rPr>
                <w:rFonts w:ascii="Calibri" w:hAnsi="Calibri"/>
                <w:b w:val="0"/>
                <w:sz w:val="14"/>
              </w:rPr>
              <w:t>Finance</w:t>
            </w:r>
          </w:p>
        </w:tc>
      </w:tr>
      <w:tr>
        <w:tc>
          <w:tcPr>
            <w:tcW w:type="dxa" w:w="680"/>
          </w:tcPr>
          <w:p>
            <w:pPr>
              <w:spacing w:after="20" w:before="20" w:line="240" w:lineRule="auto"/>
              <w:jc w:val="center"/>
            </w:pPr>
            <w:r/>
            <w:r>
              <w:rPr>
                <w:rFonts w:ascii="Calibri" w:hAnsi="Calibri"/>
                <w:b w:val="0"/>
                <w:sz w:val="14"/>
              </w:rPr>
              <w:t>X-15</w:t>
            </w:r>
          </w:p>
        </w:tc>
        <w:tc>
          <w:tcPr>
            <w:tcW w:type="dxa" w:w="2494"/>
          </w:tcPr>
          <w:p>
            <w:pPr>
              <w:spacing w:after="20" w:before="20" w:line="240" w:lineRule="auto"/>
            </w:pPr>
            <w:r/>
            <w:r>
              <w:rPr>
                <w:rFonts w:ascii="Calibri" w:hAnsi="Calibri"/>
                <w:b w:val="0"/>
                <w:sz w:val="14"/>
              </w:rPr>
              <w:t>How much additional budget would be needed to maintain current service levels to year end?</w:t>
            </w:r>
          </w:p>
        </w:tc>
        <w:tc>
          <w:tcPr>
            <w:tcW w:type="dxa" w:w="2154"/>
          </w:tcPr>
          <w:p>
            <w:pPr>
              <w:spacing w:after="20" w:before="20" w:line="240" w:lineRule="auto"/>
            </w:pPr>
            <w:r/>
            <w:r>
              <w:rPr>
                <w:rFonts w:ascii="Calibri" w:hAnsi="Calibri"/>
                <w:b w:val="0"/>
                <w:sz w:val="14"/>
              </w:rPr>
              <w:t>The question management asks when a shortfall appears.</w:t>
            </w:r>
          </w:p>
        </w:tc>
        <w:tc>
          <w:tcPr>
            <w:tcW w:type="dxa" w:w="1587"/>
          </w:tcPr>
          <w:p>
            <w:pPr>
              <w:spacing w:after="20" w:before="20" w:line="240" w:lineRule="auto"/>
            </w:pPr>
            <w:r/>
            <w:r>
              <w:rPr>
                <w:rFonts w:ascii="Calibri" w:hAnsi="Calibri"/>
                <w:b w:val="0"/>
                <w:sz w:val="14"/>
              </w:rPr>
              <w:t>Burn rate, budget, remaining months</w:t>
            </w:r>
          </w:p>
        </w:tc>
        <w:tc>
          <w:tcPr>
            <w:tcW w:type="dxa" w:w="1928"/>
          </w:tcPr>
          <w:p>
            <w:pPr>
              <w:spacing w:after="20" w:before="20" w:line="240" w:lineRule="auto"/>
            </w:pPr>
            <w:r/>
            <w:r>
              <w:rPr>
                <w:rFonts w:ascii="Calibri" w:hAnsi="Calibri"/>
                <w:b w:val="0"/>
                <w:sz w:val="14"/>
              </w:rPr>
              <w:t>Projected consumption − remaining budget</w:t>
            </w:r>
          </w:p>
        </w:tc>
        <w:tc>
          <w:tcPr>
            <w:tcW w:type="dxa" w:w="907"/>
          </w:tcPr>
          <w:p>
            <w:pPr>
              <w:spacing w:after="20" w:before="20" w:line="240" w:lineRule="auto"/>
            </w:pPr>
            <w:r/>
            <w:r>
              <w:rPr>
                <w:rFonts w:ascii="Calibri" w:hAnsi="Calibri"/>
                <w:b w:val="0"/>
                <w:sz w:val="14"/>
              </w:rPr>
              <w:t>Positive gap</w:t>
            </w:r>
          </w:p>
        </w:tc>
        <w:tc>
          <w:tcPr>
            <w:tcW w:type="dxa" w:w="850"/>
          </w:tcPr>
          <w:p>
            <w:pPr>
              <w:spacing w:after="20" w:before="20" w:line="240" w:lineRule="auto"/>
              <w:jc w:val="center"/>
            </w:pPr>
            <w:r/>
            <w:r>
              <w:rPr>
                <w:rFonts w:ascii="Calibri" w:hAnsi="Calibri"/>
                <w:b w:val="0"/>
                <w:sz w:val="14"/>
              </w:rPr>
              <w:t>Monthly</w:t>
            </w:r>
          </w:p>
        </w:tc>
        <w:tc>
          <w:tcPr>
            <w:tcW w:type="dxa" w:w="850"/>
          </w:tcPr>
          <w:p>
            <w:pPr>
              <w:spacing w:after="20" w:before="20" w:line="240" w:lineRule="auto"/>
              <w:jc w:val="center"/>
            </w:pPr>
            <w:r/>
            <w:r>
              <w:rPr>
                <w:rFonts w:ascii="Calibri" w:hAnsi="Calibri"/>
                <w:b w:val="0"/>
                <w:sz w:val="14"/>
              </w:rPr>
              <w:t>Finance</w:t>
            </w:r>
          </w:p>
        </w:tc>
      </w:tr>
      <w:tr>
        <w:tc>
          <w:tcPr>
            <w:tcW w:type="dxa" w:w="680"/>
            <w:shd w:val="clear" w:fill="F7F9FB"/>
          </w:tcPr>
          <w:p>
            <w:pPr>
              <w:spacing w:after="20" w:before="20" w:line="240" w:lineRule="auto"/>
              <w:jc w:val="center"/>
            </w:pPr>
            <w:r/>
            <w:r>
              <w:rPr>
                <w:rFonts w:ascii="Calibri" w:hAnsi="Calibri"/>
                <w:b w:val="0"/>
                <w:sz w:val="14"/>
              </w:rPr>
              <w:t>X-16</w:t>
            </w:r>
          </w:p>
        </w:tc>
        <w:tc>
          <w:tcPr>
            <w:tcW w:type="dxa" w:w="2494"/>
            <w:shd w:val="clear" w:fill="F7F9FB"/>
          </w:tcPr>
          <w:p>
            <w:pPr>
              <w:spacing w:after="20" w:before="20" w:line="240" w:lineRule="auto"/>
            </w:pPr>
            <w:r/>
            <w:r>
              <w:rPr>
                <w:rFonts w:ascii="Calibri" w:hAnsi="Calibri"/>
                <w:b w:val="0"/>
                <w:sz w:val="14"/>
              </w:rPr>
              <w:t>Which items should be redistributed between warehouses to avoid expiry and stock-out simultaneously?</w:t>
            </w:r>
          </w:p>
        </w:tc>
        <w:tc>
          <w:tcPr>
            <w:tcW w:type="dxa" w:w="2154"/>
            <w:shd w:val="clear" w:fill="F7F9FB"/>
          </w:tcPr>
          <w:p>
            <w:pPr>
              <w:spacing w:after="20" w:before="20" w:line="240" w:lineRule="auto"/>
            </w:pPr>
            <w:r/>
            <w:r>
              <w:rPr>
                <w:rFonts w:ascii="Calibri" w:hAnsi="Calibri"/>
                <w:b w:val="0"/>
                <w:sz w:val="14"/>
              </w:rPr>
              <w:t>Solves two problems with one action.</w:t>
            </w:r>
          </w:p>
        </w:tc>
        <w:tc>
          <w:tcPr>
            <w:tcW w:type="dxa" w:w="1587"/>
            <w:shd w:val="clear" w:fill="F7F9FB"/>
          </w:tcPr>
          <w:p>
            <w:pPr>
              <w:spacing w:after="20" w:before="20" w:line="240" w:lineRule="auto"/>
            </w:pPr>
            <w:r/>
            <w:r>
              <w:rPr>
                <w:rFonts w:ascii="Calibri" w:hAnsi="Calibri"/>
                <w:b w:val="0"/>
                <w:sz w:val="14"/>
              </w:rPr>
              <w:t>Stock by warehouse, cover by warehouse, expiry dates</w:t>
            </w:r>
          </w:p>
        </w:tc>
        <w:tc>
          <w:tcPr>
            <w:tcW w:type="dxa" w:w="1928"/>
            <w:shd w:val="clear" w:fill="F7F9FB"/>
          </w:tcPr>
          <w:p>
            <w:pPr>
              <w:spacing w:after="20" w:before="20" w:line="240" w:lineRule="auto"/>
            </w:pPr>
            <w:r/>
            <w:r>
              <w:rPr>
                <w:rFonts w:ascii="Calibri" w:hAnsi="Calibri"/>
                <w:b w:val="0"/>
                <w:sz w:val="14"/>
              </w:rPr>
              <w:t>Match surplus (cover &gt; 180 days or near expiry) with deficit (cover &lt; 30 days) by item</w:t>
            </w:r>
          </w:p>
        </w:tc>
        <w:tc>
          <w:tcPr>
            <w:tcW w:type="dxa" w:w="907"/>
            <w:shd w:val="clear" w:fill="F7F9FB"/>
          </w:tcPr>
          <w:p>
            <w:pPr>
              <w:spacing w:after="20" w:before="20" w:line="240" w:lineRule="auto"/>
            </w:pPr>
            <w:r/>
            <w:r>
              <w:rPr>
                <w:rFonts w:ascii="Calibri" w:hAnsi="Calibri"/>
                <w:b w:val="0"/>
                <w:sz w:val="14"/>
              </w:rPr>
              <w:t>Match found</w:t>
            </w:r>
          </w:p>
        </w:tc>
        <w:tc>
          <w:tcPr>
            <w:tcW w:type="dxa" w:w="850"/>
            <w:shd w:val="clear" w:fill="F7F9FB"/>
          </w:tcPr>
          <w:p>
            <w:pPr>
              <w:spacing w:after="20" w:before="20" w:line="240" w:lineRule="auto"/>
              <w:jc w:val="center"/>
            </w:pPr>
            <w:r/>
            <w:r>
              <w:rPr>
                <w:rFonts w:ascii="Calibri" w:hAnsi="Calibri"/>
                <w:b w:val="0"/>
                <w:sz w:val="14"/>
              </w:rPr>
              <w:t>Monthly</w:t>
            </w:r>
          </w:p>
        </w:tc>
        <w:tc>
          <w:tcPr>
            <w:tcW w:type="dxa" w:w="850"/>
            <w:shd w:val="clear" w:fill="F7F9FB"/>
          </w:tcPr>
          <w:p>
            <w:pPr>
              <w:spacing w:after="20" w:before="20" w:line="240" w:lineRule="auto"/>
              <w:jc w:val="center"/>
            </w:pPr>
            <w:r/>
            <w:r>
              <w:rPr>
                <w:rFonts w:ascii="Calibri" w:hAnsi="Calibri"/>
                <w:b w:val="0"/>
                <w:sz w:val="14"/>
              </w:rPr>
              <w:t>Supply chain</w:t>
            </w:r>
          </w:p>
        </w:tc>
      </w:tr>
    </w:tbl>
    <w:p>
      <w:pPr>
        <w:spacing w:after="20"/>
      </w:pPr>
    </w:p>
    <w:p>
      <w:pPr>
        <w:pStyle w:val="Heading2"/>
      </w:pPr>
      <w:r>
        <w:t>5.1 Standing assumptions used in this release</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trPr>
        <w:tc>
          <w:tcPr>
            <w:tcW w:type="dxa" w:w="1928"/>
            <w:shd w:val="clear" w:fill="1F3B57"/>
          </w:tcPr>
          <w:p>
            <w:pPr>
              <w:spacing w:after="20" w:before="20" w:line="240" w:lineRule="auto"/>
            </w:pPr>
            <w:r/>
            <w:r>
              <w:rPr>
                <w:rFonts w:ascii="Calibri" w:hAnsi="Calibri"/>
                <w:b/>
                <w:color w:val="FFFFFF"/>
                <w:sz w:val="16"/>
              </w:rPr>
              <w:t>Projection</w:t>
            </w:r>
          </w:p>
        </w:tc>
        <w:tc>
          <w:tcPr>
            <w:tcW w:type="dxa" w:w="3061"/>
            <w:shd w:val="clear" w:fill="1F3B57"/>
          </w:tcPr>
          <w:p>
            <w:pPr>
              <w:spacing w:after="20" w:before="20" w:line="240" w:lineRule="auto"/>
            </w:pPr>
            <w:r/>
            <w:r>
              <w:rPr>
                <w:rFonts w:ascii="Calibri" w:hAnsi="Calibri"/>
                <w:b/>
                <w:color w:val="FFFFFF"/>
                <w:sz w:val="16"/>
              </w:rPr>
              <w:t>Method</w:t>
            </w:r>
          </w:p>
        </w:tc>
        <w:tc>
          <w:tcPr>
            <w:tcW w:type="dxa" w:w="2608"/>
            <w:shd w:val="clear" w:fill="1F3B57"/>
          </w:tcPr>
          <w:p>
            <w:pPr>
              <w:spacing w:after="20" w:before="20" w:line="240" w:lineRule="auto"/>
            </w:pPr>
            <w:r/>
            <w:r>
              <w:rPr>
                <w:rFonts w:ascii="Calibri" w:hAnsi="Calibri"/>
                <w:b/>
                <w:color w:val="FFFFFF"/>
                <w:sz w:val="16"/>
              </w:rPr>
              <w:t>Main assumption</w:t>
            </w:r>
          </w:p>
        </w:tc>
        <w:tc>
          <w:tcPr>
            <w:tcW w:type="dxa" w:w="2154"/>
            <w:shd w:val="clear" w:fill="1F3B57"/>
          </w:tcPr>
          <w:p>
            <w:pPr>
              <w:spacing w:after="20" w:before="20" w:line="240" w:lineRule="auto"/>
            </w:pPr>
            <w:r/>
            <w:r>
              <w:rPr>
                <w:rFonts w:ascii="Calibri" w:hAnsi="Calibri"/>
                <w:b/>
                <w:color w:val="FFFFFF"/>
                <w:sz w:val="16"/>
              </w:rPr>
              <w:t>Sensitivity</w:t>
            </w:r>
          </w:p>
        </w:tc>
      </w:tr>
      <w:tr>
        <w:tc>
          <w:tcPr>
            <w:tcW w:type="dxa" w:w="1928"/>
          </w:tcPr>
          <w:p>
            <w:pPr>
              <w:spacing w:after="20" w:before="20" w:line="240" w:lineRule="auto"/>
            </w:pPr>
            <w:r/>
            <w:r>
              <w:rPr>
                <w:rFonts w:ascii="Calibri" w:hAnsi="Calibri"/>
                <w:b w:val="0"/>
                <w:sz w:val="16"/>
              </w:rPr>
              <w:t>Next-period consumption</w:t>
            </w:r>
          </w:p>
        </w:tc>
        <w:tc>
          <w:tcPr>
            <w:tcW w:type="dxa" w:w="3061"/>
          </w:tcPr>
          <w:p>
            <w:pPr>
              <w:spacing w:after="20" w:before="20" w:line="240" w:lineRule="auto"/>
            </w:pPr>
            <w:r/>
            <w:r>
              <w:rPr>
                <w:rFonts w:ascii="Calibri" w:hAnsi="Calibri"/>
                <w:b w:val="0"/>
                <w:sz w:val="16"/>
              </w:rPr>
              <w:t>Run rate of the last three to twelve months</w:t>
            </w:r>
          </w:p>
        </w:tc>
        <w:tc>
          <w:tcPr>
            <w:tcW w:type="dxa" w:w="2608"/>
          </w:tcPr>
          <w:p>
            <w:pPr>
              <w:spacing w:after="20" w:before="20" w:line="240" w:lineRule="auto"/>
            </w:pPr>
            <w:r/>
            <w:r>
              <w:rPr>
                <w:rFonts w:ascii="Calibri" w:hAnsi="Calibri"/>
                <w:b w:val="0"/>
                <w:sz w:val="16"/>
              </w:rPr>
              <w:t>Activity continues at the recent level</w:t>
            </w:r>
          </w:p>
        </w:tc>
        <w:tc>
          <w:tcPr>
            <w:tcW w:type="dxa" w:w="2154"/>
          </w:tcPr>
          <w:p>
            <w:pPr>
              <w:spacing w:after="20" w:before="20" w:line="240" w:lineRule="auto"/>
            </w:pPr>
            <w:r/>
            <w:r>
              <w:rPr>
                <w:rFonts w:ascii="Calibri" w:hAnsi="Calibri"/>
                <w:b w:val="0"/>
                <w:sz w:val="16"/>
              </w:rPr>
              <w:t>Seasonality and project start/end dates</w:t>
            </w:r>
          </w:p>
        </w:tc>
      </w:tr>
      <w:tr>
        <w:tc>
          <w:tcPr>
            <w:tcW w:type="dxa" w:w="1928"/>
            <w:shd w:val="clear" w:fill="F7F9FB"/>
          </w:tcPr>
          <w:p>
            <w:pPr>
              <w:spacing w:after="20" w:before="20" w:line="240" w:lineRule="auto"/>
            </w:pPr>
            <w:r/>
            <w:r>
              <w:rPr>
                <w:rFonts w:ascii="Calibri" w:hAnsi="Calibri"/>
                <w:b w:val="0"/>
                <w:sz w:val="16"/>
              </w:rPr>
              <w:t>Seasonally adjusted forecast</w:t>
            </w:r>
          </w:p>
        </w:tc>
        <w:tc>
          <w:tcPr>
            <w:tcW w:type="dxa" w:w="3061"/>
            <w:shd w:val="clear" w:fill="F7F9FB"/>
          </w:tcPr>
          <w:p>
            <w:pPr>
              <w:spacing w:after="20" w:before="20" w:line="240" w:lineRule="auto"/>
            </w:pPr>
            <w:r/>
            <w:r>
              <w:rPr>
                <w:rFonts w:ascii="Calibri" w:hAnsi="Calibri"/>
                <w:b w:val="0"/>
                <w:sz w:val="16"/>
              </w:rPr>
              <w:t>Run rate × seasonal index for the target month</w:t>
            </w:r>
          </w:p>
        </w:tc>
        <w:tc>
          <w:tcPr>
            <w:tcW w:type="dxa" w:w="2608"/>
            <w:shd w:val="clear" w:fill="F7F9FB"/>
          </w:tcPr>
          <w:p>
            <w:pPr>
              <w:spacing w:after="20" w:before="20" w:line="240" w:lineRule="auto"/>
            </w:pPr>
            <w:r/>
            <w:r>
              <w:rPr>
                <w:rFonts w:ascii="Calibri" w:hAnsi="Calibri"/>
                <w:b w:val="0"/>
                <w:sz w:val="16"/>
              </w:rPr>
              <w:t>The historical seasonal pattern repeats</w:t>
            </w:r>
          </w:p>
        </w:tc>
        <w:tc>
          <w:tcPr>
            <w:tcW w:type="dxa" w:w="2154"/>
            <w:shd w:val="clear" w:fill="F7F9FB"/>
          </w:tcPr>
          <w:p>
            <w:pPr>
              <w:spacing w:after="20" w:before="20" w:line="240" w:lineRule="auto"/>
            </w:pPr>
            <w:r/>
            <w:r>
              <w:rPr>
                <w:rFonts w:ascii="Calibri" w:hAnsi="Calibri"/>
                <w:b w:val="0"/>
                <w:sz w:val="16"/>
              </w:rPr>
              <w:t>Outbreak or campaign activity</w:t>
            </w:r>
          </w:p>
        </w:tc>
      </w:tr>
      <w:tr>
        <w:tc>
          <w:tcPr>
            <w:tcW w:type="dxa" w:w="1928"/>
          </w:tcPr>
          <w:p>
            <w:pPr>
              <w:spacing w:after="20" w:before="20" w:line="240" w:lineRule="auto"/>
            </w:pPr>
            <w:r/>
            <w:r>
              <w:rPr>
                <w:rFonts w:ascii="Calibri" w:hAnsi="Calibri"/>
                <w:b w:val="0"/>
                <w:sz w:val="16"/>
              </w:rPr>
              <w:t>Stock-out date</w:t>
            </w:r>
          </w:p>
        </w:tc>
        <w:tc>
          <w:tcPr>
            <w:tcW w:type="dxa" w:w="3061"/>
          </w:tcPr>
          <w:p>
            <w:pPr>
              <w:spacing w:after="20" w:before="20" w:line="240" w:lineRule="auto"/>
            </w:pPr>
            <w:r/>
            <w:r>
              <w:rPr>
                <w:rFonts w:ascii="Calibri" w:hAnsi="Calibri"/>
                <w:b w:val="0"/>
                <w:sz w:val="16"/>
              </w:rPr>
              <w:t>Days of cover from the report date</w:t>
            </w:r>
          </w:p>
        </w:tc>
        <w:tc>
          <w:tcPr>
            <w:tcW w:type="dxa" w:w="2608"/>
          </w:tcPr>
          <w:p>
            <w:pPr>
              <w:spacing w:after="20" w:before="20" w:line="240" w:lineRule="auto"/>
            </w:pPr>
            <w:r/>
            <w:r>
              <w:rPr>
                <w:rFonts w:ascii="Calibri" w:hAnsi="Calibri"/>
                <w:b w:val="0"/>
                <w:sz w:val="16"/>
              </w:rPr>
              <w:t>Consumption continues at the 90-day average</w:t>
            </w:r>
          </w:p>
        </w:tc>
        <w:tc>
          <w:tcPr>
            <w:tcW w:type="dxa" w:w="2154"/>
          </w:tcPr>
          <w:p>
            <w:pPr>
              <w:spacing w:after="20" w:before="20" w:line="240" w:lineRule="auto"/>
            </w:pPr>
            <w:r/>
            <w:r>
              <w:rPr>
                <w:rFonts w:ascii="Calibri" w:hAnsi="Calibri"/>
                <w:b w:val="0"/>
                <w:sz w:val="16"/>
              </w:rPr>
              <w:t>Demand surge; delayed delivery</w:t>
            </w:r>
          </w:p>
        </w:tc>
      </w:tr>
      <w:tr>
        <w:tc>
          <w:tcPr>
            <w:tcW w:type="dxa" w:w="1928"/>
            <w:shd w:val="clear" w:fill="F7F9FB"/>
          </w:tcPr>
          <w:p>
            <w:pPr>
              <w:spacing w:after="20" w:before="20" w:line="240" w:lineRule="auto"/>
            </w:pPr>
            <w:r/>
            <w:r>
              <w:rPr>
                <w:rFonts w:ascii="Calibri" w:hAnsi="Calibri"/>
                <w:b w:val="0"/>
                <w:sz w:val="16"/>
              </w:rPr>
              <w:t>Requirement quantity</w:t>
            </w:r>
          </w:p>
        </w:tc>
        <w:tc>
          <w:tcPr>
            <w:tcW w:type="dxa" w:w="3061"/>
            <w:shd w:val="clear" w:fill="F7F9FB"/>
          </w:tcPr>
          <w:p>
            <w:pPr>
              <w:spacing w:after="20" w:before="20" w:line="240" w:lineRule="auto"/>
            </w:pPr>
            <w:r/>
            <w:r>
              <w:rPr>
                <w:rFonts w:ascii="Calibri" w:hAnsi="Calibri"/>
                <w:b w:val="0"/>
                <w:sz w:val="16"/>
              </w:rPr>
              <w:t>Consumption × (cover target + lead time) − on hand − open commitment</w:t>
            </w:r>
          </w:p>
        </w:tc>
        <w:tc>
          <w:tcPr>
            <w:tcW w:type="dxa" w:w="2608"/>
            <w:shd w:val="clear" w:fill="F7F9FB"/>
          </w:tcPr>
          <w:p>
            <w:pPr>
              <w:spacing w:after="20" w:before="20" w:line="240" w:lineRule="auto"/>
            </w:pPr>
            <w:r/>
            <w:r>
              <w:rPr>
                <w:rFonts w:ascii="Calibri" w:hAnsi="Calibri"/>
                <w:b w:val="0"/>
                <w:sz w:val="16"/>
              </w:rPr>
              <w:t>Lead time holds and stock is issued FEFO</w:t>
            </w:r>
          </w:p>
        </w:tc>
        <w:tc>
          <w:tcPr>
            <w:tcW w:type="dxa" w:w="2154"/>
            <w:shd w:val="clear" w:fill="F7F9FB"/>
          </w:tcPr>
          <w:p>
            <w:pPr>
              <w:spacing w:after="20" w:before="20" w:line="240" w:lineRule="auto"/>
            </w:pPr>
            <w:r/>
            <w:r>
              <w:rPr>
                <w:rFonts w:ascii="Calibri" w:hAnsi="Calibri"/>
                <w:b w:val="0"/>
                <w:sz w:val="16"/>
              </w:rPr>
              <w:t>Supplier delay; pack-size rounding</w:t>
            </w:r>
          </w:p>
        </w:tc>
      </w:tr>
      <w:tr>
        <w:tc>
          <w:tcPr>
            <w:tcW w:type="dxa" w:w="1928"/>
          </w:tcPr>
          <w:p>
            <w:pPr>
              <w:spacing w:after="20" w:before="20" w:line="240" w:lineRule="auto"/>
            </w:pPr>
            <w:r/>
            <w:r>
              <w:rPr>
                <w:rFonts w:ascii="Calibri" w:hAnsi="Calibri"/>
                <w:b w:val="0"/>
                <w:sz w:val="16"/>
              </w:rPr>
              <w:t>Year-end budget position</w:t>
            </w:r>
          </w:p>
        </w:tc>
        <w:tc>
          <w:tcPr>
            <w:tcW w:type="dxa" w:w="3061"/>
          </w:tcPr>
          <w:p>
            <w:pPr>
              <w:spacing w:after="20" w:before="20" w:line="240" w:lineRule="auto"/>
            </w:pPr>
            <w:r/>
            <w:r>
              <w:rPr>
                <w:rFonts w:ascii="Calibri" w:hAnsi="Calibri"/>
                <w:b w:val="0"/>
                <w:sz w:val="16"/>
              </w:rPr>
              <w:t>Year-to-date + burn rate × remaining months</w:t>
            </w:r>
          </w:p>
        </w:tc>
        <w:tc>
          <w:tcPr>
            <w:tcW w:type="dxa" w:w="2608"/>
          </w:tcPr>
          <w:p>
            <w:pPr>
              <w:spacing w:after="20" w:before="20" w:line="240" w:lineRule="auto"/>
            </w:pPr>
            <w:r/>
            <w:r>
              <w:rPr>
                <w:rFonts w:ascii="Calibri" w:hAnsi="Calibri"/>
                <w:b w:val="0"/>
                <w:sz w:val="16"/>
              </w:rPr>
              <w:t>Spending pattern is broadly even</w:t>
            </w:r>
          </w:p>
        </w:tc>
        <w:tc>
          <w:tcPr>
            <w:tcW w:type="dxa" w:w="2154"/>
          </w:tcPr>
          <w:p>
            <w:pPr>
              <w:spacing w:after="20" w:before="20" w:line="240" w:lineRule="auto"/>
            </w:pPr>
            <w:r/>
            <w:r>
              <w:rPr>
                <w:rFonts w:ascii="Calibri" w:hAnsi="Calibri"/>
                <w:b w:val="0"/>
                <w:sz w:val="16"/>
              </w:rPr>
              <w:t>Lumpy capital purchases; funding changes</w:t>
            </w:r>
          </w:p>
        </w:tc>
      </w:tr>
      <w:tr>
        <w:tc>
          <w:tcPr>
            <w:tcW w:type="dxa" w:w="1928"/>
            <w:shd w:val="clear" w:fill="F7F9FB"/>
          </w:tcPr>
          <w:p>
            <w:pPr>
              <w:spacing w:after="20" w:before="20" w:line="240" w:lineRule="auto"/>
            </w:pPr>
            <w:r/>
            <w:r>
              <w:rPr>
                <w:rFonts w:ascii="Calibri" w:hAnsi="Calibri"/>
                <w:b w:val="0"/>
                <w:sz w:val="16"/>
              </w:rPr>
              <w:t>Expiry risk</w:t>
            </w:r>
          </w:p>
        </w:tc>
        <w:tc>
          <w:tcPr>
            <w:tcW w:type="dxa" w:w="3061"/>
            <w:shd w:val="clear" w:fill="F7F9FB"/>
          </w:tcPr>
          <w:p>
            <w:pPr>
              <w:spacing w:after="20" w:before="20" w:line="240" w:lineRule="auto"/>
            </w:pPr>
            <w:r/>
            <w:r>
              <w:rPr>
                <w:rFonts w:ascii="Calibri" w:hAnsi="Calibri"/>
                <w:b w:val="0"/>
                <w:sz w:val="16"/>
              </w:rPr>
              <w:t>Batch expiry compared with days of cover</w:t>
            </w:r>
          </w:p>
        </w:tc>
        <w:tc>
          <w:tcPr>
            <w:tcW w:type="dxa" w:w="2608"/>
            <w:shd w:val="clear" w:fill="F7F9FB"/>
          </w:tcPr>
          <w:p>
            <w:pPr>
              <w:spacing w:after="20" w:before="20" w:line="240" w:lineRule="auto"/>
            </w:pPr>
            <w:r/>
            <w:r>
              <w:rPr>
                <w:rFonts w:ascii="Calibri" w:hAnsi="Calibri"/>
                <w:b w:val="0"/>
                <w:sz w:val="16"/>
              </w:rPr>
              <w:t>Stock continues to be issued at the current rate</w:t>
            </w:r>
          </w:p>
        </w:tc>
        <w:tc>
          <w:tcPr>
            <w:tcW w:type="dxa" w:w="2154"/>
            <w:shd w:val="clear" w:fill="F7F9FB"/>
          </w:tcPr>
          <w:p>
            <w:pPr>
              <w:spacing w:after="20" w:before="20" w:line="240" w:lineRule="auto"/>
            </w:pPr>
            <w:r/>
            <w:r>
              <w:rPr>
                <w:rFonts w:ascii="Calibri" w:hAnsi="Calibri"/>
                <w:b w:val="0"/>
                <w:sz w:val="16"/>
              </w:rPr>
              <w:t>Redistribution; protocol change</w:t>
            </w:r>
          </w:p>
        </w:tc>
      </w:tr>
    </w:tbl>
    <w:p>
      <w:pPr>
        <w:spacing w:after="20"/>
      </w:pPr>
    </w:p>
    <w:p>
      <w:r>
        <w:br w:type="page"/>
      </w:r>
    </w:p>
    <w:p>
      <w:pPr>
        <w:pStyle w:val="Heading1"/>
      </w:pPr>
      <w:r>
        <w:t>6. Prescriptive questions – what to do, when and who</w:t>
      </w:r>
    </w:p>
    <w:p>
      <w:pPr>
        <w:spacing w:after="100"/>
      </w:pPr>
      <w:r>
        <w:rPr>
          <w:b w:val="0"/>
          <w:i w:val="0"/>
        </w:rPr>
        <w:t>These questions end in an action, an owner and a date. An action without an owner is not an action, and an action without a date is a preference. The workbook's action tracker is the record of these answers.</w:t>
      </w:r>
    </w:p>
    <w:tbl>
      <w:tblPr>
        <w:tblStyle w:val="TableGrid"/>
        <w:tblW w:type="auto" w:w="0"/>
        <w:jc w:val="center"/>
        <w:tblLayout w:type="fixed"/>
        <w:tblLook w:firstColumn="1" w:firstRow="1" w:lastColumn="0" w:lastRow="0" w:noHBand="0" w:noVBand="1" w:val="04A0"/>
      </w:tblPr>
      <w:tblGrid>
        <w:gridCol w:w="1261"/>
        <w:gridCol w:w="1261"/>
        <w:gridCol w:w="1261"/>
        <w:gridCol w:w="1261"/>
        <w:gridCol w:w="1261"/>
        <w:gridCol w:w="1261"/>
        <w:gridCol w:w="1261"/>
        <w:gridCol w:w="1261"/>
      </w:tblGrid>
      <w:tr>
        <w:trPr>
          <w:tblHeader/>
        </w:trPr>
        <w:tc>
          <w:tcPr>
            <w:tcW w:type="dxa" w:w="680"/>
            <w:shd w:val="clear" w:fill="1F3B57"/>
          </w:tcPr>
          <w:p>
            <w:pPr>
              <w:spacing w:after="20" w:before="20" w:line="240" w:lineRule="auto"/>
            </w:pPr>
            <w:r/>
            <w:r>
              <w:rPr>
                <w:rFonts w:ascii="Calibri" w:hAnsi="Calibri"/>
                <w:b/>
                <w:color w:val="FFFFFF"/>
                <w:sz w:val="14"/>
              </w:rPr>
              <w:t>ID</w:t>
            </w:r>
          </w:p>
        </w:tc>
        <w:tc>
          <w:tcPr>
            <w:tcW w:type="dxa" w:w="2494"/>
            <w:shd w:val="clear" w:fill="1F3B57"/>
          </w:tcPr>
          <w:p>
            <w:pPr>
              <w:spacing w:after="20" w:before="20" w:line="240" w:lineRule="auto"/>
            </w:pPr>
            <w:r/>
            <w:r>
              <w:rPr>
                <w:rFonts w:ascii="Calibri" w:hAnsi="Calibri"/>
                <w:b/>
                <w:color w:val="FFFFFF"/>
                <w:sz w:val="14"/>
              </w:rPr>
              <w:t>Question</w:t>
            </w:r>
          </w:p>
        </w:tc>
        <w:tc>
          <w:tcPr>
            <w:tcW w:type="dxa" w:w="2154"/>
            <w:shd w:val="clear" w:fill="1F3B57"/>
          </w:tcPr>
          <w:p>
            <w:pPr>
              <w:spacing w:after="20" w:before="20" w:line="240" w:lineRule="auto"/>
            </w:pPr>
            <w:r/>
            <w:r>
              <w:rPr>
                <w:rFonts w:ascii="Calibri" w:hAnsi="Calibri"/>
                <w:b/>
                <w:color w:val="FFFFFF"/>
                <w:sz w:val="14"/>
              </w:rPr>
              <w:t>Why it matters / decision supported</w:t>
            </w:r>
          </w:p>
        </w:tc>
        <w:tc>
          <w:tcPr>
            <w:tcW w:type="dxa" w:w="1587"/>
            <w:shd w:val="clear" w:fill="1F3B57"/>
          </w:tcPr>
          <w:p>
            <w:pPr>
              <w:spacing w:after="20" w:before="20" w:line="240" w:lineRule="auto"/>
            </w:pPr>
            <w:r/>
            <w:r>
              <w:rPr>
                <w:rFonts w:ascii="Calibri" w:hAnsi="Calibri"/>
                <w:b/>
                <w:color w:val="FFFFFF"/>
                <w:sz w:val="14"/>
              </w:rPr>
              <w:t>Data required</w:t>
            </w:r>
          </w:p>
        </w:tc>
        <w:tc>
          <w:tcPr>
            <w:tcW w:type="dxa" w:w="1928"/>
            <w:shd w:val="clear" w:fill="1F3B57"/>
          </w:tcPr>
          <w:p>
            <w:pPr>
              <w:spacing w:after="20" w:before="20" w:line="240" w:lineRule="auto"/>
            </w:pPr>
            <w:r/>
            <w:r>
              <w:rPr>
                <w:rFonts w:ascii="Calibri" w:hAnsi="Calibri"/>
                <w:b/>
                <w:color w:val="FFFFFF"/>
                <w:sz w:val="14"/>
              </w:rPr>
              <w:t>How to answer</w:t>
            </w:r>
          </w:p>
        </w:tc>
        <w:tc>
          <w:tcPr>
            <w:tcW w:type="dxa" w:w="907"/>
            <w:shd w:val="clear" w:fill="1F3B57"/>
          </w:tcPr>
          <w:p>
            <w:pPr>
              <w:spacing w:after="20" w:before="20" w:line="240" w:lineRule="auto"/>
            </w:pPr>
            <w:r/>
            <w:r>
              <w:rPr>
                <w:rFonts w:ascii="Calibri" w:hAnsi="Calibri"/>
                <w:b/>
                <w:color w:val="FFFFFF"/>
                <w:sz w:val="14"/>
              </w:rPr>
              <w:t>Trigger</w:t>
            </w:r>
          </w:p>
        </w:tc>
        <w:tc>
          <w:tcPr>
            <w:tcW w:type="dxa" w:w="850"/>
            <w:shd w:val="clear" w:fill="1F3B57"/>
          </w:tcPr>
          <w:p>
            <w:pPr>
              <w:spacing w:after="20" w:before="20" w:line="240" w:lineRule="auto"/>
            </w:pPr>
            <w:r/>
            <w:r>
              <w:rPr>
                <w:rFonts w:ascii="Calibri" w:hAnsi="Calibri"/>
                <w:b/>
                <w:color w:val="FFFFFF"/>
                <w:sz w:val="14"/>
              </w:rPr>
              <w:t>Cadence</w:t>
            </w:r>
          </w:p>
        </w:tc>
        <w:tc>
          <w:tcPr>
            <w:tcW w:type="dxa" w:w="850"/>
            <w:shd w:val="clear" w:fill="1F3B57"/>
          </w:tcPr>
          <w:p>
            <w:pPr>
              <w:spacing w:after="20" w:before="20" w:line="240" w:lineRule="auto"/>
            </w:pPr>
            <w:r/>
            <w:r>
              <w:rPr>
                <w:rFonts w:ascii="Calibri" w:hAnsi="Calibri"/>
                <w:b/>
                <w:color w:val="FFFFFF"/>
                <w:sz w:val="14"/>
              </w:rPr>
              <w:t>Owner</w:t>
            </w:r>
          </w:p>
        </w:tc>
      </w:tr>
      <w:tr>
        <w:tc>
          <w:tcPr>
            <w:tcW w:type="dxa" w:w="680"/>
          </w:tcPr>
          <w:p>
            <w:pPr>
              <w:spacing w:after="20" w:before="20" w:line="240" w:lineRule="auto"/>
              <w:jc w:val="center"/>
            </w:pPr>
            <w:r/>
            <w:r>
              <w:rPr>
                <w:rFonts w:ascii="Calibri" w:hAnsi="Calibri"/>
                <w:b w:val="0"/>
                <w:sz w:val="14"/>
              </w:rPr>
              <w:t>R-01</w:t>
            </w:r>
          </w:p>
        </w:tc>
        <w:tc>
          <w:tcPr>
            <w:tcW w:type="dxa" w:w="2494"/>
          </w:tcPr>
          <w:p>
            <w:pPr>
              <w:spacing w:after="20" w:before="20" w:line="240" w:lineRule="auto"/>
            </w:pPr>
            <w:r/>
            <w:r>
              <w:rPr>
                <w:rFonts w:ascii="Calibri" w:hAnsi="Calibri"/>
                <w:b w:val="0"/>
                <w:sz w:val="14"/>
              </w:rPr>
              <w:t>What should be purchased, in what quantity, and by when?</w:t>
            </w:r>
          </w:p>
        </w:tc>
        <w:tc>
          <w:tcPr>
            <w:tcW w:type="dxa" w:w="2154"/>
          </w:tcPr>
          <w:p>
            <w:pPr>
              <w:spacing w:after="20" w:before="20" w:line="240" w:lineRule="auto"/>
            </w:pPr>
            <w:r/>
            <w:r>
              <w:rPr>
                <w:rFonts w:ascii="Calibri" w:hAnsi="Calibri"/>
                <w:b w:val="0"/>
                <w:sz w:val="14"/>
              </w:rPr>
              <w:t>The core output of the analysis: a defensible purchase plan.</w:t>
            </w:r>
          </w:p>
        </w:tc>
        <w:tc>
          <w:tcPr>
            <w:tcW w:type="dxa" w:w="1587"/>
          </w:tcPr>
          <w:p>
            <w:pPr>
              <w:spacing w:after="20" w:before="20" w:line="240" w:lineRule="auto"/>
            </w:pPr>
            <w:r/>
            <w:r>
              <w:rPr>
                <w:rFonts w:ascii="Calibri" w:hAnsi="Calibri"/>
                <w:b w:val="0"/>
                <w:sz w:val="14"/>
              </w:rPr>
              <w:t>Requirement proposal (X-03), lead times, budget availability</w:t>
            </w:r>
          </w:p>
        </w:tc>
        <w:tc>
          <w:tcPr>
            <w:tcW w:type="dxa" w:w="1928"/>
          </w:tcPr>
          <w:p>
            <w:pPr>
              <w:spacing w:after="20" w:before="20" w:line="240" w:lineRule="auto"/>
            </w:pPr>
            <w:r/>
            <w:r>
              <w:rPr>
                <w:rFonts w:ascii="Calibri" w:hAnsi="Calibri"/>
                <w:b w:val="0"/>
                <w:sz w:val="14"/>
              </w:rPr>
              <w:t>Approve or adjust proposed quantities; sequence by stock-out risk and lead time</w:t>
            </w:r>
          </w:p>
        </w:tc>
        <w:tc>
          <w:tcPr>
            <w:tcW w:type="dxa" w:w="907"/>
          </w:tcPr>
          <w:p>
            <w:pPr>
              <w:spacing w:after="20" w:before="20" w:line="240" w:lineRule="auto"/>
            </w:pPr>
            <w:r/>
            <w:r>
              <w:rPr>
                <w:rFonts w:ascii="Calibri" w:hAnsi="Calibri"/>
                <w:b w:val="0"/>
                <w:sz w:val="14"/>
              </w:rPr>
              <w:t>Weekly</w:t>
            </w:r>
          </w:p>
        </w:tc>
        <w:tc>
          <w:tcPr>
            <w:tcW w:type="dxa" w:w="850"/>
          </w:tcPr>
          <w:p>
            <w:pPr>
              <w:spacing w:after="20" w:before="20" w:line="240" w:lineRule="auto"/>
              <w:jc w:val="center"/>
            </w:pPr>
            <w:r/>
            <w:r>
              <w:rPr>
                <w:rFonts w:ascii="Calibri" w:hAnsi="Calibri"/>
                <w:b w:val="0"/>
                <w:sz w:val="14"/>
              </w:rPr>
              <w:t>Weekly</w:t>
            </w:r>
          </w:p>
        </w:tc>
        <w:tc>
          <w:tcPr>
            <w:tcW w:type="dxa" w:w="850"/>
          </w:tcPr>
          <w:p>
            <w:pPr>
              <w:spacing w:after="20" w:before="20" w:line="240" w:lineRule="auto"/>
              <w:jc w:val="center"/>
            </w:pPr>
            <w:r/>
            <w:r>
              <w:rPr>
                <w:rFonts w:ascii="Calibri" w:hAnsi="Calibri"/>
                <w:b w:val="0"/>
                <w:sz w:val="14"/>
              </w:rPr>
              <w:t>Head of Procurement</w:t>
            </w:r>
          </w:p>
        </w:tc>
      </w:tr>
      <w:tr>
        <w:tc>
          <w:tcPr>
            <w:tcW w:type="dxa" w:w="680"/>
            <w:shd w:val="clear" w:fill="F7F9FB"/>
          </w:tcPr>
          <w:p>
            <w:pPr>
              <w:spacing w:after="20" w:before="20" w:line="240" w:lineRule="auto"/>
              <w:jc w:val="center"/>
            </w:pPr>
            <w:r/>
            <w:r>
              <w:rPr>
                <w:rFonts w:ascii="Calibri" w:hAnsi="Calibri"/>
                <w:b w:val="0"/>
                <w:sz w:val="14"/>
              </w:rPr>
              <w:t>R-02</w:t>
            </w:r>
          </w:p>
        </w:tc>
        <w:tc>
          <w:tcPr>
            <w:tcW w:type="dxa" w:w="2494"/>
            <w:shd w:val="clear" w:fill="F7F9FB"/>
          </w:tcPr>
          <w:p>
            <w:pPr>
              <w:spacing w:after="20" w:before="20" w:line="240" w:lineRule="auto"/>
            </w:pPr>
            <w:r/>
            <w:r>
              <w:rPr>
                <w:rFonts w:ascii="Calibri" w:hAnsi="Calibri"/>
                <w:b w:val="0"/>
                <w:sz w:val="14"/>
              </w:rPr>
              <w:t>Which purchase orders should be released, deferred or cancelled?</w:t>
            </w:r>
          </w:p>
        </w:tc>
        <w:tc>
          <w:tcPr>
            <w:tcW w:type="dxa" w:w="2154"/>
            <w:shd w:val="clear" w:fill="F7F9FB"/>
          </w:tcPr>
          <w:p>
            <w:pPr>
              <w:spacing w:after="20" w:before="20" w:line="240" w:lineRule="auto"/>
            </w:pPr>
            <w:r/>
            <w:r>
              <w:rPr>
                <w:rFonts w:ascii="Calibri" w:hAnsi="Calibri"/>
                <w:b w:val="0"/>
                <w:sz w:val="14"/>
              </w:rPr>
              <w:t>Stops unnecessary commitment before it becomes stock and cost.</w:t>
            </w:r>
          </w:p>
        </w:tc>
        <w:tc>
          <w:tcPr>
            <w:tcW w:type="dxa" w:w="1587"/>
            <w:shd w:val="clear" w:fill="F7F9FB"/>
          </w:tcPr>
          <w:p>
            <w:pPr>
              <w:spacing w:after="20" w:before="20" w:line="240" w:lineRule="auto"/>
            </w:pPr>
            <w:r/>
            <w:r>
              <w:rPr>
                <w:rFonts w:ascii="Calibri" w:hAnsi="Calibri"/>
                <w:b w:val="0"/>
                <w:sz w:val="14"/>
              </w:rPr>
              <w:t>Open commitments, cover, project pipeline</w:t>
            </w:r>
          </w:p>
        </w:tc>
        <w:tc>
          <w:tcPr>
            <w:tcW w:type="dxa" w:w="1928"/>
            <w:shd w:val="clear" w:fill="F7F9FB"/>
          </w:tcPr>
          <w:p>
            <w:pPr>
              <w:spacing w:after="20" w:before="20" w:line="240" w:lineRule="auto"/>
            </w:pPr>
            <w:r/>
            <w:r>
              <w:rPr>
                <w:rFonts w:ascii="Calibri" w:hAnsi="Calibri"/>
                <w:b w:val="0"/>
                <w:sz w:val="14"/>
              </w:rPr>
              <w:t>Release only where cover &lt; target; defer where cover &gt; 180 days; cancel where the need has gone</w:t>
            </w:r>
          </w:p>
        </w:tc>
        <w:tc>
          <w:tcPr>
            <w:tcW w:type="dxa" w:w="907"/>
            <w:shd w:val="clear" w:fill="F7F9FB"/>
          </w:tcPr>
          <w:p>
            <w:pPr>
              <w:spacing w:after="20" w:before="20" w:line="240" w:lineRule="auto"/>
            </w:pPr>
            <w:r/>
            <w:r>
              <w:rPr>
                <w:rFonts w:ascii="Calibri" w:hAnsi="Calibri"/>
                <w:b w:val="0"/>
                <w:sz w:val="14"/>
              </w:rPr>
              <w:t>Monthly</w:t>
            </w:r>
          </w:p>
        </w:tc>
        <w:tc>
          <w:tcPr>
            <w:tcW w:type="dxa" w:w="850"/>
            <w:shd w:val="clear" w:fill="F7F9FB"/>
          </w:tcPr>
          <w:p>
            <w:pPr>
              <w:spacing w:after="20" w:before="20" w:line="240" w:lineRule="auto"/>
              <w:jc w:val="center"/>
            </w:pPr>
            <w:r/>
            <w:r>
              <w:rPr>
                <w:rFonts w:ascii="Calibri" w:hAnsi="Calibri"/>
                <w:b w:val="0"/>
                <w:sz w:val="14"/>
              </w:rPr>
              <w:t>Monthly</w:t>
            </w:r>
          </w:p>
        </w:tc>
        <w:tc>
          <w:tcPr>
            <w:tcW w:type="dxa" w:w="850"/>
            <w:shd w:val="clear" w:fill="F7F9FB"/>
          </w:tcPr>
          <w:p>
            <w:pPr>
              <w:spacing w:after="20" w:before="20" w:line="240" w:lineRule="auto"/>
              <w:jc w:val="center"/>
            </w:pPr>
            <w:r/>
            <w:r>
              <w:rPr>
                <w:rFonts w:ascii="Calibri" w:hAnsi="Calibri"/>
                <w:b w:val="0"/>
                <w:sz w:val="14"/>
              </w:rPr>
              <w:t>Procurement</w:t>
            </w:r>
          </w:p>
        </w:tc>
      </w:tr>
      <w:tr>
        <w:tc>
          <w:tcPr>
            <w:tcW w:type="dxa" w:w="680"/>
          </w:tcPr>
          <w:p>
            <w:pPr>
              <w:spacing w:after="20" w:before="20" w:line="240" w:lineRule="auto"/>
              <w:jc w:val="center"/>
            </w:pPr>
            <w:r/>
            <w:r>
              <w:rPr>
                <w:rFonts w:ascii="Calibri" w:hAnsi="Calibri"/>
                <w:b w:val="0"/>
                <w:sz w:val="14"/>
              </w:rPr>
              <w:t>R-03</w:t>
            </w:r>
          </w:p>
        </w:tc>
        <w:tc>
          <w:tcPr>
            <w:tcW w:type="dxa" w:w="2494"/>
          </w:tcPr>
          <w:p>
            <w:pPr>
              <w:spacing w:after="20" w:before="20" w:line="240" w:lineRule="auto"/>
            </w:pPr>
            <w:r/>
            <w:r>
              <w:rPr>
                <w:rFonts w:ascii="Calibri" w:hAnsi="Calibri"/>
                <w:b w:val="0"/>
                <w:sz w:val="14"/>
              </w:rPr>
              <w:t>Which stock should be frozen from further ordering, and for how long?</w:t>
            </w:r>
          </w:p>
        </w:tc>
        <w:tc>
          <w:tcPr>
            <w:tcW w:type="dxa" w:w="2154"/>
          </w:tcPr>
          <w:p>
            <w:pPr>
              <w:spacing w:after="20" w:before="20" w:line="240" w:lineRule="auto"/>
            </w:pPr>
            <w:r/>
            <w:r>
              <w:rPr>
                <w:rFonts w:ascii="Calibri" w:hAnsi="Calibri"/>
                <w:b w:val="0"/>
                <w:sz w:val="14"/>
              </w:rPr>
              <w:t>Prevents the accumulation that causes expiry.</w:t>
            </w:r>
          </w:p>
        </w:tc>
        <w:tc>
          <w:tcPr>
            <w:tcW w:type="dxa" w:w="1587"/>
          </w:tcPr>
          <w:p>
            <w:pPr>
              <w:spacing w:after="20" w:before="20" w:line="240" w:lineRule="auto"/>
            </w:pPr>
            <w:r/>
            <w:r>
              <w:rPr>
                <w:rFonts w:ascii="Calibri" w:hAnsi="Calibri"/>
                <w:b w:val="0"/>
                <w:sz w:val="14"/>
              </w:rPr>
              <w:t>Cover, slow-moving list</w:t>
            </w:r>
          </w:p>
        </w:tc>
        <w:tc>
          <w:tcPr>
            <w:tcW w:type="dxa" w:w="1928"/>
          </w:tcPr>
          <w:p>
            <w:pPr>
              <w:spacing w:after="20" w:before="20" w:line="240" w:lineRule="auto"/>
            </w:pPr>
            <w:r/>
            <w:r>
              <w:rPr>
                <w:rFonts w:ascii="Calibri" w:hAnsi="Calibri"/>
                <w:b w:val="0"/>
                <w:sz w:val="14"/>
              </w:rPr>
              <w:t>Apply an order hold with a review date</w:t>
            </w:r>
          </w:p>
        </w:tc>
        <w:tc>
          <w:tcPr>
            <w:tcW w:type="dxa" w:w="907"/>
          </w:tcPr>
          <w:p>
            <w:pPr>
              <w:spacing w:after="20" w:before="20" w:line="240" w:lineRule="auto"/>
            </w:pPr>
            <w:r/>
            <w:r>
              <w:rPr>
                <w:rFonts w:ascii="Calibri" w:hAnsi="Calibri"/>
                <w:b w:val="0"/>
                <w:sz w:val="14"/>
              </w:rPr>
              <w:t>Immediate</w:t>
            </w:r>
          </w:p>
        </w:tc>
        <w:tc>
          <w:tcPr>
            <w:tcW w:type="dxa" w:w="850"/>
          </w:tcPr>
          <w:p>
            <w:pPr>
              <w:spacing w:after="20" w:before="20" w:line="240" w:lineRule="auto"/>
              <w:jc w:val="center"/>
            </w:pPr>
            <w:r/>
            <w:r>
              <w:rPr>
                <w:rFonts w:ascii="Calibri" w:hAnsi="Calibri"/>
                <w:b w:val="0"/>
                <w:sz w:val="14"/>
              </w:rPr>
              <w:t>Weekly</w:t>
            </w:r>
          </w:p>
        </w:tc>
        <w:tc>
          <w:tcPr>
            <w:tcW w:type="dxa" w:w="850"/>
          </w:tcPr>
          <w:p>
            <w:pPr>
              <w:spacing w:after="20" w:before="20" w:line="240" w:lineRule="auto"/>
              <w:jc w:val="center"/>
            </w:pPr>
            <w:r/>
            <w:r>
              <w:rPr>
                <w:rFonts w:ascii="Calibri" w:hAnsi="Calibri"/>
                <w:b w:val="0"/>
                <w:sz w:val="14"/>
              </w:rPr>
              <w:t>Stores + Procurement</w:t>
            </w:r>
          </w:p>
        </w:tc>
      </w:tr>
      <w:tr>
        <w:tc>
          <w:tcPr>
            <w:tcW w:type="dxa" w:w="680"/>
            <w:shd w:val="clear" w:fill="F7F9FB"/>
          </w:tcPr>
          <w:p>
            <w:pPr>
              <w:spacing w:after="20" w:before="20" w:line="240" w:lineRule="auto"/>
              <w:jc w:val="center"/>
            </w:pPr>
            <w:r/>
            <w:r>
              <w:rPr>
                <w:rFonts w:ascii="Calibri" w:hAnsi="Calibri"/>
                <w:b w:val="0"/>
                <w:sz w:val="14"/>
              </w:rPr>
              <w:t>R-04</w:t>
            </w:r>
          </w:p>
        </w:tc>
        <w:tc>
          <w:tcPr>
            <w:tcW w:type="dxa" w:w="2494"/>
            <w:shd w:val="clear" w:fill="F7F9FB"/>
          </w:tcPr>
          <w:p>
            <w:pPr>
              <w:spacing w:after="20" w:before="20" w:line="240" w:lineRule="auto"/>
            </w:pPr>
            <w:r/>
            <w:r>
              <w:rPr>
                <w:rFonts w:ascii="Calibri" w:hAnsi="Calibri"/>
                <w:b w:val="0"/>
                <w:sz w:val="14"/>
              </w:rPr>
              <w:t>Which near-expiry stock should be redistributed, consumed first, or written off?</w:t>
            </w:r>
          </w:p>
        </w:tc>
        <w:tc>
          <w:tcPr>
            <w:tcW w:type="dxa" w:w="2154"/>
            <w:shd w:val="clear" w:fill="F7F9FB"/>
          </w:tcPr>
          <w:p>
            <w:pPr>
              <w:spacing w:after="20" w:before="20" w:line="240" w:lineRule="auto"/>
            </w:pPr>
            <w:r/>
            <w:r>
              <w:rPr>
                <w:rFonts w:ascii="Calibri" w:hAnsi="Calibri"/>
                <w:b w:val="0"/>
                <w:sz w:val="14"/>
              </w:rPr>
              <w:t>Preserves value where possible; documents the loss where not.</w:t>
            </w:r>
          </w:p>
        </w:tc>
        <w:tc>
          <w:tcPr>
            <w:tcW w:type="dxa" w:w="1587"/>
            <w:shd w:val="clear" w:fill="F7F9FB"/>
          </w:tcPr>
          <w:p>
            <w:pPr>
              <w:spacing w:after="20" w:before="20" w:line="240" w:lineRule="auto"/>
            </w:pPr>
            <w:r/>
            <w:r>
              <w:rPr>
                <w:rFonts w:ascii="Calibri" w:hAnsi="Calibri"/>
                <w:b w:val="0"/>
                <w:sz w:val="14"/>
              </w:rPr>
              <w:t>Expiry buckets, project demand, transfers</w:t>
            </w:r>
          </w:p>
        </w:tc>
        <w:tc>
          <w:tcPr>
            <w:tcW w:type="dxa" w:w="1928"/>
            <w:shd w:val="clear" w:fill="F7F9FB"/>
          </w:tcPr>
          <w:p>
            <w:pPr>
              <w:spacing w:after="20" w:before="20" w:line="240" w:lineRule="auto"/>
            </w:pPr>
            <w:r/>
            <w:r>
              <w:rPr>
                <w:rFonts w:ascii="Calibri" w:hAnsi="Calibri"/>
                <w:b w:val="0"/>
                <w:sz w:val="14"/>
              </w:rPr>
              <w:t>Rank batches by value and days remaining; assign a disposition to each</w:t>
            </w:r>
          </w:p>
        </w:tc>
        <w:tc>
          <w:tcPr>
            <w:tcW w:type="dxa" w:w="907"/>
            <w:shd w:val="clear" w:fill="F7F9FB"/>
          </w:tcPr>
          <w:p>
            <w:pPr>
              <w:spacing w:after="20" w:before="20" w:line="240" w:lineRule="auto"/>
            </w:pPr>
            <w:r/>
            <w:r>
              <w:rPr>
                <w:rFonts w:ascii="Calibri" w:hAnsi="Calibri"/>
                <w:b w:val="0"/>
                <w:sz w:val="14"/>
              </w:rPr>
              <w:t>Within 5 working days of flag</w:t>
            </w:r>
          </w:p>
        </w:tc>
        <w:tc>
          <w:tcPr>
            <w:tcW w:type="dxa" w:w="850"/>
            <w:shd w:val="clear" w:fill="F7F9FB"/>
          </w:tcPr>
          <w:p>
            <w:pPr>
              <w:spacing w:after="20" w:before="20" w:line="240" w:lineRule="auto"/>
              <w:jc w:val="center"/>
            </w:pPr>
            <w:r/>
            <w:r>
              <w:rPr>
                <w:rFonts w:ascii="Calibri" w:hAnsi="Calibri"/>
                <w:b w:val="0"/>
                <w:sz w:val="14"/>
              </w:rPr>
              <w:t>Weekly</w:t>
            </w:r>
          </w:p>
        </w:tc>
        <w:tc>
          <w:tcPr>
            <w:tcW w:type="dxa" w:w="850"/>
            <w:shd w:val="clear" w:fill="F7F9FB"/>
          </w:tcPr>
          <w:p>
            <w:pPr>
              <w:spacing w:after="20" w:before="20" w:line="240" w:lineRule="auto"/>
              <w:jc w:val="center"/>
            </w:pPr>
            <w:r/>
            <w:r>
              <w:rPr>
                <w:rFonts w:ascii="Calibri" w:hAnsi="Calibri"/>
                <w:b w:val="0"/>
                <w:sz w:val="14"/>
              </w:rPr>
              <w:t>Stores</w:t>
            </w:r>
          </w:p>
        </w:tc>
      </w:tr>
      <w:tr>
        <w:tc>
          <w:tcPr>
            <w:tcW w:type="dxa" w:w="680"/>
          </w:tcPr>
          <w:p>
            <w:pPr>
              <w:spacing w:after="20" w:before="20" w:line="240" w:lineRule="auto"/>
              <w:jc w:val="center"/>
            </w:pPr>
            <w:r/>
            <w:r>
              <w:rPr>
                <w:rFonts w:ascii="Calibri" w:hAnsi="Calibri"/>
                <w:b w:val="0"/>
                <w:sz w:val="14"/>
              </w:rPr>
              <w:t>R-05</w:t>
            </w:r>
          </w:p>
        </w:tc>
        <w:tc>
          <w:tcPr>
            <w:tcW w:type="dxa" w:w="2494"/>
          </w:tcPr>
          <w:p>
            <w:pPr>
              <w:spacing w:after="20" w:before="20" w:line="240" w:lineRule="auto"/>
            </w:pPr>
            <w:r/>
            <w:r>
              <w:rPr>
                <w:rFonts w:ascii="Calibri" w:hAnsi="Calibri"/>
                <w:b w:val="0"/>
                <w:sz w:val="14"/>
              </w:rPr>
              <w:t>Which items need a fast-track or emergency purchase, and what is the cost of delay?</w:t>
            </w:r>
          </w:p>
        </w:tc>
        <w:tc>
          <w:tcPr>
            <w:tcW w:type="dxa" w:w="2154"/>
          </w:tcPr>
          <w:p>
            <w:pPr>
              <w:spacing w:after="20" w:before="20" w:line="240" w:lineRule="auto"/>
            </w:pPr>
            <w:r/>
            <w:r>
              <w:rPr>
                <w:rFonts w:ascii="Calibri" w:hAnsi="Calibri"/>
                <w:b w:val="0"/>
                <w:sz w:val="14"/>
              </w:rPr>
              <w:t>A stock-out of a critical medicine has a clinical cost, not just a financial one.</w:t>
            </w:r>
          </w:p>
        </w:tc>
        <w:tc>
          <w:tcPr>
            <w:tcW w:type="dxa" w:w="1587"/>
          </w:tcPr>
          <w:p>
            <w:pPr>
              <w:spacing w:after="20" w:before="20" w:line="240" w:lineRule="auto"/>
            </w:pPr>
            <w:r/>
            <w:r>
              <w:rPr>
                <w:rFonts w:ascii="Calibri" w:hAnsi="Calibri"/>
                <w:b w:val="0"/>
                <w:sz w:val="14"/>
              </w:rPr>
              <w:t>Cover, critical-item list, lead time, service impact</w:t>
            </w:r>
          </w:p>
        </w:tc>
        <w:tc>
          <w:tcPr>
            <w:tcW w:type="dxa" w:w="1928"/>
          </w:tcPr>
          <w:p>
            <w:pPr>
              <w:spacing w:after="20" w:before="20" w:line="240" w:lineRule="auto"/>
            </w:pPr>
            <w:r/>
            <w:r>
              <w:rPr>
                <w:rFonts w:ascii="Calibri" w:hAnsi="Calibri"/>
                <w:b w:val="0"/>
                <w:sz w:val="14"/>
              </w:rPr>
              <w:t>Flag items with cover &lt; lead time; quantify service volume at risk</w:t>
            </w:r>
          </w:p>
        </w:tc>
        <w:tc>
          <w:tcPr>
            <w:tcW w:type="dxa" w:w="907"/>
          </w:tcPr>
          <w:p>
            <w:pPr>
              <w:spacing w:after="20" w:before="20" w:line="240" w:lineRule="auto"/>
            </w:pPr>
            <w:r/>
            <w:r>
              <w:rPr>
                <w:rFonts w:ascii="Calibri" w:hAnsi="Calibri"/>
                <w:b w:val="0"/>
                <w:sz w:val="14"/>
              </w:rPr>
              <w:t>Immediately</w:t>
            </w:r>
          </w:p>
        </w:tc>
        <w:tc>
          <w:tcPr>
            <w:tcW w:type="dxa" w:w="850"/>
          </w:tcPr>
          <w:p>
            <w:pPr>
              <w:spacing w:after="20" w:before="20" w:line="240" w:lineRule="auto"/>
              <w:jc w:val="center"/>
            </w:pPr>
            <w:r/>
            <w:r>
              <w:rPr>
                <w:rFonts w:ascii="Calibri" w:hAnsi="Calibri"/>
                <w:b w:val="0"/>
                <w:sz w:val="14"/>
              </w:rPr>
              <w:t>Daily</w:t>
            </w:r>
          </w:p>
        </w:tc>
        <w:tc>
          <w:tcPr>
            <w:tcW w:type="dxa" w:w="850"/>
          </w:tcPr>
          <w:p>
            <w:pPr>
              <w:spacing w:after="20" w:before="20" w:line="240" w:lineRule="auto"/>
              <w:jc w:val="center"/>
            </w:pPr>
            <w:r/>
            <w:r>
              <w:rPr>
                <w:rFonts w:ascii="Calibri" w:hAnsi="Calibri"/>
                <w:b w:val="0"/>
                <w:sz w:val="14"/>
              </w:rPr>
              <w:t>Head of Procurement</w:t>
            </w:r>
          </w:p>
        </w:tc>
      </w:tr>
      <w:tr>
        <w:tc>
          <w:tcPr>
            <w:tcW w:type="dxa" w:w="680"/>
            <w:shd w:val="clear" w:fill="F7F9FB"/>
          </w:tcPr>
          <w:p>
            <w:pPr>
              <w:spacing w:after="20" w:before="20" w:line="240" w:lineRule="auto"/>
              <w:jc w:val="center"/>
            </w:pPr>
            <w:r/>
            <w:r>
              <w:rPr>
                <w:rFonts w:ascii="Calibri" w:hAnsi="Calibri"/>
                <w:b w:val="0"/>
                <w:sz w:val="14"/>
              </w:rPr>
              <w:t>R-06</w:t>
            </w:r>
          </w:p>
        </w:tc>
        <w:tc>
          <w:tcPr>
            <w:tcW w:type="dxa" w:w="2494"/>
            <w:shd w:val="clear" w:fill="F7F9FB"/>
          </w:tcPr>
          <w:p>
            <w:pPr>
              <w:spacing w:after="20" w:before="20" w:line="240" w:lineRule="auto"/>
            </w:pPr>
            <w:r/>
            <w:r>
              <w:rPr>
                <w:rFonts w:ascii="Calibri" w:hAnsi="Calibri"/>
                <w:b w:val="0"/>
                <w:sz w:val="14"/>
              </w:rPr>
              <w:t>What should the project manager do about consumption variance?</w:t>
            </w:r>
          </w:p>
        </w:tc>
        <w:tc>
          <w:tcPr>
            <w:tcW w:type="dxa" w:w="2154"/>
            <w:shd w:val="clear" w:fill="F7F9FB"/>
          </w:tcPr>
          <w:p>
            <w:pPr>
              <w:spacing w:after="20" w:before="20" w:line="240" w:lineRule="auto"/>
            </w:pPr>
            <w:r/>
            <w:r>
              <w:rPr>
                <w:rFonts w:ascii="Calibri" w:hAnsi="Calibri"/>
                <w:b w:val="0"/>
                <w:sz w:val="14"/>
              </w:rPr>
              <w:t>Turns a variance into a specific, owned action.</w:t>
            </w:r>
          </w:p>
        </w:tc>
        <w:tc>
          <w:tcPr>
            <w:tcW w:type="dxa" w:w="1587"/>
            <w:shd w:val="clear" w:fill="F7F9FB"/>
          </w:tcPr>
          <w:p>
            <w:pPr>
              <w:spacing w:after="20" w:before="20" w:line="240" w:lineRule="auto"/>
            </w:pPr>
            <w:r/>
            <w:r>
              <w:rPr>
                <w:rFonts w:ascii="Calibri" w:hAnsi="Calibri"/>
                <w:b w:val="0"/>
                <w:sz w:val="14"/>
              </w:rPr>
              <w:t>Variance, service volumes, category mix</w:t>
            </w:r>
          </w:p>
        </w:tc>
        <w:tc>
          <w:tcPr>
            <w:tcW w:type="dxa" w:w="1928"/>
            <w:shd w:val="clear" w:fill="F7F9FB"/>
          </w:tcPr>
          <w:p>
            <w:pPr>
              <w:spacing w:after="20" w:before="20" w:line="240" w:lineRule="auto"/>
            </w:pPr>
            <w:r/>
            <w:r>
              <w:rPr>
                <w:rFonts w:ascii="Calibri" w:hAnsi="Calibri"/>
                <w:b w:val="0"/>
                <w:sz w:val="14"/>
              </w:rPr>
              <w:t>Choose from: revise activity plan, re-post mis-coded issues, request budget reallocation, tighten issue control</w:t>
            </w:r>
          </w:p>
        </w:tc>
        <w:tc>
          <w:tcPr>
            <w:tcW w:type="dxa" w:w="907"/>
            <w:shd w:val="clear" w:fill="F7F9FB"/>
          </w:tcPr>
          <w:p>
            <w:pPr>
              <w:spacing w:after="20" w:before="20" w:line="240" w:lineRule="auto"/>
            </w:pPr>
            <w:r/>
            <w:r>
              <w:rPr>
                <w:rFonts w:ascii="Calibri" w:hAnsi="Calibri"/>
                <w:b w:val="0"/>
                <w:sz w:val="14"/>
              </w:rPr>
              <w:t>Within 3 working days of close</w:t>
            </w:r>
          </w:p>
        </w:tc>
        <w:tc>
          <w:tcPr>
            <w:tcW w:type="dxa" w:w="850"/>
            <w:shd w:val="clear" w:fill="F7F9FB"/>
          </w:tcPr>
          <w:p>
            <w:pPr>
              <w:spacing w:after="20" w:before="20" w:line="240" w:lineRule="auto"/>
              <w:jc w:val="center"/>
            </w:pPr>
            <w:r/>
            <w:r>
              <w:rPr>
                <w:rFonts w:ascii="Calibri" w:hAnsi="Calibri"/>
                <w:b w:val="0"/>
                <w:sz w:val="14"/>
              </w:rPr>
              <w:t>Monthly</w:t>
            </w:r>
          </w:p>
        </w:tc>
        <w:tc>
          <w:tcPr>
            <w:tcW w:type="dxa" w:w="850"/>
            <w:shd w:val="clear" w:fill="F7F9FB"/>
          </w:tcPr>
          <w:p>
            <w:pPr>
              <w:spacing w:after="20" w:before="20" w:line="240" w:lineRule="auto"/>
              <w:jc w:val="center"/>
            </w:pPr>
            <w:r/>
            <w:r>
              <w:rPr>
                <w:rFonts w:ascii="Calibri" w:hAnsi="Calibri"/>
                <w:b w:val="0"/>
                <w:sz w:val="14"/>
              </w:rPr>
              <w:t>Project manager</w:t>
            </w:r>
          </w:p>
        </w:tc>
      </w:tr>
      <w:tr>
        <w:tc>
          <w:tcPr>
            <w:tcW w:type="dxa" w:w="680"/>
          </w:tcPr>
          <w:p>
            <w:pPr>
              <w:spacing w:after="20" w:before="20" w:line="240" w:lineRule="auto"/>
              <w:jc w:val="center"/>
            </w:pPr>
            <w:r/>
            <w:r>
              <w:rPr>
                <w:rFonts w:ascii="Calibri" w:hAnsi="Calibri"/>
                <w:b w:val="0"/>
                <w:sz w:val="14"/>
              </w:rPr>
              <w:t>R-07</w:t>
            </w:r>
          </w:p>
        </w:tc>
        <w:tc>
          <w:tcPr>
            <w:tcW w:type="dxa" w:w="2494"/>
          </w:tcPr>
          <w:p>
            <w:pPr>
              <w:spacing w:after="20" w:before="20" w:line="240" w:lineRule="auto"/>
            </w:pPr>
            <w:r/>
            <w:r>
              <w:rPr>
                <w:rFonts w:ascii="Calibri" w:hAnsi="Calibri"/>
                <w:b w:val="0"/>
                <w:sz w:val="14"/>
              </w:rPr>
              <w:t>How should the budget be reallocated between categories or projects?</w:t>
            </w:r>
          </w:p>
        </w:tc>
        <w:tc>
          <w:tcPr>
            <w:tcW w:type="dxa" w:w="2154"/>
          </w:tcPr>
          <w:p>
            <w:pPr>
              <w:spacing w:after="20" w:before="20" w:line="240" w:lineRule="auto"/>
            </w:pPr>
            <w:r/>
            <w:r>
              <w:rPr>
                <w:rFonts w:ascii="Calibri" w:hAnsi="Calibri"/>
                <w:b w:val="0"/>
                <w:sz w:val="14"/>
              </w:rPr>
              <w:t>Realigns the envelope to actual need without new money.</w:t>
            </w:r>
          </w:p>
        </w:tc>
        <w:tc>
          <w:tcPr>
            <w:tcW w:type="dxa" w:w="1587"/>
          </w:tcPr>
          <w:p>
            <w:pPr>
              <w:spacing w:after="20" w:before="20" w:line="240" w:lineRule="auto"/>
            </w:pPr>
            <w:r/>
            <w:r>
              <w:rPr>
                <w:rFonts w:ascii="Calibri" w:hAnsi="Calibri"/>
                <w:b w:val="0"/>
                <w:sz w:val="14"/>
              </w:rPr>
              <w:t>Budget, consumption, projection, donor rules</w:t>
            </w:r>
          </w:p>
        </w:tc>
        <w:tc>
          <w:tcPr>
            <w:tcW w:type="dxa" w:w="1928"/>
          </w:tcPr>
          <w:p>
            <w:pPr>
              <w:spacing w:after="20" w:before="20" w:line="240" w:lineRule="auto"/>
            </w:pPr>
            <w:r/>
            <w:r>
              <w:rPr>
                <w:rFonts w:ascii="Calibri" w:hAnsi="Calibri"/>
                <w:b w:val="0"/>
                <w:sz w:val="14"/>
              </w:rPr>
              <w:t>Move from under-utilised to over-committed lines, subject to donor flexibility</w:t>
            </w:r>
          </w:p>
        </w:tc>
        <w:tc>
          <w:tcPr>
            <w:tcW w:type="dxa" w:w="907"/>
          </w:tcPr>
          <w:p>
            <w:pPr>
              <w:spacing w:after="20" w:before="20" w:line="240" w:lineRule="auto"/>
            </w:pPr>
            <w:r/>
            <w:r>
              <w:rPr>
                <w:rFonts w:ascii="Calibri" w:hAnsi="Calibri"/>
                <w:b w:val="0"/>
                <w:sz w:val="14"/>
              </w:rPr>
              <w:t>Any &gt; 15% variance</w:t>
            </w:r>
          </w:p>
        </w:tc>
        <w:tc>
          <w:tcPr>
            <w:tcW w:type="dxa" w:w="850"/>
          </w:tcPr>
          <w:p>
            <w:pPr>
              <w:spacing w:after="20" w:before="20" w:line="240" w:lineRule="auto"/>
              <w:jc w:val="center"/>
            </w:pPr>
            <w:r/>
            <w:r>
              <w:rPr>
                <w:rFonts w:ascii="Calibri" w:hAnsi="Calibri"/>
                <w:b w:val="0"/>
                <w:sz w:val="14"/>
              </w:rPr>
              <w:t>Quarterly</w:t>
            </w:r>
          </w:p>
        </w:tc>
        <w:tc>
          <w:tcPr>
            <w:tcW w:type="dxa" w:w="850"/>
          </w:tcPr>
          <w:p>
            <w:pPr>
              <w:spacing w:after="20" w:before="20" w:line="240" w:lineRule="auto"/>
              <w:jc w:val="center"/>
            </w:pPr>
            <w:r/>
            <w:r>
              <w:rPr>
                <w:rFonts w:ascii="Calibri" w:hAnsi="Calibri"/>
                <w:b w:val="0"/>
                <w:sz w:val="14"/>
              </w:rPr>
              <w:t>Finance</w:t>
            </w:r>
          </w:p>
        </w:tc>
      </w:tr>
      <w:tr>
        <w:tc>
          <w:tcPr>
            <w:tcW w:type="dxa" w:w="680"/>
            <w:shd w:val="clear" w:fill="F7F9FB"/>
          </w:tcPr>
          <w:p>
            <w:pPr>
              <w:spacing w:after="20" w:before="20" w:line="240" w:lineRule="auto"/>
              <w:jc w:val="center"/>
            </w:pPr>
            <w:r/>
            <w:r>
              <w:rPr>
                <w:rFonts w:ascii="Calibri" w:hAnsi="Calibri"/>
                <w:b w:val="0"/>
                <w:sz w:val="14"/>
              </w:rPr>
              <w:t>R-08</w:t>
            </w:r>
          </w:p>
        </w:tc>
        <w:tc>
          <w:tcPr>
            <w:tcW w:type="dxa" w:w="2494"/>
            <w:shd w:val="clear" w:fill="F7F9FB"/>
          </w:tcPr>
          <w:p>
            <w:pPr>
              <w:spacing w:after="20" w:before="20" w:line="240" w:lineRule="auto"/>
            </w:pPr>
            <w:r/>
            <w:r>
              <w:rPr>
                <w:rFonts w:ascii="Calibri" w:hAnsi="Calibri"/>
                <w:b w:val="0"/>
                <w:sz w:val="14"/>
              </w:rPr>
              <w:t>What should be done about unattributed consumption?</w:t>
            </w:r>
          </w:p>
        </w:tc>
        <w:tc>
          <w:tcPr>
            <w:tcW w:type="dxa" w:w="2154"/>
            <w:shd w:val="clear" w:fill="F7F9FB"/>
          </w:tcPr>
          <w:p>
            <w:pPr>
              <w:spacing w:after="20" w:before="20" w:line="240" w:lineRule="auto"/>
            </w:pPr>
            <w:r/>
            <w:r>
              <w:rPr>
                <w:rFonts w:ascii="Calibri" w:hAnsi="Calibri"/>
                <w:b w:val="0"/>
                <w:sz w:val="14"/>
              </w:rPr>
              <w:t>Attribution is a control issue that will recur unless the process is fixed.</w:t>
            </w:r>
          </w:p>
        </w:tc>
        <w:tc>
          <w:tcPr>
            <w:tcW w:type="dxa" w:w="1587"/>
            <w:shd w:val="clear" w:fill="F7F9FB"/>
          </w:tcPr>
          <w:p>
            <w:pPr>
              <w:spacing w:after="20" w:before="20" w:line="240" w:lineRule="auto"/>
            </w:pPr>
            <w:r/>
            <w:r>
              <w:rPr>
                <w:rFonts w:ascii="Calibri" w:hAnsi="Calibri"/>
                <w:b w:val="0"/>
                <w:sz w:val="14"/>
              </w:rPr>
              <w:t>Unattributed issues by user, warehouse, service point</w:t>
            </w:r>
          </w:p>
        </w:tc>
        <w:tc>
          <w:tcPr>
            <w:tcW w:type="dxa" w:w="1928"/>
            <w:shd w:val="clear" w:fill="F7F9FB"/>
          </w:tcPr>
          <w:p>
            <w:pPr>
              <w:spacing w:after="20" w:before="20" w:line="240" w:lineRule="auto"/>
            </w:pPr>
            <w:r/>
            <w:r>
              <w:rPr>
                <w:rFonts w:ascii="Calibri" w:hAnsi="Calibri"/>
                <w:b w:val="0"/>
                <w:sz w:val="14"/>
              </w:rPr>
              <w:t>Correct retroactively where evidence exists; make project code mandatory at issue; retrain users</w:t>
            </w:r>
          </w:p>
        </w:tc>
        <w:tc>
          <w:tcPr>
            <w:tcW w:type="dxa" w:w="907"/>
            <w:shd w:val="clear" w:fill="F7F9FB"/>
          </w:tcPr>
          <w:p>
            <w:pPr>
              <w:spacing w:after="20" w:before="20" w:line="240" w:lineRule="auto"/>
            </w:pPr>
            <w:r/>
            <w:r>
              <w:rPr>
                <w:rFonts w:ascii="Calibri" w:hAnsi="Calibri"/>
                <w:b w:val="0"/>
                <w:sz w:val="14"/>
              </w:rPr>
              <w:t>P-10 breach</w:t>
            </w:r>
          </w:p>
        </w:tc>
        <w:tc>
          <w:tcPr>
            <w:tcW w:type="dxa" w:w="850"/>
            <w:shd w:val="clear" w:fill="F7F9FB"/>
          </w:tcPr>
          <w:p>
            <w:pPr>
              <w:spacing w:after="20" w:before="20" w:line="240" w:lineRule="auto"/>
              <w:jc w:val="center"/>
            </w:pPr>
            <w:r/>
            <w:r>
              <w:rPr>
                <w:rFonts w:ascii="Calibri" w:hAnsi="Calibri"/>
                <w:b w:val="0"/>
                <w:sz w:val="14"/>
              </w:rPr>
              <w:t>Monthly</w:t>
            </w:r>
          </w:p>
        </w:tc>
        <w:tc>
          <w:tcPr>
            <w:tcW w:type="dxa" w:w="850"/>
            <w:shd w:val="clear" w:fill="F7F9FB"/>
          </w:tcPr>
          <w:p>
            <w:pPr>
              <w:spacing w:after="20" w:before="20" w:line="240" w:lineRule="auto"/>
              <w:jc w:val="center"/>
            </w:pPr>
            <w:r/>
            <w:r>
              <w:rPr>
                <w:rFonts w:ascii="Calibri" w:hAnsi="Calibri"/>
                <w:b w:val="0"/>
                <w:sz w:val="14"/>
              </w:rPr>
              <w:t>Procurement + IT</w:t>
            </w:r>
          </w:p>
        </w:tc>
      </w:tr>
      <w:tr>
        <w:tc>
          <w:tcPr>
            <w:tcW w:type="dxa" w:w="680"/>
          </w:tcPr>
          <w:p>
            <w:pPr>
              <w:spacing w:after="20" w:before="20" w:line="240" w:lineRule="auto"/>
              <w:jc w:val="center"/>
            </w:pPr>
            <w:r/>
            <w:r>
              <w:rPr>
                <w:rFonts w:ascii="Calibri" w:hAnsi="Calibri"/>
                <w:b w:val="0"/>
                <w:sz w:val="14"/>
              </w:rPr>
              <w:t>R-09</w:t>
            </w:r>
          </w:p>
        </w:tc>
        <w:tc>
          <w:tcPr>
            <w:tcW w:type="dxa" w:w="2494"/>
          </w:tcPr>
          <w:p>
            <w:pPr>
              <w:spacing w:after="20" w:before="20" w:line="240" w:lineRule="auto"/>
            </w:pPr>
            <w:r/>
            <w:r>
              <w:rPr>
                <w:rFonts w:ascii="Calibri" w:hAnsi="Calibri"/>
                <w:b w:val="0"/>
                <w:sz w:val="14"/>
              </w:rPr>
              <w:t>Which suppliers should be retained, renegotiated with, or replaced?</w:t>
            </w:r>
          </w:p>
        </w:tc>
        <w:tc>
          <w:tcPr>
            <w:tcW w:type="dxa" w:w="2154"/>
          </w:tcPr>
          <w:p>
            <w:pPr>
              <w:spacing w:after="20" w:before="20" w:line="240" w:lineRule="auto"/>
            </w:pPr>
            <w:r/>
            <w:r>
              <w:rPr>
                <w:rFonts w:ascii="Calibri" w:hAnsi="Calibri"/>
                <w:b w:val="0"/>
                <w:sz w:val="14"/>
              </w:rPr>
              <w:t>Improves price and reliability where the data shows underperformance.</w:t>
            </w:r>
          </w:p>
        </w:tc>
        <w:tc>
          <w:tcPr>
            <w:tcW w:type="dxa" w:w="1587"/>
          </w:tcPr>
          <w:p>
            <w:pPr>
              <w:spacing w:after="20" w:before="20" w:line="240" w:lineRule="auto"/>
            </w:pPr>
            <w:r/>
            <w:r>
              <w:rPr>
                <w:rFonts w:ascii="Calibri" w:hAnsi="Calibri"/>
                <w:b w:val="0"/>
                <w:sz w:val="14"/>
              </w:rPr>
              <w:t>Price, lead time, fulfilment rate, value</w:t>
            </w:r>
          </w:p>
        </w:tc>
        <w:tc>
          <w:tcPr>
            <w:tcW w:type="dxa" w:w="1928"/>
          </w:tcPr>
          <w:p>
            <w:pPr>
              <w:spacing w:after="20" w:before="20" w:line="240" w:lineRule="auto"/>
            </w:pPr>
            <w:r/>
            <w:r>
              <w:rPr>
                <w:rFonts w:ascii="Calibri" w:hAnsi="Calibri"/>
                <w:b w:val="0"/>
                <w:sz w:val="14"/>
              </w:rPr>
              <w:t>Rank suppliers; set negotiation objectives; initiate alternative sourcing where persistent</w:t>
            </w:r>
          </w:p>
        </w:tc>
        <w:tc>
          <w:tcPr>
            <w:tcW w:type="dxa" w:w="907"/>
          </w:tcPr>
          <w:p>
            <w:pPr>
              <w:spacing w:after="20" w:before="20" w:line="240" w:lineRule="auto"/>
            </w:pPr>
            <w:r/>
            <w:r>
              <w:rPr>
                <w:rFonts w:ascii="Calibri" w:hAnsi="Calibri"/>
                <w:b w:val="0"/>
                <w:sz w:val="14"/>
              </w:rPr>
              <w:t>Quarterly</w:t>
            </w:r>
          </w:p>
        </w:tc>
        <w:tc>
          <w:tcPr>
            <w:tcW w:type="dxa" w:w="850"/>
          </w:tcPr>
          <w:p>
            <w:pPr>
              <w:spacing w:after="20" w:before="20" w:line="240" w:lineRule="auto"/>
              <w:jc w:val="center"/>
            </w:pPr>
            <w:r/>
            <w:r>
              <w:rPr>
                <w:rFonts w:ascii="Calibri" w:hAnsi="Calibri"/>
                <w:b w:val="0"/>
                <w:sz w:val="14"/>
              </w:rPr>
              <w:t>Quarterly</w:t>
            </w:r>
          </w:p>
        </w:tc>
        <w:tc>
          <w:tcPr>
            <w:tcW w:type="dxa" w:w="850"/>
          </w:tcPr>
          <w:p>
            <w:pPr>
              <w:spacing w:after="20" w:before="20" w:line="240" w:lineRule="auto"/>
              <w:jc w:val="center"/>
            </w:pPr>
            <w:r/>
            <w:r>
              <w:rPr>
                <w:rFonts w:ascii="Calibri" w:hAnsi="Calibri"/>
                <w:b w:val="0"/>
                <w:sz w:val="14"/>
              </w:rPr>
              <w:t>Procurement</w:t>
            </w:r>
          </w:p>
        </w:tc>
      </w:tr>
      <w:tr>
        <w:tc>
          <w:tcPr>
            <w:tcW w:type="dxa" w:w="680"/>
            <w:shd w:val="clear" w:fill="F7F9FB"/>
          </w:tcPr>
          <w:p>
            <w:pPr>
              <w:spacing w:after="20" w:before="20" w:line="240" w:lineRule="auto"/>
              <w:jc w:val="center"/>
            </w:pPr>
            <w:r/>
            <w:r>
              <w:rPr>
                <w:rFonts w:ascii="Calibri" w:hAnsi="Calibri"/>
                <w:b w:val="0"/>
                <w:sz w:val="14"/>
              </w:rPr>
              <w:t>R-10</w:t>
            </w:r>
          </w:p>
        </w:tc>
        <w:tc>
          <w:tcPr>
            <w:tcW w:type="dxa" w:w="2494"/>
            <w:shd w:val="clear" w:fill="F7F9FB"/>
          </w:tcPr>
          <w:p>
            <w:pPr>
              <w:spacing w:after="20" w:before="20" w:line="240" w:lineRule="auto"/>
            </w:pPr>
            <w:r/>
            <w:r>
              <w:rPr>
                <w:rFonts w:ascii="Calibri" w:hAnsi="Calibri"/>
                <w:b w:val="0"/>
                <w:sz w:val="14"/>
              </w:rPr>
              <w:t>What price negotiation target should be set for the next contract cycle?</w:t>
            </w:r>
          </w:p>
        </w:tc>
        <w:tc>
          <w:tcPr>
            <w:tcW w:type="dxa" w:w="2154"/>
            <w:shd w:val="clear" w:fill="F7F9FB"/>
          </w:tcPr>
          <w:p>
            <w:pPr>
              <w:spacing w:after="20" w:before="20" w:line="240" w:lineRule="auto"/>
            </w:pPr>
            <w:r/>
            <w:r>
              <w:rPr>
                <w:rFonts w:ascii="Calibri" w:hAnsi="Calibri"/>
                <w:b w:val="0"/>
                <w:sz w:val="14"/>
              </w:rPr>
              <w:t>Converts price analysis into a negotiating position.</w:t>
            </w:r>
          </w:p>
        </w:tc>
        <w:tc>
          <w:tcPr>
            <w:tcW w:type="dxa" w:w="1587"/>
            <w:shd w:val="clear" w:fill="F7F9FB"/>
          </w:tcPr>
          <w:p>
            <w:pPr>
              <w:spacing w:after="20" w:before="20" w:line="240" w:lineRule="auto"/>
            </w:pPr>
            <w:r/>
            <w:r>
              <w:rPr>
                <w:rFonts w:ascii="Calibri" w:hAnsi="Calibri"/>
                <w:b w:val="0"/>
                <w:sz w:val="14"/>
              </w:rPr>
              <w:t>Price history, supplier comparisons, inflation</w:t>
            </w:r>
          </w:p>
        </w:tc>
        <w:tc>
          <w:tcPr>
            <w:tcW w:type="dxa" w:w="1928"/>
            <w:shd w:val="clear" w:fill="F7F9FB"/>
          </w:tcPr>
          <w:p>
            <w:pPr>
              <w:spacing w:after="20" w:before="20" w:line="240" w:lineRule="auto"/>
            </w:pPr>
            <w:r/>
            <w:r>
              <w:rPr>
                <w:rFonts w:ascii="Calibri" w:hAnsi="Calibri"/>
                <w:b w:val="0"/>
                <w:sz w:val="14"/>
              </w:rPr>
              <w:t>Set target price from best-performing comparable and trend</w:t>
            </w:r>
          </w:p>
        </w:tc>
        <w:tc>
          <w:tcPr>
            <w:tcW w:type="dxa" w:w="907"/>
            <w:shd w:val="clear" w:fill="F7F9FB"/>
          </w:tcPr>
          <w:p>
            <w:pPr>
              <w:spacing w:after="20" w:before="20" w:line="240" w:lineRule="auto"/>
            </w:pPr>
            <w:r/>
            <w:r>
              <w:rPr>
                <w:rFonts w:ascii="Calibri" w:hAnsi="Calibri"/>
                <w:b w:val="0"/>
                <w:sz w:val="14"/>
              </w:rPr>
              <w:t>P-09</w:t>
            </w:r>
          </w:p>
        </w:tc>
        <w:tc>
          <w:tcPr>
            <w:tcW w:type="dxa" w:w="850"/>
            <w:shd w:val="clear" w:fill="F7F9FB"/>
          </w:tcPr>
          <w:p>
            <w:pPr>
              <w:spacing w:after="20" w:before="20" w:line="240" w:lineRule="auto"/>
              <w:jc w:val="center"/>
            </w:pPr>
            <w:r/>
            <w:r>
              <w:rPr>
                <w:rFonts w:ascii="Calibri" w:hAnsi="Calibri"/>
                <w:b w:val="0"/>
                <w:sz w:val="14"/>
              </w:rPr>
              <w:t>Quarterly</w:t>
            </w:r>
          </w:p>
        </w:tc>
        <w:tc>
          <w:tcPr>
            <w:tcW w:type="dxa" w:w="850"/>
            <w:shd w:val="clear" w:fill="F7F9FB"/>
          </w:tcPr>
          <w:p>
            <w:pPr>
              <w:spacing w:after="20" w:before="20" w:line="240" w:lineRule="auto"/>
              <w:jc w:val="center"/>
            </w:pPr>
            <w:r/>
            <w:r>
              <w:rPr>
                <w:rFonts w:ascii="Calibri" w:hAnsi="Calibri"/>
                <w:b w:val="0"/>
                <w:sz w:val="14"/>
              </w:rPr>
              <w:t>Procurement</w:t>
            </w:r>
          </w:p>
        </w:tc>
      </w:tr>
      <w:tr>
        <w:tc>
          <w:tcPr>
            <w:tcW w:type="dxa" w:w="680"/>
          </w:tcPr>
          <w:p>
            <w:pPr>
              <w:spacing w:after="20" w:before="20" w:line="240" w:lineRule="auto"/>
              <w:jc w:val="center"/>
            </w:pPr>
            <w:r/>
            <w:r>
              <w:rPr>
                <w:rFonts w:ascii="Calibri" w:hAnsi="Calibri"/>
                <w:b w:val="0"/>
                <w:sz w:val="14"/>
              </w:rPr>
              <w:t>R-11</w:t>
            </w:r>
          </w:p>
        </w:tc>
        <w:tc>
          <w:tcPr>
            <w:tcW w:type="dxa" w:w="2494"/>
          </w:tcPr>
          <w:p>
            <w:pPr>
              <w:spacing w:after="20" w:before="20" w:line="240" w:lineRule="auto"/>
            </w:pPr>
            <w:r/>
            <w:r>
              <w:rPr>
                <w:rFonts w:ascii="Calibri" w:hAnsi="Calibri"/>
                <w:b w:val="0"/>
                <w:sz w:val="14"/>
              </w:rPr>
              <w:t>Which master-data corrections must be completed before the next refresh?</w:t>
            </w:r>
          </w:p>
        </w:tc>
        <w:tc>
          <w:tcPr>
            <w:tcW w:type="dxa" w:w="2154"/>
          </w:tcPr>
          <w:p>
            <w:pPr>
              <w:spacing w:after="20" w:before="20" w:line="240" w:lineRule="auto"/>
            </w:pPr>
            <w:r/>
            <w:r>
              <w:rPr>
                <w:rFonts w:ascii="Calibri" w:hAnsi="Calibri"/>
                <w:b w:val="0"/>
                <w:sz w:val="14"/>
              </w:rPr>
              <w:t>Poor master data silently corrupts every downstream KPI.</w:t>
            </w:r>
          </w:p>
        </w:tc>
        <w:tc>
          <w:tcPr>
            <w:tcW w:type="dxa" w:w="1587"/>
          </w:tcPr>
          <w:p>
            <w:pPr>
              <w:spacing w:after="20" w:before="20" w:line="240" w:lineRule="auto"/>
            </w:pPr>
            <w:r/>
            <w:r>
              <w:rPr>
                <w:rFonts w:ascii="Calibri" w:hAnsi="Calibri"/>
                <w:b w:val="0"/>
                <w:sz w:val="14"/>
              </w:rPr>
              <w:t>Exception register: items, projects, suppliers</w:t>
            </w:r>
          </w:p>
        </w:tc>
        <w:tc>
          <w:tcPr>
            <w:tcW w:type="dxa" w:w="1928"/>
          </w:tcPr>
          <w:p>
            <w:pPr>
              <w:spacing w:after="20" w:before="20" w:line="240" w:lineRule="auto"/>
            </w:pPr>
            <w:r/>
            <w:r>
              <w:rPr>
                <w:rFonts w:ascii="Calibri" w:hAnsi="Calibri"/>
                <w:b w:val="0"/>
                <w:sz w:val="14"/>
              </w:rPr>
              <w:t>Assign owner and due date per correction; re-check at next load</w:t>
            </w:r>
          </w:p>
        </w:tc>
        <w:tc>
          <w:tcPr>
            <w:tcW w:type="dxa" w:w="907"/>
          </w:tcPr>
          <w:p>
            <w:pPr>
              <w:spacing w:after="20" w:before="20" w:line="240" w:lineRule="auto"/>
            </w:pPr>
            <w:r/>
            <w:r>
              <w:rPr>
                <w:rFonts w:ascii="Calibri" w:hAnsi="Calibri"/>
                <w:b w:val="0"/>
                <w:sz w:val="14"/>
              </w:rPr>
              <w:t>Before next refresh</w:t>
            </w:r>
          </w:p>
        </w:tc>
        <w:tc>
          <w:tcPr>
            <w:tcW w:type="dxa" w:w="850"/>
          </w:tcPr>
          <w:p>
            <w:pPr>
              <w:spacing w:after="20" w:before="20" w:line="240" w:lineRule="auto"/>
              <w:jc w:val="center"/>
            </w:pPr>
            <w:r/>
            <w:r>
              <w:rPr>
                <w:rFonts w:ascii="Calibri" w:hAnsi="Calibri"/>
                <w:b w:val="0"/>
                <w:sz w:val="14"/>
              </w:rPr>
              <w:t>Monthly</w:t>
            </w:r>
          </w:p>
        </w:tc>
        <w:tc>
          <w:tcPr>
            <w:tcW w:type="dxa" w:w="850"/>
          </w:tcPr>
          <w:p>
            <w:pPr>
              <w:spacing w:after="20" w:before="20" w:line="240" w:lineRule="auto"/>
              <w:jc w:val="center"/>
            </w:pPr>
            <w:r/>
            <w:r>
              <w:rPr>
                <w:rFonts w:ascii="Calibri" w:hAnsi="Calibri"/>
                <w:b w:val="0"/>
                <w:sz w:val="14"/>
              </w:rPr>
              <w:t>IT + Procurement</w:t>
            </w:r>
          </w:p>
        </w:tc>
      </w:tr>
      <w:tr>
        <w:tc>
          <w:tcPr>
            <w:tcW w:type="dxa" w:w="680"/>
            <w:shd w:val="clear" w:fill="F7F9FB"/>
          </w:tcPr>
          <w:p>
            <w:pPr>
              <w:spacing w:after="20" w:before="20" w:line="240" w:lineRule="auto"/>
              <w:jc w:val="center"/>
            </w:pPr>
            <w:r/>
            <w:r>
              <w:rPr>
                <w:rFonts w:ascii="Calibri" w:hAnsi="Calibri"/>
                <w:b w:val="0"/>
                <w:sz w:val="14"/>
              </w:rPr>
              <w:t>R-12</w:t>
            </w:r>
          </w:p>
        </w:tc>
        <w:tc>
          <w:tcPr>
            <w:tcW w:type="dxa" w:w="2494"/>
            <w:shd w:val="clear" w:fill="F7F9FB"/>
          </w:tcPr>
          <w:p>
            <w:pPr>
              <w:spacing w:after="20" w:before="20" w:line="240" w:lineRule="auto"/>
            </w:pPr>
            <w:r/>
            <w:r>
              <w:rPr>
                <w:rFonts w:ascii="Calibri" w:hAnsi="Calibri"/>
                <w:b w:val="0"/>
                <w:sz w:val="14"/>
              </w:rPr>
              <w:t>What should happen when a data-quality gate fails?</w:t>
            </w:r>
          </w:p>
        </w:tc>
        <w:tc>
          <w:tcPr>
            <w:tcW w:type="dxa" w:w="2154"/>
            <w:shd w:val="clear" w:fill="F7F9FB"/>
          </w:tcPr>
          <w:p>
            <w:pPr>
              <w:spacing w:after="20" w:before="20" w:line="240" w:lineRule="auto"/>
            </w:pPr>
            <w:r/>
            <w:r>
              <w:rPr>
                <w:rFonts w:ascii="Calibri" w:hAnsi="Calibri"/>
                <w:b w:val="0"/>
                <w:sz w:val="14"/>
              </w:rPr>
              <w:t>Prevents decisions being taken on corrupt numbers.</w:t>
            </w:r>
          </w:p>
        </w:tc>
        <w:tc>
          <w:tcPr>
            <w:tcW w:type="dxa" w:w="1587"/>
            <w:shd w:val="clear" w:fill="F7F9FB"/>
          </w:tcPr>
          <w:p>
            <w:pPr>
              <w:spacing w:after="20" w:before="20" w:line="240" w:lineRule="auto"/>
            </w:pPr>
            <w:r/>
            <w:r>
              <w:rPr>
                <w:rFonts w:ascii="Calibri" w:hAnsi="Calibri"/>
                <w:b w:val="0"/>
                <w:sz w:val="14"/>
              </w:rPr>
              <w:t>Control-total reconciliation, load log</w:t>
            </w:r>
          </w:p>
        </w:tc>
        <w:tc>
          <w:tcPr>
            <w:tcW w:type="dxa" w:w="1928"/>
            <w:shd w:val="clear" w:fill="F7F9FB"/>
          </w:tcPr>
          <w:p>
            <w:pPr>
              <w:spacing w:after="20" w:before="20" w:line="240" w:lineRule="auto"/>
            </w:pPr>
            <w:r/>
            <w:r>
              <w:rPr>
                <w:rFonts w:ascii="Calibri" w:hAnsi="Calibri"/>
                <w:b w:val="0"/>
                <w:sz w:val="14"/>
              </w:rPr>
              <w:t>Block publication, retain prior snapshot, notify owner, re-run after correction</w:t>
            </w:r>
          </w:p>
        </w:tc>
        <w:tc>
          <w:tcPr>
            <w:tcW w:type="dxa" w:w="907"/>
            <w:shd w:val="clear" w:fill="F7F9FB"/>
          </w:tcPr>
          <w:p>
            <w:pPr>
              <w:spacing w:after="20" w:before="20" w:line="240" w:lineRule="auto"/>
            </w:pPr>
            <w:r/>
            <w:r>
              <w:rPr>
                <w:rFonts w:ascii="Calibri" w:hAnsi="Calibri"/>
                <w:b w:val="0"/>
                <w:sz w:val="14"/>
              </w:rPr>
              <w:t>Every load</w:t>
            </w:r>
          </w:p>
        </w:tc>
        <w:tc>
          <w:tcPr>
            <w:tcW w:type="dxa" w:w="850"/>
            <w:shd w:val="clear" w:fill="F7F9FB"/>
          </w:tcPr>
          <w:p>
            <w:pPr>
              <w:spacing w:after="20" w:before="20" w:line="240" w:lineRule="auto"/>
              <w:jc w:val="center"/>
            </w:pPr>
            <w:r/>
            <w:r>
              <w:rPr>
                <w:rFonts w:ascii="Calibri" w:hAnsi="Calibri"/>
                <w:b w:val="0"/>
                <w:sz w:val="14"/>
              </w:rPr>
              <w:t>Daily</w:t>
            </w:r>
          </w:p>
        </w:tc>
        <w:tc>
          <w:tcPr>
            <w:tcW w:type="dxa" w:w="850"/>
            <w:shd w:val="clear" w:fill="F7F9FB"/>
          </w:tcPr>
          <w:p>
            <w:pPr>
              <w:spacing w:after="20" w:before="20" w:line="240" w:lineRule="auto"/>
              <w:jc w:val="center"/>
            </w:pPr>
            <w:r/>
            <w:r>
              <w:rPr>
                <w:rFonts w:ascii="Calibri" w:hAnsi="Calibri"/>
                <w:b w:val="0"/>
                <w:sz w:val="14"/>
              </w:rPr>
              <w:t>IT / BI</w:t>
            </w:r>
          </w:p>
        </w:tc>
      </w:tr>
      <w:tr>
        <w:tc>
          <w:tcPr>
            <w:tcW w:type="dxa" w:w="680"/>
          </w:tcPr>
          <w:p>
            <w:pPr>
              <w:spacing w:after="20" w:before="20" w:line="240" w:lineRule="auto"/>
              <w:jc w:val="center"/>
            </w:pPr>
            <w:r/>
            <w:r>
              <w:rPr>
                <w:rFonts w:ascii="Calibri" w:hAnsi="Calibri"/>
                <w:b w:val="0"/>
                <w:sz w:val="14"/>
              </w:rPr>
              <w:t>R-13</w:t>
            </w:r>
          </w:p>
        </w:tc>
        <w:tc>
          <w:tcPr>
            <w:tcW w:type="dxa" w:w="2494"/>
          </w:tcPr>
          <w:p>
            <w:pPr>
              <w:spacing w:after="20" w:before="20" w:line="240" w:lineRule="auto"/>
            </w:pPr>
            <w:r/>
            <w:r>
              <w:rPr>
                <w:rFonts w:ascii="Calibri" w:hAnsi="Calibri"/>
                <w:b w:val="0"/>
                <w:sz w:val="14"/>
              </w:rPr>
              <w:t>How should stock levels be set for each critical item?</w:t>
            </w:r>
          </w:p>
        </w:tc>
        <w:tc>
          <w:tcPr>
            <w:tcW w:type="dxa" w:w="2154"/>
          </w:tcPr>
          <w:p>
            <w:pPr>
              <w:spacing w:after="20" w:before="20" w:line="240" w:lineRule="auto"/>
            </w:pPr>
            <w:r/>
            <w:r>
              <w:rPr>
                <w:rFonts w:ascii="Calibri" w:hAnsi="Calibri"/>
                <w:b w:val="0"/>
                <w:sz w:val="14"/>
              </w:rPr>
              <w:t>Replaces intuition with a documented reorder policy.</w:t>
            </w:r>
          </w:p>
        </w:tc>
        <w:tc>
          <w:tcPr>
            <w:tcW w:type="dxa" w:w="1587"/>
          </w:tcPr>
          <w:p>
            <w:pPr>
              <w:spacing w:after="20" w:before="20" w:line="240" w:lineRule="auto"/>
            </w:pPr>
            <w:r/>
            <w:r>
              <w:rPr>
                <w:rFonts w:ascii="Calibri" w:hAnsi="Calibri"/>
                <w:b w:val="0"/>
                <w:sz w:val="14"/>
              </w:rPr>
              <w:t>Consumption variability, lead time, criticality</w:t>
            </w:r>
          </w:p>
        </w:tc>
        <w:tc>
          <w:tcPr>
            <w:tcW w:type="dxa" w:w="1928"/>
          </w:tcPr>
          <w:p>
            <w:pPr>
              <w:spacing w:after="20" w:before="20" w:line="240" w:lineRule="auto"/>
            </w:pPr>
            <w:r/>
            <w:r>
              <w:rPr>
                <w:rFonts w:ascii="Calibri" w:hAnsi="Calibri"/>
                <w:b w:val="0"/>
                <w:sz w:val="14"/>
              </w:rPr>
              <w:t>Set reorder point = consumption during lead time + safety stock; set order quantity from pack and cover target</w:t>
            </w:r>
          </w:p>
        </w:tc>
        <w:tc>
          <w:tcPr>
            <w:tcW w:type="dxa" w:w="907"/>
          </w:tcPr>
          <w:p>
            <w:pPr>
              <w:spacing w:after="20" w:before="20" w:line="240" w:lineRule="auto"/>
            </w:pPr>
            <w:r/>
            <w:r>
              <w:rPr>
                <w:rFonts w:ascii="Calibri" w:hAnsi="Calibri"/>
                <w:b w:val="0"/>
                <w:sz w:val="14"/>
              </w:rPr>
              <w:t>Annual review</w:t>
            </w:r>
          </w:p>
        </w:tc>
        <w:tc>
          <w:tcPr>
            <w:tcW w:type="dxa" w:w="850"/>
          </w:tcPr>
          <w:p>
            <w:pPr>
              <w:spacing w:after="20" w:before="20" w:line="240" w:lineRule="auto"/>
              <w:jc w:val="center"/>
            </w:pPr>
            <w:r/>
            <w:r>
              <w:rPr>
                <w:rFonts w:ascii="Calibri" w:hAnsi="Calibri"/>
                <w:b w:val="0"/>
                <w:sz w:val="14"/>
              </w:rPr>
              <w:t>Twice yearly</w:t>
            </w:r>
          </w:p>
        </w:tc>
        <w:tc>
          <w:tcPr>
            <w:tcW w:type="dxa" w:w="850"/>
          </w:tcPr>
          <w:p>
            <w:pPr>
              <w:spacing w:after="20" w:before="20" w:line="240" w:lineRule="auto"/>
              <w:jc w:val="center"/>
            </w:pPr>
            <w:r/>
            <w:r>
              <w:rPr>
                <w:rFonts w:ascii="Calibri" w:hAnsi="Calibri"/>
                <w:b w:val="0"/>
                <w:sz w:val="14"/>
              </w:rPr>
              <w:t>Supply chain</w:t>
            </w:r>
          </w:p>
        </w:tc>
      </w:tr>
      <w:tr>
        <w:tc>
          <w:tcPr>
            <w:tcW w:type="dxa" w:w="680"/>
            <w:shd w:val="clear" w:fill="F7F9FB"/>
          </w:tcPr>
          <w:p>
            <w:pPr>
              <w:spacing w:after="20" w:before="20" w:line="240" w:lineRule="auto"/>
              <w:jc w:val="center"/>
            </w:pPr>
            <w:r/>
            <w:r>
              <w:rPr>
                <w:rFonts w:ascii="Calibri" w:hAnsi="Calibri"/>
                <w:b w:val="0"/>
                <w:sz w:val="14"/>
              </w:rPr>
              <w:t>R-14</w:t>
            </w:r>
          </w:p>
        </w:tc>
        <w:tc>
          <w:tcPr>
            <w:tcW w:type="dxa" w:w="2494"/>
            <w:shd w:val="clear" w:fill="F7F9FB"/>
          </w:tcPr>
          <w:p>
            <w:pPr>
              <w:spacing w:after="20" w:before="20" w:line="240" w:lineRule="auto"/>
            </w:pPr>
            <w:r/>
            <w:r>
              <w:rPr>
                <w:rFonts w:ascii="Calibri" w:hAnsi="Calibri"/>
                <w:b w:val="0"/>
                <w:sz w:val="14"/>
              </w:rPr>
              <w:t>What should be done when a project is ending with unspent budget?</w:t>
            </w:r>
          </w:p>
        </w:tc>
        <w:tc>
          <w:tcPr>
            <w:tcW w:type="dxa" w:w="2154"/>
            <w:shd w:val="clear" w:fill="F7F9FB"/>
          </w:tcPr>
          <w:p>
            <w:pPr>
              <w:spacing w:after="20" w:before="20" w:line="240" w:lineRule="auto"/>
            </w:pPr>
            <w:r/>
            <w:r>
              <w:rPr>
                <w:rFonts w:ascii="Calibri" w:hAnsi="Calibri"/>
                <w:b w:val="0"/>
                <w:sz w:val="14"/>
              </w:rPr>
              <w:t>Protects the donor relationship and avoids last-minute waste.</w:t>
            </w:r>
          </w:p>
        </w:tc>
        <w:tc>
          <w:tcPr>
            <w:tcW w:type="dxa" w:w="1587"/>
            <w:shd w:val="clear" w:fill="F7F9FB"/>
          </w:tcPr>
          <w:p>
            <w:pPr>
              <w:spacing w:after="20" w:before="20" w:line="240" w:lineRule="auto"/>
            </w:pPr>
            <w:r/>
            <w:r>
              <w:rPr>
                <w:rFonts w:ascii="Calibri" w:hAnsi="Calibri"/>
                <w:b w:val="0"/>
                <w:sz w:val="14"/>
              </w:rPr>
              <w:t>Project end date, unspent budget, activity plan</w:t>
            </w:r>
          </w:p>
        </w:tc>
        <w:tc>
          <w:tcPr>
            <w:tcW w:type="dxa" w:w="1928"/>
            <w:shd w:val="clear" w:fill="F7F9FB"/>
          </w:tcPr>
          <w:p>
            <w:pPr>
              <w:spacing w:after="20" w:before="20" w:line="240" w:lineRule="auto"/>
            </w:pPr>
            <w:r/>
            <w:r>
              <w:rPr>
                <w:rFonts w:ascii="Calibri" w:hAnsi="Calibri"/>
                <w:b w:val="0"/>
                <w:sz w:val="14"/>
              </w:rPr>
              <w:t>Options: accelerate planned activity, procure justified equipment, request no-cost extension, return funds</w:t>
            </w:r>
          </w:p>
        </w:tc>
        <w:tc>
          <w:tcPr>
            <w:tcW w:type="dxa" w:w="907"/>
            <w:shd w:val="clear" w:fill="F7F9FB"/>
          </w:tcPr>
          <w:p>
            <w:pPr>
              <w:spacing w:after="20" w:before="20" w:line="240" w:lineRule="auto"/>
            </w:pPr>
            <w:r/>
            <w:r>
              <w:rPr>
                <w:rFonts w:ascii="Calibri" w:hAnsi="Calibri"/>
                <w:b w:val="0"/>
                <w:sz w:val="14"/>
              </w:rPr>
              <w:t>&lt; 120 days to end</w:t>
            </w:r>
          </w:p>
        </w:tc>
        <w:tc>
          <w:tcPr>
            <w:tcW w:type="dxa" w:w="850"/>
            <w:shd w:val="clear" w:fill="F7F9FB"/>
          </w:tcPr>
          <w:p>
            <w:pPr>
              <w:spacing w:after="20" w:before="20" w:line="240" w:lineRule="auto"/>
              <w:jc w:val="center"/>
            </w:pPr>
            <w:r/>
            <w:r>
              <w:rPr>
                <w:rFonts w:ascii="Calibri" w:hAnsi="Calibri"/>
                <w:b w:val="0"/>
                <w:sz w:val="14"/>
              </w:rPr>
              <w:t>Monthly</w:t>
            </w:r>
          </w:p>
        </w:tc>
        <w:tc>
          <w:tcPr>
            <w:tcW w:type="dxa" w:w="850"/>
            <w:shd w:val="clear" w:fill="F7F9FB"/>
          </w:tcPr>
          <w:p>
            <w:pPr>
              <w:spacing w:after="20" w:before="20" w:line="240" w:lineRule="auto"/>
              <w:jc w:val="center"/>
            </w:pPr>
            <w:r/>
            <w:r>
              <w:rPr>
                <w:rFonts w:ascii="Calibri" w:hAnsi="Calibri"/>
                <w:b w:val="0"/>
                <w:sz w:val="14"/>
              </w:rPr>
              <w:t>Programme + Finance</w:t>
            </w:r>
          </w:p>
        </w:tc>
      </w:tr>
      <w:tr>
        <w:tc>
          <w:tcPr>
            <w:tcW w:type="dxa" w:w="680"/>
          </w:tcPr>
          <w:p>
            <w:pPr>
              <w:spacing w:after="20" w:before="20" w:line="240" w:lineRule="auto"/>
              <w:jc w:val="center"/>
            </w:pPr>
            <w:r/>
            <w:r>
              <w:rPr>
                <w:rFonts w:ascii="Calibri" w:hAnsi="Calibri"/>
                <w:b w:val="0"/>
                <w:sz w:val="14"/>
              </w:rPr>
              <w:t>R-15</w:t>
            </w:r>
          </w:p>
        </w:tc>
        <w:tc>
          <w:tcPr>
            <w:tcW w:type="dxa" w:w="2494"/>
          </w:tcPr>
          <w:p>
            <w:pPr>
              <w:spacing w:after="20" w:before="20" w:line="240" w:lineRule="auto"/>
            </w:pPr>
            <w:r/>
            <w:r>
              <w:rPr>
                <w:rFonts w:ascii="Calibri" w:hAnsi="Calibri"/>
                <w:b w:val="0"/>
                <w:sz w:val="14"/>
              </w:rPr>
              <w:t>How should the purchase plan change for the seasonal peak?</w:t>
            </w:r>
          </w:p>
        </w:tc>
        <w:tc>
          <w:tcPr>
            <w:tcW w:type="dxa" w:w="2154"/>
          </w:tcPr>
          <w:p>
            <w:pPr>
              <w:spacing w:after="20" w:before="20" w:line="240" w:lineRule="auto"/>
            </w:pPr>
            <w:r/>
            <w:r>
              <w:rPr>
                <w:rFonts w:ascii="Calibri" w:hAnsi="Calibri"/>
                <w:b w:val="0"/>
                <w:sz w:val="14"/>
              </w:rPr>
              <w:t>Peak readiness is a planning action, not a reaction.</w:t>
            </w:r>
          </w:p>
        </w:tc>
        <w:tc>
          <w:tcPr>
            <w:tcW w:type="dxa" w:w="1587"/>
          </w:tcPr>
          <w:p>
            <w:pPr>
              <w:spacing w:after="20" w:before="20" w:line="240" w:lineRule="auto"/>
            </w:pPr>
            <w:r/>
            <w:r>
              <w:rPr>
                <w:rFonts w:ascii="Calibri" w:hAnsi="Calibri"/>
                <w:b w:val="0"/>
                <w:sz w:val="14"/>
              </w:rPr>
              <w:t>Seasonality index, lead times, storage capacity</w:t>
            </w:r>
          </w:p>
        </w:tc>
        <w:tc>
          <w:tcPr>
            <w:tcW w:type="dxa" w:w="1928"/>
          </w:tcPr>
          <w:p>
            <w:pPr>
              <w:spacing w:after="20" w:before="20" w:line="240" w:lineRule="auto"/>
            </w:pPr>
            <w:r/>
            <w:r>
              <w:rPr>
                <w:rFonts w:ascii="Calibri" w:hAnsi="Calibri"/>
                <w:b w:val="0"/>
                <w:sz w:val="14"/>
              </w:rPr>
              <w:t>Pre-position quantity covering peak months plus lead time, before the surge month</w:t>
            </w:r>
          </w:p>
        </w:tc>
        <w:tc>
          <w:tcPr>
            <w:tcW w:type="dxa" w:w="907"/>
          </w:tcPr>
          <w:p>
            <w:pPr>
              <w:spacing w:after="20" w:before="20" w:line="240" w:lineRule="auto"/>
            </w:pPr>
            <w:r/>
            <w:r>
              <w:rPr>
                <w:rFonts w:ascii="Calibri" w:hAnsi="Calibri"/>
                <w:b w:val="0"/>
                <w:sz w:val="14"/>
              </w:rPr>
              <w:t>2 months before peak</w:t>
            </w:r>
          </w:p>
        </w:tc>
        <w:tc>
          <w:tcPr>
            <w:tcW w:type="dxa" w:w="850"/>
          </w:tcPr>
          <w:p>
            <w:pPr>
              <w:spacing w:after="20" w:before="20" w:line="240" w:lineRule="auto"/>
              <w:jc w:val="center"/>
            </w:pPr>
            <w:r/>
            <w:r>
              <w:rPr>
                <w:rFonts w:ascii="Calibri" w:hAnsi="Calibri"/>
                <w:b w:val="0"/>
                <w:sz w:val="14"/>
              </w:rPr>
              <w:t>Quarterly</w:t>
            </w:r>
          </w:p>
        </w:tc>
        <w:tc>
          <w:tcPr>
            <w:tcW w:type="dxa" w:w="850"/>
          </w:tcPr>
          <w:p>
            <w:pPr>
              <w:spacing w:after="20" w:before="20" w:line="240" w:lineRule="auto"/>
              <w:jc w:val="center"/>
            </w:pPr>
            <w:r/>
            <w:r>
              <w:rPr>
                <w:rFonts w:ascii="Calibri" w:hAnsi="Calibri"/>
                <w:b w:val="0"/>
                <w:sz w:val="14"/>
              </w:rPr>
              <w:t>Supply chain</w:t>
            </w:r>
          </w:p>
        </w:tc>
      </w:tr>
      <w:tr>
        <w:tc>
          <w:tcPr>
            <w:tcW w:type="dxa" w:w="680"/>
            <w:shd w:val="clear" w:fill="F7F9FB"/>
          </w:tcPr>
          <w:p>
            <w:pPr>
              <w:spacing w:after="20" w:before="20" w:line="240" w:lineRule="auto"/>
              <w:jc w:val="center"/>
            </w:pPr>
            <w:r/>
            <w:r>
              <w:rPr>
                <w:rFonts w:ascii="Calibri" w:hAnsi="Calibri"/>
                <w:b w:val="0"/>
                <w:sz w:val="14"/>
              </w:rPr>
              <w:t>R-16</w:t>
            </w:r>
          </w:p>
        </w:tc>
        <w:tc>
          <w:tcPr>
            <w:tcW w:type="dxa" w:w="2494"/>
            <w:shd w:val="clear" w:fill="F7F9FB"/>
          </w:tcPr>
          <w:p>
            <w:pPr>
              <w:spacing w:after="20" w:before="20" w:line="240" w:lineRule="auto"/>
            </w:pPr>
            <w:r/>
            <w:r>
              <w:rPr>
                <w:rFonts w:ascii="Calibri" w:hAnsi="Calibri"/>
                <w:b w:val="0"/>
                <w:sz w:val="14"/>
              </w:rPr>
              <w:t>What should internal audit review first?</w:t>
            </w:r>
          </w:p>
        </w:tc>
        <w:tc>
          <w:tcPr>
            <w:tcW w:type="dxa" w:w="2154"/>
            <w:shd w:val="clear" w:fill="F7F9FB"/>
          </w:tcPr>
          <w:p>
            <w:pPr>
              <w:spacing w:after="20" w:before="20" w:line="240" w:lineRule="auto"/>
            </w:pPr>
            <w:r/>
            <w:r>
              <w:rPr>
                <w:rFonts w:ascii="Calibri" w:hAnsi="Calibri"/>
                <w:b w:val="0"/>
                <w:sz w:val="14"/>
              </w:rPr>
              <w:t>Directs assurance effort to the highest-value exceptions.</w:t>
            </w:r>
          </w:p>
        </w:tc>
        <w:tc>
          <w:tcPr>
            <w:tcW w:type="dxa" w:w="1587"/>
            <w:shd w:val="clear" w:fill="F7F9FB"/>
          </w:tcPr>
          <w:p>
            <w:pPr>
              <w:spacing w:after="20" w:before="20" w:line="240" w:lineRule="auto"/>
            </w:pPr>
            <w:r/>
            <w:r>
              <w:rPr>
                <w:rFonts w:ascii="Calibri" w:hAnsi="Calibri"/>
                <w:b w:val="0"/>
                <w:sz w:val="14"/>
              </w:rPr>
              <w:t>Exceptions, value at risk, ageing, repeat offenders</w:t>
            </w:r>
          </w:p>
        </w:tc>
        <w:tc>
          <w:tcPr>
            <w:tcW w:type="dxa" w:w="1928"/>
            <w:shd w:val="clear" w:fill="F7F9FB"/>
          </w:tcPr>
          <w:p>
            <w:pPr>
              <w:spacing w:after="20" w:before="20" w:line="240" w:lineRule="auto"/>
            </w:pPr>
            <w:r/>
            <w:r>
              <w:rPr>
                <w:rFonts w:ascii="Calibri" w:hAnsi="Calibri"/>
                <w:b w:val="0"/>
                <w:sz w:val="14"/>
              </w:rPr>
              <w:t>Rank exceptions by value and recurrence; select the audit sample</w:t>
            </w:r>
          </w:p>
        </w:tc>
        <w:tc>
          <w:tcPr>
            <w:tcW w:type="dxa" w:w="907"/>
            <w:shd w:val="clear" w:fill="F7F9FB"/>
          </w:tcPr>
          <w:p>
            <w:pPr>
              <w:spacing w:after="20" w:before="20" w:line="240" w:lineRule="auto"/>
            </w:pPr>
            <w:r/>
            <w:r>
              <w:rPr>
                <w:rFonts w:ascii="Calibri" w:hAnsi="Calibri"/>
                <w:b w:val="0"/>
                <w:sz w:val="14"/>
              </w:rPr>
              <w:t>Quarterly</w:t>
            </w:r>
          </w:p>
        </w:tc>
        <w:tc>
          <w:tcPr>
            <w:tcW w:type="dxa" w:w="850"/>
            <w:shd w:val="clear" w:fill="F7F9FB"/>
          </w:tcPr>
          <w:p>
            <w:pPr>
              <w:spacing w:after="20" w:before="20" w:line="240" w:lineRule="auto"/>
              <w:jc w:val="center"/>
            </w:pPr>
            <w:r/>
            <w:r>
              <w:rPr>
                <w:rFonts w:ascii="Calibri" w:hAnsi="Calibri"/>
                <w:b w:val="0"/>
                <w:sz w:val="14"/>
              </w:rPr>
              <w:t>Quarterly</w:t>
            </w:r>
          </w:p>
        </w:tc>
        <w:tc>
          <w:tcPr>
            <w:tcW w:type="dxa" w:w="850"/>
            <w:shd w:val="clear" w:fill="F7F9FB"/>
          </w:tcPr>
          <w:p>
            <w:pPr>
              <w:spacing w:after="20" w:before="20" w:line="240" w:lineRule="auto"/>
              <w:jc w:val="center"/>
            </w:pPr>
            <w:r/>
            <w:r>
              <w:rPr>
                <w:rFonts w:ascii="Calibri" w:hAnsi="Calibri"/>
                <w:b w:val="0"/>
                <w:sz w:val="14"/>
              </w:rPr>
              <w:t>Internal audit</w:t>
            </w:r>
          </w:p>
        </w:tc>
      </w:tr>
      <w:tr>
        <w:tc>
          <w:tcPr>
            <w:tcW w:type="dxa" w:w="680"/>
          </w:tcPr>
          <w:p>
            <w:pPr>
              <w:spacing w:after="20" w:before="20" w:line="240" w:lineRule="auto"/>
              <w:jc w:val="center"/>
            </w:pPr>
            <w:r/>
            <w:r>
              <w:rPr>
                <w:rFonts w:ascii="Calibri" w:hAnsi="Calibri"/>
                <w:b w:val="0"/>
                <w:sz w:val="14"/>
              </w:rPr>
              <w:t>R-17</w:t>
            </w:r>
          </w:p>
        </w:tc>
        <w:tc>
          <w:tcPr>
            <w:tcW w:type="dxa" w:w="2494"/>
          </w:tcPr>
          <w:p>
            <w:pPr>
              <w:spacing w:after="20" w:before="20" w:line="240" w:lineRule="auto"/>
            </w:pPr>
            <w:r/>
            <w:r>
              <w:rPr>
                <w:rFonts w:ascii="Calibri" w:hAnsi="Calibri"/>
                <w:b w:val="0"/>
                <w:sz w:val="14"/>
              </w:rPr>
              <w:t>Which consumption patterns should trigger an investigation, and at what threshold?</w:t>
            </w:r>
          </w:p>
        </w:tc>
        <w:tc>
          <w:tcPr>
            <w:tcW w:type="dxa" w:w="2154"/>
          </w:tcPr>
          <w:p>
            <w:pPr>
              <w:spacing w:after="20" w:before="20" w:line="240" w:lineRule="auto"/>
            </w:pPr>
            <w:r/>
            <w:r>
              <w:rPr>
                <w:rFonts w:ascii="Calibri" w:hAnsi="Calibri"/>
                <w:b w:val="0"/>
                <w:sz w:val="14"/>
              </w:rPr>
              <w:t>Gives the analyst a standing rule rather than a judgement call each month.</w:t>
            </w:r>
          </w:p>
        </w:tc>
        <w:tc>
          <w:tcPr>
            <w:tcW w:type="dxa" w:w="1587"/>
          </w:tcPr>
          <w:p>
            <w:pPr>
              <w:spacing w:after="20" w:before="20" w:line="240" w:lineRule="auto"/>
            </w:pPr>
            <w:r/>
            <w:r>
              <w:rPr>
                <w:rFonts w:ascii="Calibri" w:hAnsi="Calibri"/>
                <w:b w:val="0"/>
                <w:sz w:val="14"/>
              </w:rPr>
              <w:t>Thresholds, item and project variances</w:t>
            </w:r>
          </w:p>
        </w:tc>
        <w:tc>
          <w:tcPr>
            <w:tcW w:type="dxa" w:w="1928"/>
          </w:tcPr>
          <w:p>
            <w:pPr>
              <w:spacing w:after="20" w:before="20" w:line="240" w:lineRule="auto"/>
            </w:pPr>
            <w:r/>
            <w:r>
              <w:rPr>
                <w:rFonts w:ascii="Calibri" w:hAnsi="Calibri"/>
                <w:b w:val="0"/>
                <w:sz w:val="14"/>
              </w:rPr>
              <w:t>Apply P-02 to P-10; list breaches with owner and due date</w:t>
            </w:r>
          </w:p>
        </w:tc>
        <w:tc>
          <w:tcPr>
            <w:tcW w:type="dxa" w:w="907"/>
          </w:tcPr>
          <w:p>
            <w:pPr>
              <w:spacing w:after="20" w:before="20" w:line="240" w:lineRule="auto"/>
            </w:pPr>
            <w:r/>
            <w:r>
              <w:rPr>
                <w:rFonts w:ascii="Calibri" w:hAnsi="Calibri"/>
                <w:b w:val="0"/>
                <w:sz w:val="14"/>
              </w:rPr>
              <w:t>Continuous</w:t>
            </w:r>
          </w:p>
        </w:tc>
        <w:tc>
          <w:tcPr>
            <w:tcW w:type="dxa" w:w="850"/>
          </w:tcPr>
          <w:p>
            <w:pPr>
              <w:spacing w:after="20" w:before="20" w:line="240" w:lineRule="auto"/>
              <w:jc w:val="center"/>
            </w:pPr>
            <w:r/>
            <w:r>
              <w:rPr>
                <w:rFonts w:ascii="Calibri" w:hAnsi="Calibri"/>
                <w:b w:val="0"/>
                <w:sz w:val="14"/>
              </w:rPr>
              <w:t>Monthly</w:t>
            </w:r>
          </w:p>
        </w:tc>
        <w:tc>
          <w:tcPr>
            <w:tcW w:type="dxa" w:w="850"/>
          </w:tcPr>
          <w:p>
            <w:pPr>
              <w:spacing w:after="20" w:before="20" w:line="240" w:lineRule="auto"/>
              <w:jc w:val="center"/>
            </w:pPr>
            <w:r/>
            <w:r>
              <w:rPr>
                <w:rFonts w:ascii="Calibri" w:hAnsi="Calibri"/>
                <w:b w:val="0"/>
                <w:sz w:val="14"/>
              </w:rPr>
              <w:t>Head of Procurement</w:t>
            </w:r>
          </w:p>
        </w:tc>
      </w:tr>
      <w:tr>
        <w:tc>
          <w:tcPr>
            <w:tcW w:type="dxa" w:w="680"/>
            <w:shd w:val="clear" w:fill="F7F9FB"/>
          </w:tcPr>
          <w:p>
            <w:pPr>
              <w:spacing w:after="20" w:before="20" w:line="240" w:lineRule="auto"/>
              <w:jc w:val="center"/>
            </w:pPr>
            <w:r/>
            <w:r>
              <w:rPr>
                <w:rFonts w:ascii="Calibri" w:hAnsi="Calibri"/>
                <w:b w:val="0"/>
                <w:sz w:val="14"/>
              </w:rPr>
              <w:t>R-18</w:t>
            </w:r>
          </w:p>
        </w:tc>
        <w:tc>
          <w:tcPr>
            <w:tcW w:type="dxa" w:w="2494"/>
            <w:shd w:val="clear" w:fill="F7F9FB"/>
          </w:tcPr>
          <w:p>
            <w:pPr>
              <w:spacing w:after="20" w:before="20" w:line="240" w:lineRule="auto"/>
            </w:pPr>
            <w:r/>
            <w:r>
              <w:rPr>
                <w:rFonts w:ascii="Calibri" w:hAnsi="Calibri"/>
                <w:b w:val="0"/>
                <w:sz w:val="14"/>
              </w:rPr>
              <w:t>What should be done to improve cost per beneficiary in the highest-cost project?</w:t>
            </w:r>
          </w:p>
        </w:tc>
        <w:tc>
          <w:tcPr>
            <w:tcW w:type="dxa" w:w="2154"/>
            <w:shd w:val="clear" w:fill="F7F9FB"/>
          </w:tcPr>
          <w:p>
            <w:pPr>
              <w:spacing w:after="20" w:before="20" w:line="240" w:lineRule="auto"/>
            </w:pPr>
            <w:r/>
            <w:r>
              <w:rPr>
                <w:rFonts w:ascii="Calibri" w:hAnsi="Calibri"/>
                <w:b w:val="0"/>
                <w:sz w:val="14"/>
              </w:rPr>
              <w:t>Turns comparison into efficiency action.</w:t>
            </w:r>
          </w:p>
        </w:tc>
        <w:tc>
          <w:tcPr>
            <w:tcW w:type="dxa" w:w="1587"/>
            <w:shd w:val="clear" w:fill="F7F9FB"/>
          </w:tcPr>
          <w:p>
            <w:pPr>
              <w:spacing w:after="20" w:before="20" w:line="240" w:lineRule="auto"/>
            </w:pPr>
            <w:r/>
            <w:r>
              <w:rPr>
                <w:rFonts w:ascii="Calibri" w:hAnsi="Calibri"/>
                <w:b w:val="0"/>
                <w:sz w:val="14"/>
              </w:rPr>
              <w:t>Cost per beneficiary, category mix, price paid, service volumes</w:t>
            </w:r>
          </w:p>
        </w:tc>
        <w:tc>
          <w:tcPr>
            <w:tcW w:type="dxa" w:w="1928"/>
            <w:shd w:val="clear" w:fill="F7F9FB"/>
          </w:tcPr>
          <w:p>
            <w:pPr>
              <w:spacing w:after="20" w:before="20" w:line="240" w:lineRule="auto"/>
            </w:pPr>
            <w:r/>
            <w:r>
              <w:rPr>
                <w:rFonts w:ascii="Calibri" w:hAnsi="Calibri"/>
                <w:b w:val="0"/>
                <w:sz w:val="14"/>
              </w:rPr>
              <w:t>Test alternatives: change product mix, negotiate price, increase service volume, reduce wastage</w:t>
            </w:r>
          </w:p>
        </w:tc>
        <w:tc>
          <w:tcPr>
            <w:tcW w:type="dxa" w:w="907"/>
            <w:shd w:val="clear" w:fill="F7F9FB"/>
          </w:tcPr>
          <w:p>
            <w:pPr>
              <w:spacing w:after="20" w:before="20" w:line="240" w:lineRule="auto"/>
            </w:pPr>
            <w:r/>
            <w:r>
              <w:rPr>
                <w:rFonts w:ascii="Calibri" w:hAnsi="Calibri"/>
                <w:b w:val="0"/>
                <w:sz w:val="14"/>
              </w:rPr>
              <w:t>Spread &gt; 30%</w:t>
            </w:r>
          </w:p>
        </w:tc>
        <w:tc>
          <w:tcPr>
            <w:tcW w:type="dxa" w:w="850"/>
            <w:shd w:val="clear" w:fill="F7F9FB"/>
          </w:tcPr>
          <w:p>
            <w:pPr>
              <w:spacing w:after="20" w:before="20" w:line="240" w:lineRule="auto"/>
              <w:jc w:val="center"/>
            </w:pPr>
            <w:r/>
            <w:r>
              <w:rPr>
                <w:rFonts w:ascii="Calibri" w:hAnsi="Calibri"/>
                <w:b w:val="0"/>
                <w:sz w:val="14"/>
              </w:rPr>
              <w:t>Quarterly</w:t>
            </w:r>
          </w:p>
        </w:tc>
        <w:tc>
          <w:tcPr>
            <w:tcW w:type="dxa" w:w="850"/>
            <w:shd w:val="clear" w:fill="F7F9FB"/>
          </w:tcPr>
          <w:p>
            <w:pPr>
              <w:spacing w:after="20" w:before="20" w:line="240" w:lineRule="auto"/>
              <w:jc w:val="center"/>
            </w:pPr>
            <w:r/>
            <w:r>
              <w:rPr>
                <w:rFonts w:ascii="Calibri" w:hAnsi="Calibri"/>
                <w:b w:val="0"/>
                <w:sz w:val="14"/>
              </w:rPr>
              <w:t>Programme</w:t>
            </w:r>
          </w:p>
        </w:tc>
      </w:tr>
      <w:tr>
        <w:tc>
          <w:tcPr>
            <w:tcW w:type="dxa" w:w="680"/>
          </w:tcPr>
          <w:p>
            <w:pPr>
              <w:spacing w:after="20" w:before="20" w:line="240" w:lineRule="auto"/>
              <w:jc w:val="center"/>
            </w:pPr>
            <w:r/>
            <w:r>
              <w:rPr>
                <w:rFonts w:ascii="Calibri" w:hAnsi="Calibri"/>
                <w:b w:val="0"/>
                <w:sz w:val="14"/>
              </w:rPr>
              <w:t>R-19</w:t>
            </w:r>
          </w:p>
        </w:tc>
        <w:tc>
          <w:tcPr>
            <w:tcW w:type="dxa" w:w="2494"/>
          </w:tcPr>
          <w:p>
            <w:pPr>
              <w:spacing w:after="20" w:before="20" w:line="240" w:lineRule="auto"/>
            </w:pPr>
            <w:r/>
            <w:r>
              <w:rPr>
                <w:rFonts w:ascii="Calibri" w:hAnsi="Calibri"/>
                <w:b w:val="0"/>
                <w:sz w:val="14"/>
              </w:rPr>
              <w:t>How should inter-store transfers be used to balance stock?</w:t>
            </w:r>
          </w:p>
        </w:tc>
        <w:tc>
          <w:tcPr>
            <w:tcW w:type="dxa" w:w="2154"/>
          </w:tcPr>
          <w:p>
            <w:pPr>
              <w:spacing w:after="20" w:before="20" w:line="240" w:lineRule="auto"/>
            </w:pPr>
            <w:r/>
            <w:r>
              <w:rPr>
                <w:rFonts w:ascii="Calibri" w:hAnsi="Calibri"/>
                <w:b w:val="0"/>
                <w:sz w:val="14"/>
              </w:rPr>
              <w:t>Transfers are cheaper than new purchases and reduce expiry.</w:t>
            </w:r>
          </w:p>
        </w:tc>
        <w:tc>
          <w:tcPr>
            <w:tcW w:type="dxa" w:w="1587"/>
          </w:tcPr>
          <w:p>
            <w:pPr>
              <w:spacing w:after="20" w:before="20" w:line="240" w:lineRule="auto"/>
            </w:pPr>
            <w:r/>
            <w:r>
              <w:rPr>
                <w:rFonts w:ascii="Calibri" w:hAnsi="Calibri"/>
                <w:b w:val="0"/>
                <w:sz w:val="14"/>
              </w:rPr>
              <w:t>Surplus and deficit by warehouse</w:t>
            </w:r>
          </w:p>
        </w:tc>
        <w:tc>
          <w:tcPr>
            <w:tcW w:type="dxa" w:w="1928"/>
          </w:tcPr>
          <w:p>
            <w:pPr>
              <w:spacing w:after="20" w:before="20" w:line="240" w:lineRule="auto"/>
            </w:pPr>
            <w:r/>
            <w:r>
              <w:rPr>
                <w:rFonts w:ascii="Calibri" w:hAnsi="Calibri"/>
                <w:b w:val="0"/>
                <w:sz w:val="14"/>
              </w:rPr>
              <w:t>Match within item and batch; document transfer before ordering</w:t>
            </w:r>
          </w:p>
        </w:tc>
        <w:tc>
          <w:tcPr>
            <w:tcW w:type="dxa" w:w="907"/>
          </w:tcPr>
          <w:p>
            <w:pPr>
              <w:spacing w:after="20" w:before="20" w:line="240" w:lineRule="auto"/>
            </w:pPr>
            <w:r/>
            <w:r>
              <w:rPr>
                <w:rFonts w:ascii="Calibri" w:hAnsi="Calibri"/>
                <w:b w:val="0"/>
                <w:sz w:val="14"/>
              </w:rPr>
              <w:t>Any matched pair</w:t>
            </w:r>
          </w:p>
        </w:tc>
        <w:tc>
          <w:tcPr>
            <w:tcW w:type="dxa" w:w="850"/>
          </w:tcPr>
          <w:p>
            <w:pPr>
              <w:spacing w:after="20" w:before="20" w:line="240" w:lineRule="auto"/>
              <w:jc w:val="center"/>
            </w:pPr>
            <w:r/>
            <w:r>
              <w:rPr>
                <w:rFonts w:ascii="Calibri" w:hAnsi="Calibri"/>
                <w:b w:val="0"/>
                <w:sz w:val="14"/>
              </w:rPr>
              <w:t>Monthly</w:t>
            </w:r>
          </w:p>
        </w:tc>
        <w:tc>
          <w:tcPr>
            <w:tcW w:type="dxa" w:w="850"/>
          </w:tcPr>
          <w:p>
            <w:pPr>
              <w:spacing w:after="20" w:before="20" w:line="240" w:lineRule="auto"/>
              <w:jc w:val="center"/>
            </w:pPr>
            <w:r/>
            <w:r>
              <w:rPr>
                <w:rFonts w:ascii="Calibri" w:hAnsi="Calibri"/>
                <w:b w:val="0"/>
                <w:sz w:val="14"/>
              </w:rPr>
              <w:t>Supply chain</w:t>
            </w:r>
          </w:p>
        </w:tc>
      </w:tr>
      <w:tr>
        <w:tc>
          <w:tcPr>
            <w:tcW w:type="dxa" w:w="680"/>
            <w:shd w:val="clear" w:fill="F7F9FB"/>
          </w:tcPr>
          <w:p>
            <w:pPr>
              <w:spacing w:after="20" w:before="20" w:line="240" w:lineRule="auto"/>
              <w:jc w:val="center"/>
            </w:pPr>
            <w:r/>
            <w:r>
              <w:rPr>
                <w:rFonts w:ascii="Calibri" w:hAnsi="Calibri"/>
                <w:b w:val="0"/>
                <w:sz w:val="14"/>
              </w:rPr>
              <w:t>R-20</w:t>
            </w:r>
          </w:p>
        </w:tc>
        <w:tc>
          <w:tcPr>
            <w:tcW w:type="dxa" w:w="2494"/>
            <w:shd w:val="clear" w:fill="F7F9FB"/>
          </w:tcPr>
          <w:p>
            <w:pPr>
              <w:spacing w:after="20" w:before="20" w:line="240" w:lineRule="auto"/>
            </w:pPr>
            <w:r/>
            <w:r>
              <w:rPr>
                <w:rFonts w:ascii="Calibri" w:hAnsi="Calibri"/>
                <w:b w:val="0"/>
                <w:sz w:val="14"/>
              </w:rPr>
              <w:t>What should be reported to the donor, and when?</w:t>
            </w:r>
          </w:p>
        </w:tc>
        <w:tc>
          <w:tcPr>
            <w:tcW w:type="dxa" w:w="2154"/>
            <w:shd w:val="clear" w:fill="F7F9FB"/>
          </w:tcPr>
          <w:p>
            <w:pPr>
              <w:spacing w:after="20" w:before="20" w:line="240" w:lineRule="auto"/>
            </w:pPr>
            <w:r/>
            <w:r>
              <w:rPr>
                <w:rFonts w:ascii="Calibri" w:hAnsi="Calibri"/>
                <w:b w:val="0"/>
                <w:sz w:val="14"/>
              </w:rPr>
              <w:t>Reporting obligations are time-bound and evidence-based.</w:t>
            </w:r>
          </w:p>
        </w:tc>
        <w:tc>
          <w:tcPr>
            <w:tcW w:type="dxa" w:w="1587"/>
            <w:shd w:val="clear" w:fill="F7F9FB"/>
          </w:tcPr>
          <w:p>
            <w:pPr>
              <w:spacing w:after="20" w:before="20" w:line="240" w:lineRule="auto"/>
            </w:pPr>
            <w:r/>
            <w:r>
              <w:rPr>
                <w:rFonts w:ascii="Calibri" w:hAnsi="Calibri"/>
                <w:b w:val="0"/>
                <w:sz w:val="14"/>
              </w:rPr>
              <w:t>Consumption, investment, budget utilisation, cost per beneficiary</w:t>
            </w:r>
          </w:p>
        </w:tc>
        <w:tc>
          <w:tcPr>
            <w:tcW w:type="dxa" w:w="1928"/>
            <w:shd w:val="clear" w:fill="F7F9FB"/>
          </w:tcPr>
          <w:p>
            <w:pPr>
              <w:spacing w:after="20" w:before="20" w:line="240" w:lineRule="auto"/>
            </w:pPr>
            <w:r/>
            <w:r>
              <w:rPr>
                <w:rFonts w:ascii="Calibri" w:hAnsi="Calibri"/>
                <w:b w:val="0"/>
                <w:sz w:val="14"/>
              </w:rPr>
              <w:t>Prepare the donor consumption statement for the periods due</w:t>
            </w:r>
          </w:p>
        </w:tc>
        <w:tc>
          <w:tcPr>
            <w:tcW w:type="dxa" w:w="907"/>
            <w:shd w:val="clear" w:fill="F7F9FB"/>
          </w:tcPr>
          <w:p>
            <w:pPr>
              <w:spacing w:after="20" w:before="20" w:line="240" w:lineRule="auto"/>
            </w:pPr>
            <w:r/>
            <w:r>
              <w:rPr>
                <w:rFonts w:ascii="Calibri" w:hAnsi="Calibri"/>
                <w:b w:val="0"/>
                <w:sz w:val="14"/>
              </w:rPr>
              <w:t>Per grant calendar</w:t>
            </w:r>
          </w:p>
        </w:tc>
        <w:tc>
          <w:tcPr>
            <w:tcW w:type="dxa" w:w="850"/>
            <w:shd w:val="clear" w:fill="F7F9FB"/>
          </w:tcPr>
          <w:p>
            <w:pPr>
              <w:spacing w:after="20" w:before="20" w:line="240" w:lineRule="auto"/>
              <w:jc w:val="center"/>
            </w:pPr>
            <w:r/>
            <w:r>
              <w:rPr>
                <w:rFonts w:ascii="Calibri" w:hAnsi="Calibri"/>
                <w:b w:val="0"/>
                <w:sz w:val="14"/>
              </w:rPr>
              <w:t>Quarterly</w:t>
            </w:r>
          </w:p>
        </w:tc>
        <w:tc>
          <w:tcPr>
            <w:tcW w:type="dxa" w:w="850"/>
            <w:shd w:val="clear" w:fill="F7F9FB"/>
          </w:tcPr>
          <w:p>
            <w:pPr>
              <w:spacing w:after="20" w:before="20" w:line="240" w:lineRule="auto"/>
              <w:jc w:val="center"/>
            </w:pPr>
            <w:r/>
            <w:r>
              <w:rPr>
                <w:rFonts w:ascii="Calibri" w:hAnsi="Calibri"/>
                <w:b w:val="0"/>
                <w:sz w:val="14"/>
              </w:rPr>
              <w:t>Finance + Grants</w:t>
            </w:r>
          </w:p>
        </w:tc>
      </w:tr>
      <w:tr>
        <w:tc>
          <w:tcPr>
            <w:tcW w:type="dxa" w:w="680"/>
          </w:tcPr>
          <w:p>
            <w:pPr>
              <w:spacing w:after="20" w:before="20" w:line="240" w:lineRule="auto"/>
              <w:jc w:val="center"/>
            </w:pPr>
            <w:r/>
            <w:r>
              <w:rPr>
                <w:rFonts w:ascii="Calibri" w:hAnsi="Calibri"/>
                <w:b w:val="0"/>
                <w:sz w:val="14"/>
              </w:rPr>
              <w:t>R-21</w:t>
            </w:r>
          </w:p>
        </w:tc>
        <w:tc>
          <w:tcPr>
            <w:tcW w:type="dxa" w:w="2494"/>
          </w:tcPr>
          <w:p>
            <w:pPr>
              <w:spacing w:after="20" w:before="20" w:line="240" w:lineRule="auto"/>
            </w:pPr>
            <w:r/>
            <w:r>
              <w:rPr>
                <w:rFonts w:ascii="Calibri" w:hAnsi="Calibri"/>
                <w:b w:val="0"/>
                <w:sz w:val="14"/>
              </w:rPr>
              <w:t>What should be automated or changed in the process so the problem does not recur?</w:t>
            </w:r>
          </w:p>
        </w:tc>
        <w:tc>
          <w:tcPr>
            <w:tcW w:type="dxa" w:w="2154"/>
          </w:tcPr>
          <w:p>
            <w:pPr>
              <w:spacing w:after="20" w:before="20" w:line="240" w:lineRule="auto"/>
            </w:pPr>
            <w:r/>
            <w:r>
              <w:rPr>
                <w:rFonts w:ascii="Calibri" w:hAnsi="Calibri"/>
                <w:b w:val="0"/>
                <w:sz w:val="14"/>
              </w:rPr>
              <w:t>Fixes causes rather than symptoms.</w:t>
            </w:r>
          </w:p>
        </w:tc>
        <w:tc>
          <w:tcPr>
            <w:tcW w:type="dxa" w:w="1587"/>
          </w:tcPr>
          <w:p>
            <w:pPr>
              <w:spacing w:after="20" w:before="20" w:line="240" w:lineRule="auto"/>
            </w:pPr>
            <w:r/>
            <w:r>
              <w:rPr>
                <w:rFonts w:ascii="Calibri" w:hAnsi="Calibri"/>
                <w:b w:val="0"/>
                <w:sz w:val="14"/>
              </w:rPr>
              <w:t>Exception trends by cause and user</w:t>
            </w:r>
          </w:p>
        </w:tc>
        <w:tc>
          <w:tcPr>
            <w:tcW w:type="dxa" w:w="1928"/>
          </w:tcPr>
          <w:p>
            <w:pPr>
              <w:spacing w:after="20" w:before="20" w:line="240" w:lineRule="auto"/>
            </w:pPr>
            <w:r/>
            <w:r>
              <w:rPr>
                <w:rFonts w:ascii="Calibri" w:hAnsi="Calibri"/>
                <w:b w:val="0"/>
                <w:sz w:val="14"/>
              </w:rPr>
              <w:t>Where an exception recurs for three periods, change the process or system control</w:t>
            </w:r>
          </w:p>
        </w:tc>
        <w:tc>
          <w:tcPr>
            <w:tcW w:type="dxa" w:w="907"/>
          </w:tcPr>
          <w:p>
            <w:pPr>
              <w:spacing w:after="20" w:before="20" w:line="240" w:lineRule="auto"/>
            </w:pPr>
            <w:r/>
            <w:r>
              <w:rPr>
                <w:rFonts w:ascii="Calibri" w:hAnsi="Calibri"/>
                <w:b w:val="0"/>
                <w:sz w:val="14"/>
              </w:rPr>
              <w:t>3 consecutive periods</w:t>
            </w:r>
          </w:p>
        </w:tc>
        <w:tc>
          <w:tcPr>
            <w:tcW w:type="dxa" w:w="850"/>
          </w:tcPr>
          <w:p>
            <w:pPr>
              <w:spacing w:after="20" w:before="20" w:line="240" w:lineRule="auto"/>
              <w:jc w:val="center"/>
            </w:pPr>
            <w:r/>
            <w:r>
              <w:rPr>
                <w:rFonts w:ascii="Calibri" w:hAnsi="Calibri"/>
                <w:b w:val="0"/>
                <w:sz w:val="14"/>
              </w:rPr>
              <w:t>Quarterly</w:t>
            </w:r>
          </w:p>
        </w:tc>
        <w:tc>
          <w:tcPr>
            <w:tcW w:type="dxa" w:w="850"/>
          </w:tcPr>
          <w:p>
            <w:pPr>
              <w:spacing w:after="20" w:before="20" w:line="240" w:lineRule="auto"/>
              <w:jc w:val="center"/>
            </w:pPr>
            <w:r/>
            <w:r>
              <w:rPr>
                <w:rFonts w:ascii="Calibri" w:hAnsi="Calibri"/>
                <w:b w:val="0"/>
                <w:sz w:val="14"/>
              </w:rPr>
              <w:t>Business owner</w:t>
            </w:r>
          </w:p>
        </w:tc>
      </w:tr>
      <w:tr>
        <w:tc>
          <w:tcPr>
            <w:tcW w:type="dxa" w:w="680"/>
            <w:shd w:val="clear" w:fill="F7F9FB"/>
          </w:tcPr>
          <w:p>
            <w:pPr>
              <w:spacing w:after="20" w:before="20" w:line="240" w:lineRule="auto"/>
              <w:jc w:val="center"/>
            </w:pPr>
            <w:r/>
            <w:r>
              <w:rPr>
                <w:rFonts w:ascii="Calibri" w:hAnsi="Calibri"/>
                <w:b w:val="0"/>
                <w:sz w:val="14"/>
              </w:rPr>
              <w:t>R-22</w:t>
            </w:r>
          </w:p>
        </w:tc>
        <w:tc>
          <w:tcPr>
            <w:tcW w:type="dxa" w:w="2494"/>
            <w:shd w:val="clear" w:fill="F7F9FB"/>
          </w:tcPr>
          <w:p>
            <w:pPr>
              <w:spacing w:after="20" w:before="20" w:line="240" w:lineRule="auto"/>
            </w:pPr>
            <w:r/>
            <w:r>
              <w:rPr>
                <w:rFonts w:ascii="Calibri" w:hAnsi="Calibri"/>
                <w:b w:val="0"/>
                <w:sz w:val="14"/>
              </w:rPr>
              <w:t>Who must act, by when, and what happens if they do not?</w:t>
            </w:r>
          </w:p>
        </w:tc>
        <w:tc>
          <w:tcPr>
            <w:tcW w:type="dxa" w:w="2154"/>
            <w:shd w:val="clear" w:fill="F7F9FB"/>
          </w:tcPr>
          <w:p>
            <w:pPr>
              <w:spacing w:after="20" w:before="20" w:line="240" w:lineRule="auto"/>
            </w:pPr>
            <w:r/>
            <w:r>
              <w:rPr>
                <w:rFonts w:ascii="Calibri" w:hAnsi="Calibri"/>
                <w:b w:val="0"/>
                <w:sz w:val="14"/>
              </w:rPr>
              <w:t>Without ownership and escalation, analysis does not change behaviour.</w:t>
            </w:r>
          </w:p>
        </w:tc>
        <w:tc>
          <w:tcPr>
            <w:tcW w:type="dxa" w:w="1587"/>
            <w:shd w:val="clear" w:fill="F7F9FB"/>
          </w:tcPr>
          <w:p>
            <w:pPr>
              <w:spacing w:after="20" w:before="20" w:line="240" w:lineRule="auto"/>
            </w:pPr>
            <w:r/>
            <w:r>
              <w:rPr>
                <w:rFonts w:ascii="Calibri" w:hAnsi="Calibri"/>
                <w:b w:val="0"/>
                <w:sz w:val="14"/>
              </w:rPr>
              <w:t>Exception log with owners and ageing</w:t>
            </w:r>
          </w:p>
        </w:tc>
        <w:tc>
          <w:tcPr>
            <w:tcW w:type="dxa" w:w="1928"/>
            <w:shd w:val="clear" w:fill="F7F9FB"/>
          </w:tcPr>
          <w:p>
            <w:pPr>
              <w:spacing w:after="20" w:before="20" w:line="240" w:lineRule="auto"/>
            </w:pPr>
            <w:r/>
            <w:r>
              <w:rPr>
                <w:rFonts w:ascii="Calibri" w:hAnsi="Calibri"/>
                <w:b w:val="0"/>
                <w:sz w:val="14"/>
              </w:rPr>
              <w:t>Assign owner and due date; escalate at P-11 ageing</w:t>
            </w:r>
          </w:p>
        </w:tc>
        <w:tc>
          <w:tcPr>
            <w:tcW w:type="dxa" w:w="907"/>
            <w:shd w:val="clear" w:fill="F7F9FB"/>
          </w:tcPr>
          <w:p>
            <w:pPr>
              <w:spacing w:after="20" w:before="20" w:line="240" w:lineRule="auto"/>
            </w:pPr>
            <w:r/>
            <w:r>
              <w:rPr>
                <w:rFonts w:ascii="Calibri" w:hAnsi="Calibri"/>
                <w:b w:val="0"/>
                <w:sz w:val="14"/>
              </w:rPr>
              <w:t>Continuous</w:t>
            </w:r>
          </w:p>
        </w:tc>
        <w:tc>
          <w:tcPr>
            <w:tcW w:type="dxa" w:w="850"/>
            <w:shd w:val="clear" w:fill="F7F9FB"/>
          </w:tcPr>
          <w:p>
            <w:pPr>
              <w:spacing w:after="20" w:before="20" w:line="240" w:lineRule="auto"/>
              <w:jc w:val="center"/>
            </w:pPr>
            <w:r/>
            <w:r>
              <w:rPr>
                <w:rFonts w:ascii="Calibri" w:hAnsi="Calibri"/>
                <w:b w:val="0"/>
                <w:sz w:val="14"/>
              </w:rPr>
              <w:t>Weekly</w:t>
            </w:r>
          </w:p>
        </w:tc>
        <w:tc>
          <w:tcPr>
            <w:tcW w:type="dxa" w:w="850"/>
            <w:shd w:val="clear" w:fill="F7F9FB"/>
          </w:tcPr>
          <w:p>
            <w:pPr>
              <w:spacing w:after="20" w:before="20" w:line="240" w:lineRule="auto"/>
              <w:jc w:val="center"/>
            </w:pPr>
            <w:r/>
            <w:r>
              <w:rPr>
                <w:rFonts w:ascii="Calibri" w:hAnsi="Calibri"/>
                <w:b w:val="0"/>
                <w:sz w:val="14"/>
              </w:rPr>
              <w:t>Business owner</w:t>
            </w:r>
          </w:p>
        </w:tc>
      </w:tr>
    </w:tbl>
    <w:p>
      <w:pPr>
        <w:spacing w:after="20"/>
      </w:pPr>
    </w:p>
    <w:p>
      <w:pPr>
        <w:pStyle w:val="Heading2"/>
      </w:pPr>
      <w:r>
        <w:t>6.1 Standard action library</w:t>
      </w:r>
    </w:p>
    <w:p>
      <w:pPr>
        <w:spacing w:after="100"/>
      </w:pPr>
      <w:r>
        <w:rPr>
          <w:b w:val="0"/>
          <w:i w:val="0"/>
        </w:rPr>
        <w:t>The same small set of levers solves most consumption problems. Naming the lever keeps actions consistent.</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trPr>
        <w:tc>
          <w:tcPr>
            <w:tcW w:type="dxa" w:w="1361"/>
            <w:shd w:val="clear" w:fill="1F3B57"/>
          </w:tcPr>
          <w:p>
            <w:pPr>
              <w:spacing w:after="20" w:before="20" w:line="240" w:lineRule="auto"/>
            </w:pPr>
            <w:r/>
            <w:r>
              <w:rPr>
                <w:rFonts w:ascii="Calibri" w:hAnsi="Calibri"/>
                <w:b/>
                <w:color w:val="FFFFFF"/>
                <w:sz w:val="16"/>
              </w:rPr>
              <w:t>Lever</w:t>
            </w:r>
          </w:p>
        </w:tc>
        <w:tc>
          <w:tcPr>
            <w:tcW w:type="dxa" w:w="2948"/>
            <w:shd w:val="clear" w:fill="1F3B57"/>
          </w:tcPr>
          <w:p>
            <w:pPr>
              <w:spacing w:after="20" w:before="20" w:line="240" w:lineRule="auto"/>
            </w:pPr>
            <w:r/>
            <w:r>
              <w:rPr>
                <w:rFonts w:ascii="Calibri" w:hAnsi="Calibri"/>
                <w:b/>
                <w:color w:val="FFFFFF"/>
                <w:sz w:val="16"/>
              </w:rPr>
              <w:t>What it does</w:t>
            </w:r>
          </w:p>
        </w:tc>
        <w:tc>
          <w:tcPr>
            <w:tcW w:type="dxa" w:w="3061"/>
            <w:shd w:val="clear" w:fill="1F3B57"/>
          </w:tcPr>
          <w:p>
            <w:pPr>
              <w:spacing w:after="20" w:before="20" w:line="240" w:lineRule="auto"/>
            </w:pPr>
            <w:r/>
            <w:r>
              <w:rPr>
                <w:rFonts w:ascii="Calibri" w:hAnsi="Calibri"/>
                <w:b/>
                <w:color w:val="FFFFFF"/>
                <w:sz w:val="16"/>
              </w:rPr>
              <w:t>Applies to</w:t>
            </w:r>
          </w:p>
        </w:tc>
        <w:tc>
          <w:tcPr>
            <w:tcW w:type="dxa" w:w="2381"/>
            <w:shd w:val="clear" w:fill="1F3B57"/>
          </w:tcPr>
          <w:p>
            <w:pPr>
              <w:spacing w:after="20" w:before="20" w:line="240" w:lineRule="auto"/>
            </w:pPr>
            <w:r/>
            <w:r>
              <w:rPr>
                <w:rFonts w:ascii="Calibri" w:hAnsi="Calibri"/>
                <w:b/>
                <w:color w:val="FFFFFF"/>
                <w:sz w:val="16"/>
              </w:rPr>
              <w:t>Typical owner</w:t>
            </w:r>
          </w:p>
        </w:tc>
      </w:tr>
      <w:tr>
        <w:tc>
          <w:tcPr>
            <w:tcW w:type="dxa" w:w="1361"/>
          </w:tcPr>
          <w:p>
            <w:pPr>
              <w:spacing w:after="20" w:before="20" w:line="240" w:lineRule="auto"/>
            </w:pPr>
            <w:r/>
            <w:r>
              <w:rPr>
                <w:rFonts w:ascii="Calibri" w:hAnsi="Calibri"/>
                <w:b w:val="0"/>
                <w:sz w:val="16"/>
              </w:rPr>
              <w:t>Buy</w:t>
            </w:r>
          </w:p>
        </w:tc>
        <w:tc>
          <w:tcPr>
            <w:tcW w:type="dxa" w:w="2948"/>
          </w:tcPr>
          <w:p>
            <w:pPr>
              <w:spacing w:after="20" w:before="20" w:line="240" w:lineRule="auto"/>
            </w:pPr>
            <w:r/>
            <w:r>
              <w:rPr>
                <w:rFonts w:ascii="Calibri" w:hAnsi="Calibri"/>
                <w:b w:val="0"/>
                <w:sz w:val="16"/>
              </w:rPr>
              <w:t>Release, fast-track or add a purchase order</w:t>
            </w:r>
          </w:p>
        </w:tc>
        <w:tc>
          <w:tcPr>
            <w:tcW w:type="dxa" w:w="3061"/>
          </w:tcPr>
          <w:p>
            <w:pPr>
              <w:spacing w:after="20" w:before="20" w:line="240" w:lineRule="auto"/>
            </w:pPr>
            <w:r/>
            <w:r>
              <w:rPr>
                <w:rFonts w:ascii="Calibri" w:hAnsi="Calibri"/>
                <w:b w:val="0"/>
                <w:sz w:val="16"/>
              </w:rPr>
              <w:t>Cover below threshold; stock-out risk</w:t>
            </w:r>
          </w:p>
        </w:tc>
        <w:tc>
          <w:tcPr>
            <w:tcW w:type="dxa" w:w="2381"/>
          </w:tcPr>
          <w:p>
            <w:pPr>
              <w:spacing w:after="20" w:before="20" w:line="240" w:lineRule="auto"/>
            </w:pPr>
            <w:r/>
            <w:r>
              <w:rPr>
                <w:rFonts w:ascii="Calibri" w:hAnsi="Calibri"/>
                <w:b w:val="0"/>
                <w:sz w:val="16"/>
              </w:rPr>
              <w:t>Procurement officer</w:t>
            </w:r>
          </w:p>
        </w:tc>
      </w:tr>
      <w:tr>
        <w:tc>
          <w:tcPr>
            <w:tcW w:type="dxa" w:w="1361"/>
            <w:shd w:val="clear" w:fill="F7F9FB"/>
          </w:tcPr>
          <w:p>
            <w:pPr>
              <w:spacing w:after="20" w:before="20" w:line="240" w:lineRule="auto"/>
            </w:pPr>
            <w:r/>
            <w:r>
              <w:rPr>
                <w:rFonts w:ascii="Calibri" w:hAnsi="Calibri"/>
                <w:b w:val="0"/>
                <w:sz w:val="16"/>
              </w:rPr>
              <w:t>Defer / hold</w:t>
            </w:r>
          </w:p>
        </w:tc>
        <w:tc>
          <w:tcPr>
            <w:tcW w:type="dxa" w:w="2948"/>
            <w:shd w:val="clear" w:fill="F7F9FB"/>
          </w:tcPr>
          <w:p>
            <w:pPr>
              <w:spacing w:after="20" w:before="20" w:line="240" w:lineRule="auto"/>
            </w:pPr>
            <w:r/>
            <w:r>
              <w:rPr>
                <w:rFonts w:ascii="Calibri" w:hAnsi="Calibri"/>
                <w:b w:val="0"/>
                <w:sz w:val="16"/>
              </w:rPr>
              <w:t>Stop or delay ordering until cover normalises</w:t>
            </w:r>
          </w:p>
        </w:tc>
        <w:tc>
          <w:tcPr>
            <w:tcW w:type="dxa" w:w="3061"/>
            <w:shd w:val="clear" w:fill="F7F9FB"/>
          </w:tcPr>
          <w:p>
            <w:pPr>
              <w:spacing w:after="20" w:before="20" w:line="240" w:lineRule="auto"/>
            </w:pPr>
            <w:r/>
            <w:r>
              <w:rPr>
                <w:rFonts w:ascii="Calibri" w:hAnsi="Calibri"/>
                <w:b w:val="0"/>
                <w:sz w:val="16"/>
              </w:rPr>
              <w:t>Overstock; slow-moving; year-end</w:t>
            </w:r>
          </w:p>
        </w:tc>
        <w:tc>
          <w:tcPr>
            <w:tcW w:type="dxa" w:w="2381"/>
            <w:shd w:val="clear" w:fill="F7F9FB"/>
          </w:tcPr>
          <w:p>
            <w:pPr>
              <w:spacing w:after="20" w:before="20" w:line="240" w:lineRule="auto"/>
            </w:pPr>
            <w:r/>
            <w:r>
              <w:rPr>
                <w:rFonts w:ascii="Calibri" w:hAnsi="Calibri"/>
                <w:b w:val="0"/>
                <w:sz w:val="16"/>
              </w:rPr>
              <w:t>Head of Procurement</w:t>
            </w:r>
          </w:p>
        </w:tc>
      </w:tr>
      <w:tr>
        <w:tc>
          <w:tcPr>
            <w:tcW w:type="dxa" w:w="1361"/>
          </w:tcPr>
          <w:p>
            <w:pPr>
              <w:spacing w:after="20" w:before="20" w:line="240" w:lineRule="auto"/>
            </w:pPr>
            <w:r/>
            <w:r>
              <w:rPr>
                <w:rFonts w:ascii="Calibri" w:hAnsi="Calibri"/>
                <w:b w:val="0"/>
                <w:sz w:val="16"/>
              </w:rPr>
              <w:t>Transfer</w:t>
            </w:r>
          </w:p>
        </w:tc>
        <w:tc>
          <w:tcPr>
            <w:tcW w:type="dxa" w:w="2948"/>
          </w:tcPr>
          <w:p>
            <w:pPr>
              <w:spacing w:after="20" w:before="20" w:line="240" w:lineRule="auto"/>
            </w:pPr>
            <w:r/>
            <w:r>
              <w:rPr>
                <w:rFonts w:ascii="Calibri" w:hAnsi="Calibri"/>
                <w:b w:val="0"/>
                <w:sz w:val="16"/>
              </w:rPr>
              <w:t>Move stock between warehouses or projects</w:t>
            </w:r>
          </w:p>
        </w:tc>
        <w:tc>
          <w:tcPr>
            <w:tcW w:type="dxa" w:w="3061"/>
          </w:tcPr>
          <w:p>
            <w:pPr>
              <w:spacing w:after="20" w:before="20" w:line="240" w:lineRule="auto"/>
            </w:pPr>
            <w:r/>
            <w:r>
              <w:rPr>
                <w:rFonts w:ascii="Calibri" w:hAnsi="Calibri"/>
                <w:b w:val="0"/>
                <w:sz w:val="16"/>
              </w:rPr>
              <w:t>Surplus in one store, deficit in another</w:t>
            </w:r>
          </w:p>
        </w:tc>
        <w:tc>
          <w:tcPr>
            <w:tcW w:type="dxa" w:w="2381"/>
          </w:tcPr>
          <w:p>
            <w:pPr>
              <w:spacing w:after="20" w:before="20" w:line="240" w:lineRule="auto"/>
            </w:pPr>
            <w:r/>
            <w:r>
              <w:rPr>
                <w:rFonts w:ascii="Calibri" w:hAnsi="Calibri"/>
                <w:b w:val="0"/>
                <w:sz w:val="16"/>
              </w:rPr>
              <w:t>Supply chain officer</w:t>
            </w:r>
          </w:p>
        </w:tc>
      </w:tr>
      <w:tr>
        <w:tc>
          <w:tcPr>
            <w:tcW w:type="dxa" w:w="1361"/>
            <w:shd w:val="clear" w:fill="F7F9FB"/>
          </w:tcPr>
          <w:p>
            <w:pPr>
              <w:spacing w:after="20" w:before="20" w:line="240" w:lineRule="auto"/>
            </w:pPr>
            <w:r/>
            <w:r>
              <w:rPr>
                <w:rFonts w:ascii="Calibri" w:hAnsi="Calibri"/>
                <w:b w:val="0"/>
                <w:sz w:val="16"/>
              </w:rPr>
              <w:t>Consume first</w:t>
            </w:r>
          </w:p>
        </w:tc>
        <w:tc>
          <w:tcPr>
            <w:tcW w:type="dxa" w:w="2948"/>
            <w:shd w:val="clear" w:fill="F7F9FB"/>
          </w:tcPr>
          <w:p>
            <w:pPr>
              <w:spacing w:after="20" w:before="20" w:line="240" w:lineRule="auto"/>
            </w:pPr>
            <w:r/>
            <w:r>
              <w:rPr>
                <w:rFonts w:ascii="Calibri" w:hAnsi="Calibri"/>
                <w:b w:val="0"/>
                <w:sz w:val="16"/>
              </w:rPr>
              <w:t>Change issue sequencing to FEFO</w:t>
            </w:r>
          </w:p>
        </w:tc>
        <w:tc>
          <w:tcPr>
            <w:tcW w:type="dxa" w:w="3061"/>
            <w:shd w:val="clear" w:fill="F7F9FB"/>
          </w:tcPr>
          <w:p>
            <w:pPr>
              <w:spacing w:after="20" w:before="20" w:line="240" w:lineRule="auto"/>
            </w:pPr>
            <w:r/>
            <w:r>
              <w:rPr>
                <w:rFonts w:ascii="Calibri" w:hAnsi="Calibri"/>
                <w:b w:val="0"/>
                <w:sz w:val="16"/>
              </w:rPr>
              <w:t>Near-expiry batches</w:t>
            </w:r>
          </w:p>
        </w:tc>
        <w:tc>
          <w:tcPr>
            <w:tcW w:type="dxa" w:w="2381"/>
            <w:shd w:val="clear" w:fill="F7F9FB"/>
          </w:tcPr>
          <w:p>
            <w:pPr>
              <w:spacing w:after="20" w:before="20" w:line="240" w:lineRule="auto"/>
            </w:pPr>
            <w:r/>
            <w:r>
              <w:rPr>
                <w:rFonts w:ascii="Calibri" w:hAnsi="Calibri"/>
                <w:b w:val="0"/>
                <w:sz w:val="16"/>
              </w:rPr>
              <w:t>Stores in-charge</w:t>
            </w:r>
          </w:p>
        </w:tc>
      </w:tr>
      <w:tr>
        <w:tc>
          <w:tcPr>
            <w:tcW w:type="dxa" w:w="1361"/>
          </w:tcPr>
          <w:p>
            <w:pPr>
              <w:spacing w:after="20" w:before="20" w:line="240" w:lineRule="auto"/>
            </w:pPr>
            <w:r/>
            <w:r>
              <w:rPr>
                <w:rFonts w:ascii="Calibri" w:hAnsi="Calibri"/>
                <w:b w:val="0"/>
                <w:sz w:val="16"/>
              </w:rPr>
              <w:t>Write off</w:t>
            </w:r>
          </w:p>
        </w:tc>
        <w:tc>
          <w:tcPr>
            <w:tcW w:type="dxa" w:w="2948"/>
          </w:tcPr>
          <w:p>
            <w:pPr>
              <w:spacing w:after="20" w:before="20" w:line="240" w:lineRule="auto"/>
            </w:pPr>
            <w:r/>
            <w:r>
              <w:rPr>
                <w:rFonts w:ascii="Calibri" w:hAnsi="Calibri"/>
                <w:b w:val="0"/>
                <w:sz w:val="16"/>
              </w:rPr>
              <w:t>Recognise the loss and remove from stock</w:t>
            </w:r>
          </w:p>
        </w:tc>
        <w:tc>
          <w:tcPr>
            <w:tcW w:type="dxa" w:w="3061"/>
          </w:tcPr>
          <w:p>
            <w:pPr>
              <w:spacing w:after="20" w:before="20" w:line="240" w:lineRule="auto"/>
            </w:pPr>
            <w:r/>
            <w:r>
              <w:rPr>
                <w:rFonts w:ascii="Calibri" w:hAnsi="Calibri"/>
                <w:b w:val="0"/>
                <w:sz w:val="16"/>
              </w:rPr>
              <w:t>Expired or damaged stock</w:t>
            </w:r>
          </w:p>
        </w:tc>
        <w:tc>
          <w:tcPr>
            <w:tcW w:type="dxa" w:w="2381"/>
          </w:tcPr>
          <w:p>
            <w:pPr>
              <w:spacing w:after="20" w:before="20" w:line="240" w:lineRule="auto"/>
            </w:pPr>
            <w:r/>
            <w:r>
              <w:rPr>
                <w:rFonts w:ascii="Calibri" w:hAnsi="Calibri"/>
                <w:b w:val="0"/>
                <w:sz w:val="16"/>
              </w:rPr>
              <w:t>Stores + Finance</w:t>
            </w:r>
          </w:p>
        </w:tc>
      </w:tr>
      <w:tr>
        <w:tc>
          <w:tcPr>
            <w:tcW w:type="dxa" w:w="1361"/>
            <w:shd w:val="clear" w:fill="F7F9FB"/>
          </w:tcPr>
          <w:p>
            <w:pPr>
              <w:spacing w:after="20" w:before="20" w:line="240" w:lineRule="auto"/>
            </w:pPr>
            <w:r/>
            <w:r>
              <w:rPr>
                <w:rFonts w:ascii="Calibri" w:hAnsi="Calibri"/>
                <w:b w:val="0"/>
                <w:sz w:val="16"/>
              </w:rPr>
              <w:t>Reallocate</w:t>
            </w:r>
          </w:p>
        </w:tc>
        <w:tc>
          <w:tcPr>
            <w:tcW w:type="dxa" w:w="2948"/>
            <w:shd w:val="clear" w:fill="F7F9FB"/>
          </w:tcPr>
          <w:p>
            <w:pPr>
              <w:spacing w:after="20" w:before="20" w:line="240" w:lineRule="auto"/>
            </w:pPr>
            <w:r/>
            <w:r>
              <w:rPr>
                <w:rFonts w:ascii="Calibri" w:hAnsi="Calibri"/>
                <w:b w:val="0"/>
                <w:sz w:val="16"/>
              </w:rPr>
              <w:t>Move budget between categories or projects</w:t>
            </w:r>
          </w:p>
        </w:tc>
        <w:tc>
          <w:tcPr>
            <w:tcW w:type="dxa" w:w="3061"/>
            <w:shd w:val="clear" w:fill="F7F9FB"/>
          </w:tcPr>
          <w:p>
            <w:pPr>
              <w:spacing w:after="20" w:before="20" w:line="240" w:lineRule="auto"/>
            </w:pPr>
            <w:r/>
            <w:r>
              <w:rPr>
                <w:rFonts w:ascii="Calibri" w:hAnsi="Calibri"/>
                <w:b w:val="0"/>
                <w:sz w:val="16"/>
              </w:rPr>
              <w:t>Over/under-utilisation</w:t>
            </w:r>
          </w:p>
        </w:tc>
        <w:tc>
          <w:tcPr>
            <w:tcW w:type="dxa" w:w="2381"/>
            <w:shd w:val="clear" w:fill="F7F9FB"/>
          </w:tcPr>
          <w:p>
            <w:pPr>
              <w:spacing w:after="20" w:before="20" w:line="240" w:lineRule="auto"/>
            </w:pPr>
            <w:r/>
            <w:r>
              <w:rPr>
                <w:rFonts w:ascii="Calibri" w:hAnsi="Calibri"/>
                <w:b w:val="0"/>
                <w:sz w:val="16"/>
              </w:rPr>
              <w:t>Finance &amp; Grants</w:t>
            </w:r>
          </w:p>
        </w:tc>
      </w:tr>
      <w:tr>
        <w:tc>
          <w:tcPr>
            <w:tcW w:type="dxa" w:w="1361"/>
          </w:tcPr>
          <w:p>
            <w:pPr>
              <w:spacing w:after="20" w:before="20" w:line="240" w:lineRule="auto"/>
            </w:pPr>
            <w:r/>
            <w:r>
              <w:rPr>
                <w:rFonts w:ascii="Calibri" w:hAnsi="Calibri"/>
                <w:b w:val="0"/>
                <w:sz w:val="16"/>
              </w:rPr>
              <w:t>Correct</w:t>
            </w:r>
          </w:p>
        </w:tc>
        <w:tc>
          <w:tcPr>
            <w:tcW w:type="dxa" w:w="2948"/>
          </w:tcPr>
          <w:p>
            <w:pPr>
              <w:spacing w:after="20" w:before="20" w:line="240" w:lineRule="auto"/>
            </w:pPr>
            <w:r/>
            <w:r>
              <w:rPr>
                <w:rFonts w:ascii="Calibri" w:hAnsi="Calibri"/>
                <w:b w:val="0"/>
                <w:sz w:val="16"/>
              </w:rPr>
              <w:t>Fix coding, master data or duplicate records</w:t>
            </w:r>
          </w:p>
        </w:tc>
        <w:tc>
          <w:tcPr>
            <w:tcW w:type="dxa" w:w="3061"/>
          </w:tcPr>
          <w:p>
            <w:pPr>
              <w:spacing w:after="20" w:before="20" w:line="240" w:lineRule="auto"/>
            </w:pPr>
            <w:r/>
            <w:r>
              <w:rPr>
                <w:rFonts w:ascii="Calibri" w:hAnsi="Calibri"/>
                <w:b w:val="0"/>
                <w:sz w:val="16"/>
              </w:rPr>
              <w:t>Unattributed consumption; data defects</w:t>
            </w:r>
          </w:p>
        </w:tc>
        <w:tc>
          <w:tcPr>
            <w:tcW w:type="dxa" w:w="2381"/>
          </w:tcPr>
          <w:p>
            <w:pPr>
              <w:spacing w:after="20" w:before="20" w:line="240" w:lineRule="auto"/>
            </w:pPr>
            <w:r/>
            <w:r>
              <w:rPr>
                <w:rFonts w:ascii="Calibri" w:hAnsi="Calibri"/>
                <w:b w:val="0"/>
                <w:sz w:val="16"/>
              </w:rPr>
              <w:t>Procurement + IT</w:t>
            </w:r>
          </w:p>
        </w:tc>
      </w:tr>
      <w:tr>
        <w:tc>
          <w:tcPr>
            <w:tcW w:type="dxa" w:w="1361"/>
            <w:shd w:val="clear" w:fill="F7F9FB"/>
          </w:tcPr>
          <w:p>
            <w:pPr>
              <w:spacing w:after="20" w:before="20" w:line="240" w:lineRule="auto"/>
            </w:pPr>
            <w:r/>
            <w:r>
              <w:rPr>
                <w:rFonts w:ascii="Calibri" w:hAnsi="Calibri"/>
                <w:b w:val="0"/>
                <w:sz w:val="16"/>
              </w:rPr>
              <w:t>Renegotiate</w:t>
            </w:r>
          </w:p>
        </w:tc>
        <w:tc>
          <w:tcPr>
            <w:tcW w:type="dxa" w:w="2948"/>
            <w:shd w:val="clear" w:fill="F7F9FB"/>
          </w:tcPr>
          <w:p>
            <w:pPr>
              <w:spacing w:after="20" w:before="20" w:line="240" w:lineRule="auto"/>
            </w:pPr>
            <w:r/>
            <w:r>
              <w:rPr>
                <w:rFonts w:ascii="Calibri" w:hAnsi="Calibri"/>
                <w:b w:val="0"/>
                <w:sz w:val="16"/>
              </w:rPr>
              <w:t>Re-quote, invoke contract or change supplier</w:t>
            </w:r>
          </w:p>
        </w:tc>
        <w:tc>
          <w:tcPr>
            <w:tcW w:type="dxa" w:w="3061"/>
            <w:shd w:val="clear" w:fill="F7F9FB"/>
          </w:tcPr>
          <w:p>
            <w:pPr>
              <w:spacing w:after="20" w:before="20" w:line="240" w:lineRule="auto"/>
            </w:pPr>
            <w:r/>
            <w:r>
              <w:rPr>
                <w:rFonts w:ascii="Calibri" w:hAnsi="Calibri"/>
                <w:b w:val="0"/>
                <w:sz w:val="16"/>
              </w:rPr>
              <w:t>Price variance; supplier performance</w:t>
            </w:r>
          </w:p>
        </w:tc>
        <w:tc>
          <w:tcPr>
            <w:tcW w:type="dxa" w:w="2381"/>
            <w:shd w:val="clear" w:fill="F7F9FB"/>
          </w:tcPr>
          <w:p>
            <w:pPr>
              <w:spacing w:after="20" w:before="20" w:line="240" w:lineRule="auto"/>
            </w:pPr>
            <w:r/>
            <w:r>
              <w:rPr>
                <w:rFonts w:ascii="Calibri" w:hAnsi="Calibri"/>
                <w:b w:val="0"/>
                <w:sz w:val="16"/>
              </w:rPr>
              <w:t>Procurement</w:t>
            </w:r>
          </w:p>
        </w:tc>
      </w:tr>
      <w:tr>
        <w:tc>
          <w:tcPr>
            <w:tcW w:type="dxa" w:w="1361"/>
          </w:tcPr>
          <w:p>
            <w:pPr>
              <w:spacing w:after="20" w:before="20" w:line="240" w:lineRule="auto"/>
            </w:pPr>
            <w:r/>
            <w:r>
              <w:rPr>
                <w:rFonts w:ascii="Calibri" w:hAnsi="Calibri"/>
                <w:b w:val="0"/>
                <w:sz w:val="16"/>
              </w:rPr>
              <w:t>Redesign</w:t>
            </w:r>
          </w:p>
        </w:tc>
        <w:tc>
          <w:tcPr>
            <w:tcW w:type="dxa" w:w="2948"/>
          </w:tcPr>
          <w:p>
            <w:pPr>
              <w:spacing w:after="20" w:before="20" w:line="240" w:lineRule="auto"/>
            </w:pPr>
            <w:r/>
            <w:r>
              <w:rPr>
                <w:rFonts w:ascii="Calibri" w:hAnsi="Calibri"/>
                <w:b w:val="0"/>
                <w:sz w:val="16"/>
              </w:rPr>
              <w:t>Change the process or system control so the cause cannot recur</w:t>
            </w:r>
          </w:p>
        </w:tc>
        <w:tc>
          <w:tcPr>
            <w:tcW w:type="dxa" w:w="3061"/>
          </w:tcPr>
          <w:p>
            <w:pPr>
              <w:spacing w:after="20" w:before="20" w:line="240" w:lineRule="auto"/>
            </w:pPr>
            <w:r/>
            <w:r>
              <w:rPr>
                <w:rFonts w:ascii="Calibri" w:hAnsi="Calibri"/>
                <w:b w:val="0"/>
                <w:sz w:val="16"/>
              </w:rPr>
              <w:t>Repeat exceptions over three periods</w:t>
            </w:r>
          </w:p>
        </w:tc>
        <w:tc>
          <w:tcPr>
            <w:tcW w:type="dxa" w:w="2381"/>
          </w:tcPr>
          <w:p>
            <w:pPr>
              <w:spacing w:after="20" w:before="20" w:line="240" w:lineRule="auto"/>
            </w:pPr>
            <w:r/>
            <w:r>
              <w:rPr>
                <w:rFonts w:ascii="Calibri" w:hAnsi="Calibri"/>
                <w:b w:val="0"/>
                <w:sz w:val="16"/>
              </w:rPr>
              <w:t>Business owner</w:t>
            </w:r>
          </w:p>
        </w:tc>
      </w:tr>
    </w:tbl>
    <w:p>
      <w:pPr>
        <w:spacing w:after="20"/>
      </w:pPr>
    </w:p>
    <w:p>
      <w:r>
        <w:br w:type="page"/>
      </w:r>
    </w:p>
    <w:p>
      <w:pPr>
        <w:pStyle w:val="Heading1"/>
      </w:pPr>
      <w:r>
        <w:t>7. Live answers at this refresh</w:t>
      </w:r>
    </w:p>
    <w:p>
      <w:pPr>
        <w:spacing w:after="100"/>
      </w:pPr>
      <w:r>
        <w:rPr>
          <w:b w:val="0"/>
          <w:i w:val="0"/>
        </w:rPr>
        <w:t>The table below reproduces a selection of the answer sheet as at 2026-09-30. In the workbook, all questions are answered and every value is recomputed at the next refresh — the numbers here will therefore be different after the next load, while the questions and the thresholds stay the same.</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trPr>
        <w:tc>
          <w:tcPr>
            <w:tcW w:type="dxa" w:w="737"/>
            <w:shd w:val="clear" w:fill="1F3B57"/>
          </w:tcPr>
          <w:p>
            <w:pPr>
              <w:spacing w:after="20" w:before="20" w:line="240" w:lineRule="auto"/>
            </w:pPr>
            <w:r/>
            <w:r>
              <w:rPr>
                <w:rFonts w:ascii="Calibri" w:hAnsi="Calibri"/>
                <w:b/>
                <w:color w:val="FFFFFF"/>
                <w:sz w:val="16"/>
              </w:rPr>
              <w:t>Q ID</w:t>
            </w:r>
          </w:p>
        </w:tc>
        <w:tc>
          <w:tcPr>
            <w:tcW w:type="dxa" w:w="3742"/>
            <w:shd w:val="clear" w:fill="1F3B57"/>
          </w:tcPr>
          <w:p>
            <w:pPr>
              <w:spacing w:after="20" w:before="20" w:line="240" w:lineRule="auto"/>
            </w:pPr>
            <w:r/>
            <w:r>
              <w:rPr>
                <w:rFonts w:ascii="Calibri" w:hAnsi="Calibri"/>
                <w:b/>
                <w:color w:val="FFFFFF"/>
                <w:sz w:val="16"/>
              </w:rPr>
              <w:t>Question</w:t>
            </w:r>
          </w:p>
        </w:tc>
        <w:tc>
          <w:tcPr>
            <w:tcW w:type="dxa" w:w="2494"/>
            <w:shd w:val="clear" w:fill="1F3B57"/>
          </w:tcPr>
          <w:p>
            <w:pPr>
              <w:spacing w:after="20" w:before="20" w:line="240" w:lineRule="auto"/>
            </w:pPr>
            <w:r/>
            <w:r>
              <w:rPr>
                <w:rFonts w:ascii="Calibri" w:hAnsi="Calibri"/>
                <w:b/>
                <w:color w:val="FFFFFF"/>
                <w:sz w:val="16"/>
              </w:rPr>
              <w:t>Answer at this refresh</w:t>
            </w:r>
          </w:p>
        </w:tc>
        <w:tc>
          <w:tcPr>
            <w:tcW w:type="dxa" w:w="1701"/>
            <w:shd w:val="clear" w:fill="1F3B57"/>
          </w:tcPr>
          <w:p>
            <w:pPr>
              <w:spacing w:after="20" w:before="20" w:line="240" w:lineRule="auto"/>
            </w:pPr>
            <w:r/>
            <w:r>
              <w:rPr>
                <w:rFonts w:ascii="Calibri" w:hAnsi="Calibri"/>
                <w:b/>
                <w:color w:val="FFFFFF"/>
                <w:sz w:val="16"/>
              </w:rPr>
              <w:t>Target / band</w:t>
            </w:r>
          </w:p>
        </w:tc>
        <w:tc>
          <w:tcPr>
            <w:tcW w:type="dxa" w:w="1077"/>
            <w:shd w:val="clear" w:fill="1F3B57"/>
          </w:tcPr>
          <w:p>
            <w:pPr>
              <w:spacing w:after="20" w:before="20" w:line="240" w:lineRule="auto"/>
            </w:pPr>
            <w:r/>
            <w:r>
              <w:rPr>
                <w:rFonts w:ascii="Calibri" w:hAnsi="Calibri"/>
                <w:b/>
                <w:color w:val="FFFFFF"/>
                <w:sz w:val="16"/>
              </w:rPr>
              <w:t>Status</w:t>
            </w:r>
          </w:p>
        </w:tc>
      </w:tr>
      <w:tr>
        <w:tc>
          <w:tcPr>
            <w:tcW w:type="dxa" w:w="737"/>
          </w:tcPr>
          <w:p>
            <w:pPr>
              <w:spacing w:after="20" w:before="20" w:line="240" w:lineRule="auto"/>
              <w:jc w:val="center"/>
            </w:pPr>
            <w:r/>
            <w:r>
              <w:rPr>
                <w:rFonts w:ascii="Calibri" w:hAnsi="Calibri"/>
                <w:b w:val="0"/>
                <w:sz w:val="16"/>
              </w:rPr>
              <w:t>D-01</w:t>
            </w:r>
          </w:p>
        </w:tc>
        <w:tc>
          <w:tcPr>
            <w:tcW w:type="dxa" w:w="3742"/>
          </w:tcPr>
          <w:p>
            <w:pPr>
              <w:spacing w:after="20" w:before="20" w:line="240" w:lineRule="auto"/>
            </w:pPr>
            <w:r/>
            <w:r>
              <w:rPr>
                <w:rFonts w:ascii="Calibri" w:hAnsi="Calibri"/>
                <w:b w:val="0"/>
                <w:sz w:val="16"/>
              </w:rPr>
              <w:t>Total consumption value in the period</w:t>
            </w:r>
          </w:p>
        </w:tc>
        <w:tc>
          <w:tcPr>
            <w:tcW w:type="dxa" w:w="2494"/>
          </w:tcPr>
          <w:p>
            <w:pPr>
              <w:spacing w:after="20" w:before="20" w:line="240" w:lineRule="auto"/>
            </w:pPr>
            <w:r/>
            <w:r>
              <w:rPr>
                <w:rFonts w:ascii="Calibri" w:hAnsi="Calibri"/>
                <w:b w:val="0"/>
                <w:sz w:val="16"/>
              </w:rPr>
              <w:t>PKR 261,575,946</w:t>
            </w:r>
          </w:p>
        </w:tc>
        <w:tc>
          <w:tcPr>
            <w:tcW w:type="dxa" w:w="1701"/>
          </w:tcPr>
          <w:p>
            <w:pPr>
              <w:spacing w:after="20" w:before="20" w:line="240" w:lineRule="auto"/>
            </w:pPr>
            <w:r/>
            <w:r>
              <w:rPr>
                <w:rFonts w:ascii="Calibri" w:hAnsi="Calibri"/>
                <w:b w:val="0"/>
                <w:sz w:val="16"/>
              </w:rPr>
              <w:t>Report</w:t>
            </w:r>
          </w:p>
        </w:tc>
        <w:tc>
          <w:tcPr>
            <w:tcW w:type="dxa" w:w="1077"/>
          </w:tcPr>
          <w:p>
            <w:pPr>
              <w:spacing w:after="20" w:before="20" w:line="240" w:lineRule="auto"/>
              <w:jc w:val="center"/>
            </w:pPr>
            <w:r/>
            <w:r>
              <w:rPr>
                <w:rFonts w:ascii="Calibri" w:hAnsi="Calibri"/>
                <w:b w:val="0"/>
                <w:sz w:val="16"/>
              </w:rPr>
              <w:t>Info</w:t>
            </w:r>
          </w:p>
        </w:tc>
      </w:tr>
      <w:tr>
        <w:tc>
          <w:tcPr>
            <w:tcW w:type="dxa" w:w="737"/>
            <w:shd w:val="clear" w:fill="F7F9FB"/>
          </w:tcPr>
          <w:p>
            <w:pPr>
              <w:spacing w:after="20" w:before="20" w:line="240" w:lineRule="auto"/>
              <w:jc w:val="center"/>
            </w:pPr>
            <w:r/>
            <w:r>
              <w:rPr>
                <w:rFonts w:ascii="Calibri" w:hAnsi="Calibri"/>
                <w:b w:val="0"/>
                <w:sz w:val="16"/>
              </w:rPr>
              <w:t>D-02</w:t>
            </w:r>
          </w:p>
        </w:tc>
        <w:tc>
          <w:tcPr>
            <w:tcW w:type="dxa" w:w="3742"/>
            <w:shd w:val="clear" w:fill="F7F9FB"/>
          </w:tcPr>
          <w:p>
            <w:pPr>
              <w:spacing w:after="20" w:before="20" w:line="240" w:lineRule="auto"/>
            </w:pPr>
            <w:r/>
            <w:r>
              <w:rPr>
                <w:rFonts w:ascii="Calibri" w:hAnsi="Calibri"/>
                <w:b w:val="0"/>
                <w:sz w:val="16"/>
              </w:rPr>
              <w:t>Procurement investment (excl. cancelled)</w:t>
            </w:r>
          </w:p>
        </w:tc>
        <w:tc>
          <w:tcPr>
            <w:tcW w:type="dxa" w:w="2494"/>
            <w:shd w:val="clear" w:fill="F7F9FB"/>
          </w:tcPr>
          <w:p>
            <w:pPr>
              <w:spacing w:after="20" w:before="20" w:line="240" w:lineRule="auto"/>
            </w:pPr>
            <w:r/>
            <w:r>
              <w:rPr>
                <w:rFonts w:ascii="Calibri" w:hAnsi="Calibri"/>
                <w:b w:val="0"/>
                <w:sz w:val="16"/>
              </w:rPr>
              <w:t>PKR 300,845,060</w:t>
            </w:r>
          </w:p>
        </w:tc>
        <w:tc>
          <w:tcPr>
            <w:tcW w:type="dxa" w:w="1701"/>
            <w:shd w:val="clear" w:fill="F7F9FB"/>
          </w:tcPr>
          <w:p>
            <w:pPr>
              <w:spacing w:after="20" w:before="20" w:line="240" w:lineRule="auto"/>
            </w:pPr>
            <w:r/>
            <w:r>
              <w:rPr>
                <w:rFonts w:ascii="Calibri" w:hAnsi="Calibri"/>
                <w:b w:val="0"/>
                <w:sz w:val="16"/>
              </w:rPr>
              <w:t>Report</w:t>
            </w:r>
          </w:p>
        </w:tc>
        <w:tc>
          <w:tcPr>
            <w:tcW w:type="dxa" w:w="1077"/>
            <w:shd w:val="clear" w:fill="F7F9FB"/>
          </w:tcPr>
          <w:p>
            <w:pPr>
              <w:spacing w:after="20" w:before="20" w:line="240" w:lineRule="auto"/>
              <w:jc w:val="center"/>
            </w:pPr>
            <w:r/>
            <w:r>
              <w:rPr>
                <w:rFonts w:ascii="Calibri" w:hAnsi="Calibri"/>
                <w:b w:val="0"/>
                <w:sz w:val="16"/>
              </w:rPr>
              <w:t>Info</w:t>
            </w:r>
          </w:p>
        </w:tc>
      </w:tr>
      <w:tr>
        <w:tc>
          <w:tcPr>
            <w:tcW w:type="dxa" w:w="737"/>
          </w:tcPr>
          <w:p>
            <w:pPr>
              <w:spacing w:after="20" w:before="20" w:line="240" w:lineRule="auto"/>
              <w:jc w:val="center"/>
            </w:pPr>
            <w:r/>
            <w:r>
              <w:rPr>
                <w:rFonts w:ascii="Calibri" w:hAnsi="Calibri"/>
                <w:b w:val="0"/>
                <w:sz w:val="16"/>
              </w:rPr>
              <w:t>D-03</w:t>
            </w:r>
          </w:p>
        </w:tc>
        <w:tc>
          <w:tcPr>
            <w:tcW w:type="dxa" w:w="3742"/>
          </w:tcPr>
          <w:p>
            <w:pPr>
              <w:spacing w:after="20" w:before="20" w:line="240" w:lineRule="auto"/>
            </w:pPr>
            <w:r/>
            <w:r>
              <w:rPr>
                <w:rFonts w:ascii="Calibri" w:hAnsi="Calibri"/>
                <w:b w:val="0"/>
                <w:sz w:val="16"/>
              </w:rPr>
              <w:t>Consumption-to-investment ratio (period)</w:t>
            </w:r>
          </w:p>
        </w:tc>
        <w:tc>
          <w:tcPr>
            <w:tcW w:type="dxa" w:w="2494"/>
          </w:tcPr>
          <w:p>
            <w:pPr>
              <w:spacing w:after="20" w:before="20" w:line="240" w:lineRule="auto"/>
            </w:pPr>
            <w:r/>
            <w:r>
              <w:rPr>
                <w:rFonts w:ascii="Calibri" w:hAnsi="Calibri"/>
                <w:b w:val="0"/>
                <w:sz w:val="16"/>
              </w:rPr>
              <w:t>0.87</w:t>
            </w:r>
          </w:p>
        </w:tc>
        <w:tc>
          <w:tcPr>
            <w:tcW w:type="dxa" w:w="1701"/>
          </w:tcPr>
          <w:p>
            <w:pPr>
              <w:spacing w:after="20" w:before="20" w:line="240" w:lineRule="auto"/>
            </w:pPr>
            <w:r/>
            <w:r>
              <w:rPr>
                <w:rFonts w:ascii="Calibri" w:hAnsi="Calibri"/>
                <w:b w:val="0"/>
                <w:sz w:val="16"/>
              </w:rPr>
              <w:t>0.80 – 1.05</w:t>
            </w:r>
          </w:p>
        </w:tc>
        <w:tc>
          <w:tcPr>
            <w:tcW w:type="dxa" w:w="1077"/>
          </w:tcPr>
          <w:p>
            <w:pPr>
              <w:spacing w:after="20" w:before="20" w:line="240" w:lineRule="auto"/>
              <w:jc w:val="center"/>
            </w:pPr>
            <w:r/>
            <w:r>
              <w:rPr>
                <w:rFonts w:ascii="Calibri" w:hAnsi="Calibri"/>
                <w:b w:val="0"/>
                <w:sz w:val="16"/>
              </w:rPr>
              <w:t>Green</w:t>
            </w:r>
          </w:p>
        </w:tc>
      </w:tr>
      <w:tr>
        <w:tc>
          <w:tcPr>
            <w:tcW w:type="dxa" w:w="737"/>
            <w:shd w:val="clear" w:fill="F7F9FB"/>
          </w:tcPr>
          <w:p>
            <w:pPr>
              <w:spacing w:after="20" w:before="20" w:line="240" w:lineRule="auto"/>
              <w:jc w:val="center"/>
            </w:pPr>
            <w:r/>
            <w:r>
              <w:rPr>
                <w:rFonts w:ascii="Calibri" w:hAnsi="Calibri"/>
                <w:b w:val="0"/>
                <w:sz w:val="16"/>
              </w:rPr>
              <w:t>D-05</w:t>
            </w:r>
          </w:p>
        </w:tc>
        <w:tc>
          <w:tcPr>
            <w:tcW w:type="dxa" w:w="3742"/>
            <w:shd w:val="clear" w:fill="F7F9FB"/>
          </w:tcPr>
          <w:p>
            <w:pPr>
              <w:spacing w:after="20" w:before="20" w:line="240" w:lineRule="auto"/>
            </w:pPr>
            <w:r/>
            <w:r>
              <w:rPr>
                <w:rFonts w:ascii="Calibri" w:hAnsi="Calibri"/>
                <w:b w:val="0"/>
                <w:sz w:val="16"/>
              </w:rPr>
              <w:t>Share of consumption value held by the top 10 items</w:t>
            </w:r>
          </w:p>
        </w:tc>
        <w:tc>
          <w:tcPr>
            <w:tcW w:type="dxa" w:w="2494"/>
            <w:shd w:val="clear" w:fill="F7F9FB"/>
          </w:tcPr>
          <w:p>
            <w:pPr>
              <w:spacing w:after="20" w:before="20" w:line="240" w:lineRule="auto"/>
            </w:pPr>
            <w:r/>
            <w:r>
              <w:rPr>
                <w:rFonts w:ascii="Calibri" w:hAnsi="Calibri"/>
                <w:b w:val="0"/>
                <w:sz w:val="16"/>
              </w:rPr>
              <w:t>45.7%</w:t>
            </w:r>
          </w:p>
        </w:tc>
        <w:tc>
          <w:tcPr>
            <w:tcW w:type="dxa" w:w="1701"/>
            <w:shd w:val="clear" w:fill="F7F9FB"/>
          </w:tcPr>
          <w:p>
            <w:pPr>
              <w:spacing w:after="20" w:before="20" w:line="240" w:lineRule="auto"/>
            </w:pPr>
            <w:r/>
            <w:r>
              <w:rPr>
                <w:rFonts w:ascii="Calibri" w:hAnsi="Calibri"/>
                <w:b w:val="0"/>
                <w:sz w:val="16"/>
              </w:rPr>
              <w:t>Monitor</w:t>
            </w:r>
          </w:p>
        </w:tc>
        <w:tc>
          <w:tcPr>
            <w:tcW w:type="dxa" w:w="1077"/>
            <w:shd w:val="clear" w:fill="F7F9FB"/>
          </w:tcPr>
          <w:p>
            <w:pPr>
              <w:spacing w:after="20" w:before="20" w:line="240" w:lineRule="auto"/>
              <w:jc w:val="center"/>
            </w:pPr>
            <w:r/>
            <w:r>
              <w:rPr>
                <w:rFonts w:ascii="Calibri" w:hAnsi="Calibri"/>
                <w:b w:val="0"/>
                <w:sz w:val="16"/>
              </w:rPr>
              <w:t>Info</w:t>
            </w:r>
          </w:p>
        </w:tc>
      </w:tr>
      <w:tr>
        <w:tc>
          <w:tcPr>
            <w:tcW w:type="dxa" w:w="737"/>
          </w:tcPr>
          <w:p>
            <w:pPr>
              <w:spacing w:after="20" w:before="20" w:line="240" w:lineRule="auto"/>
              <w:jc w:val="center"/>
            </w:pPr>
            <w:r/>
            <w:r>
              <w:rPr>
                <w:rFonts w:ascii="Calibri" w:hAnsi="Calibri"/>
                <w:b w:val="0"/>
                <w:sz w:val="16"/>
              </w:rPr>
              <w:t>D-07</w:t>
            </w:r>
          </w:p>
        </w:tc>
        <w:tc>
          <w:tcPr>
            <w:tcW w:type="dxa" w:w="3742"/>
          </w:tcPr>
          <w:p>
            <w:pPr>
              <w:spacing w:after="20" w:before="20" w:line="240" w:lineRule="auto"/>
            </w:pPr>
            <w:r/>
            <w:r>
              <w:rPr>
                <w:rFonts w:ascii="Calibri" w:hAnsi="Calibri"/>
                <w:b w:val="0"/>
                <w:sz w:val="16"/>
              </w:rPr>
              <w:t>Peak consumption month in the period</w:t>
            </w:r>
          </w:p>
        </w:tc>
        <w:tc>
          <w:tcPr>
            <w:tcW w:type="dxa" w:w="2494"/>
          </w:tcPr>
          <w:p>
            <w:pPr>
              <w:spacing w:after="20" w:before="20" w:line="240" w:lineRule="auto"/>
            </w:pPr>
            <w:r/>
            <w:r>
              <w:rPr>
                <w:rFonts w:ascii="Calibri" w:hAnsi="Calibri"/>
                <w:b w:val="0"/>
                <w:sz w:val="16"/>
              </w:rPr>
              <w:t>Aug-2025</w:t>
            </w:r>
          </w:p>
        </w:tc>
        <w:tc>
          <w:tcPr>
            <w:tcW w:type="dxa" w:w="1701"/>
          </w:tcPr>
          <w:p>
            <w:pPr>
              <w:spacing w:after="20" w:before="20" w:line="240" w:lineRule="auto"/>
            </w:pPr>
            <w:r/>
            <w:r>
              <w:rPr>
                <w:rFonts w:ascii="Calibri" w:hAnsi="Calibri"/>
                <w:b w:val="0"/>
                <w:sz w:val="16"/>
              </w:rPr>
              <w:t>vs avg +52%</w:t>
            </w:r>
          </w:p>
        </w:tc>
        <w:tc>
          <w:tcPr>
            <w:tcW w:type="dxa" w:w="1077"/>
          </w:tcPr>
          <w:p>
            <w:pPr>
              <w:spacing w:after="20" w:before="20" w:line="240" w:lineRule="auto"/>
              <w:jc w:val="center"/>
            </w:pPr>
            <w:r/>
            <w:r>
              <w:rPr>
                <w:rFonts w:ascii="Calibri" w:hAnsi="Calibri"/>
                <w:b w:val="0"/>
                <w:sz w:val="16"/>
              </w:rPr>
              <w:t>Info</w:t>
            </w:r>
          </w:p>
        </w:tc>
      </w:tr>
      <w:tr>
        <w:tc>
          <w:tcPr>
            <w:tcW w:type="dxa" w:w="737"/>
            <w:shd w:val="clear" w:fill="F7F9FB"/>
          </w:tcPr>
          <w:p>
            <w:pPr>
              <w:spacing w:after="20" w:before="20" w:line="240" w:lineRule="auto"/>
              <w:jc w:val="center"/>
            </w:pPr>
            <w:r/>
            <w:r>
              <w:rPr>
                <w:rFonts w:ascii="Calibri" w:hAnsi="Calibri"/>
                <w:b w:val="0"/>
                <w:sz w:val="16"/>
              </w:rPr>
              <w:t>D-12</w:t>
            </w:r>
          </w:p>
        </w:tc>
        <w:tc>
          <w:tcPr>
            <w:tcW w:type="dxa" w:w="3742"/>
            <w:shd w:val="clear" w:fill="F7F9FB"/>
          </w:tcPr>
          <w:p>
            <w:pPr>
              <w:spacing w:after="20" w:before="20" w:line="240" w:lineRule="auto"/>
            </w:pPr>
            <w:r/>
            <w:r>
              <w:rPr>
                <w:rFonts w:ascii="Calibri" w:hAnsi="Calibri"/>
                <w:b w:val="0"/>
                <w:sz w:val="16"/>
              </w:rPr>
              <w:t>Items with less than 60 days of cover</w:t>
            </w:r>
          </w:p>
        </w:tc>
        <w:tc>
          <w:tcPr>
            <w:tcW w:type="dxa" w:w="2494"/>
            <w:shd w:val="clear" w:fill="F7F9FB"/>
          </w:tcPr>
          <w:p>
            <w:pPr>
              <w:spacing w:after="20" w:before="20" w:line="240" w:lineRule="auto"/>
            </w:pPr>
            <w:r/>
            <w:r>
              <w:rPr>
                <w:rFonts w:ascii="Calibri" w:hAnsi="Calibri"/>
                <w:b w:val="0"/>
                <w:sz w:val="16"/>
              </w:rPr>
              <w:t>3</w:t>
            </w:r>
          </w:p>
        </w:tc>
        <w:tc>
          <w:tcPr>
            <w:tcW w:type="dxa" w:w="1701"/>
            <w:shd w:val="clear" w:fill="F7F9FB"/>
          </w:tcPr>
          <w:p>
            <w:pPr>
              <w:spacing w:after="20" w:before="20" w:line="240" w:lineRule="auto"/>
            </w:pPr>
            <w:r/>
            <w:r>
              <w:rPr>
                <w:rFonts w:ascii="Calibri" w:hAnsi="Calibri"/>
                <w:b w:val="0"/>
                <w:sz w:val="16"/>
              </w:rPr>
              <w:t>0 critical</w:t>
            </w:r>
          </w:p>
        </w:tc>
        <w:tc>
          <w:tcPr>
            <w:tcW w:type="dxa" w:w="1077"/>
            <w:shd w:val="clear" w:fill="F7F9FB"/>
          </w:tcPr>
          <w:p>
            <w:pPr>
              <w:spacing w:after="20" w:before="20" w:line="240" w:lineRule="auto"/>
              <w:jc w:val="center"/>
            </w:pPr>
            <w:r/>
            <w:r>
              <w:rPr>
                <w:rFonts w:ascii="Calibri" w:hAnsi="Calibri"/>
                <w:b w:val="0"/>
                <w:sz w:val="16"/>
              </w:rPr>
              <w:t>Green</w:t>
            </w:r>
          </w:p>
        </w:tc>
      </w:tr>
      <w:tr>
        <w:tc>
          <w:tcPr>
            <w:tcW w:type="dxa" w:w="737"/>
          </w:tcPr>
          <w:p>
            <w:pPr>
              <w:spacing w:after="20" w:before="20" w:line="240" w:lineRule="auto"/>
              <w:jc w:val="center"/>
            </w:pPr>
            <w:r/>
            <w:r>
              <w:rPr>
                <w:rFonts w:ascii="Calibri" w:hAnsi="Calibri"/>
                <w:b w:val="0"/>
                <w:sz w:val="16"/>
              </w:rPr>
              <w:t>D-12</w:t>
            </w:r>
          </w:p>
        </w:tc>
        <w:tc>
          <w:tcPr>
            <w:tcW w:type="dxa" w:w="3742"/>
          </w:tcPr>
          <w:p>
            <w:pPr>
              <w:spacing w:after="20" w:before="20" w:line="240" w:lineRule="auto"/>
            </w:pPr>
            <w:r/>
            <w:r>
              <w:rPr>
                <w:rFonts w:ascii="Calibri" w:hAnsi="Calibri"/>
                <w:b w:val="0"/>
                <w:sz w:val="16"/>
              </w:rPr>
              <w:t>Lowest cover item</w:t>
            </w:r>
          </w:p>
        </w:tc>
        <w:tc>
          <w:tcPr>
            <w:tcW w:type="dxa" w:w="2494"/>
          </w:tcPr>
          <w:p>
            <w:pPr>
              <w:spacing w:after="20" w:before="20" w:line="240" w:lineRule="auto"/>
            </w:pPr>
            <w:r/>
            <w:r>
              <w:rPr>
                <w:rFonts w:ascii="Calibri" w:hAnsi="Calibri"/>
                <w:b w:val="0"/>
                <w:sz w:val="16"/>
              </w:rPr>
              <w:t>F-100 Therapeutic Milk 400 g</w:t>
            </w:r>
          </w:p>
        </w:tc>
        <w:tc>
          <w:tcPr>
            <w:tcW w:type="dxa" w:w="1701"/>
          </w:tcPr>
          <w:p>
            <w:pPr>
              <w:spacing w:after="20" w:before="20" w:line="240" w:lineRule="auto"/>
            </w:pPr>
            <w:r/>
            <w:r>
              <w:rPr>
                <w:rFonts w:ascii="Calibri" w:hAnsi="Calibri"/>
                <w:b w:val="0"/>
                <w:sz w:val="16"/>
              </w:rPr>
              <w:t>32 days</w:t>
            </w:r>
          </w:p>
        </w:tc>
        <w:tc>
          <w:tcPr>
            <w:tcW w:type="dxa" w:w="1077"/>
          </w:tcPr>
          <w:p>
            <w:pPr>
              <w:spacing w:after="20" w:before="20" w:line="240" w:lineRule="auto"/>
              <w:jc w:val="center"/>
            </w:pPr>
            <w:r/>
            <w:r>
              <w:rPr>
                <w:rFonts w:ascii="Calibri" w:hAnsi="Calibri"/>
                <w:b w:val="0"/>
                <w:sz w:val="16"/>
              </w:rPr>
              <w:t>Red</w:t>
            </w:r>
          </w:p>
        </w:tc>
      </w:tr>
      <w:tr>
        <w:tc>
          <w:tcPr>
            <w:tcW w:type="dxa" w:w="737"/>
            <w:shd w:val="clear" w:fill="F7F9FB"/>
          </w:tcPr>
          <w:p>
            <w:pPr>
              <w:spacing w:after="20" w:before="20" w:line="240" w:lineRule="auto"/>
              <w:jc w:val="center"/>
            </w:pPr>
            <w:r/>
            <w:r>
              <w:rPr>
                <w:rFonts w:ascii="Calibri" w:hAnsi="Calibri"/>
                <w:b w:val="0"/>
                <w:sz w:val="16"/>
              </w:rPr>
              <w:t>D-13</w:t>
            </w:r>
          </w:p>
        </w:tc>
        <w:tc>
          <w:tcPr>
            <w:tcW w:type="dxa" w:w="3742"/>
            <w:shd w:val="clear" w:fill="F7F9FB"/>
          </w:tcPr>
          <w:p>
            <w:pPr>
              <w:spacing w:after="20" w:before="20" w:line="240" w:lineRule="auto"/>
            </w:pPr>
            <w:r/>
            <w:r>
              <w:rPr>
                <w:rFonts w:ascii="Calibri" w:hAnsi="Calibri"/>
                <w:b w:val="0"/>
                <w:sz w:val="16"/>
              </w:rPr>
              <w:t>Expired stock held (value)</w:t>
            </w:r>
          </w:p>
        </w:tc>
        <w:tc>
          <w:tcPr>
            <w:tcW w:type="dxa" w:w="2494"/>
            <w:shd w:val="clear" w:fill="F7F9FB"/>
          </w:tcPr>
          <w:p>
            <w:pPr>
              <w:spacing w:after="20" w:before="20" w:line="240" w:lineRule="auto"/>
            </w:pPr>
            <w:r/>
            <w:r>
              <w:rPr>
                <w:rFonts w:ascii="Calibri" w:hAnsi="Calibri"/>
                <w:b w:val="0"/>
                <w:sz w:val="16"/>
              </w:rPr>
              <w:t>PKR 783,764</w:t>
            </w:r>
          </w:p>
        </w:tc>
        <w:tc>
          <w:tcPr>
            <w:tcW w:type="dxa" w:w="1701"/>
            <w:shd w:val="clear" w:fill="F7F9FB"/>
          </w:tcPr>
          <w:p>
            <w:pPr>
              <w:spacing w:after="20" w:before="20" w:line="240" w:lineRule="auto"/>
            </w:pPr>
            <w:r/>
            <w:r>
              <w:rPr>
                <w:rFonts w:ascii="Calibri" w:hAnsi="Calibri"/>
                <w:b w:val="0"/>
                <w:sz w:val="16"/>
              </w:rPr>
              <w:t>Zero</w:t>
            </w:r>
          </w:p>
        </w:tc>
        <w:tc>
          <w:tcPr>
            <w:tcW w:type="dxa" w:w="1077"/>
            <w:shd w:val="clear" w:fill="F7F9FB"/>
          </w:tcPr>
          <w:p>
            <w:pPr>
              <w:spacing w:after="20" w:before="20" w:line="240" w:lineRule="auto"/>
              <w:jc w:val="center"/>
            </w:pPr>
            <w:r/>
            <w:r>
              <w:rPr>
                <w:rFonts w:ascii="Calibri" w:hAnsi="Calibri"/>
                <w:b w:val="0"/>
                <w:sz w:val="16"/>
              </w:rPr>
              <w:t>Red</w:t>
            </w:r>
          </w:p>
        </w:tc>
      </w:tr>
      <w:tr>
        <w:tc>
          <w:tcPr>
            <w:tcW w:type="dxa" w:w="737"/>
          </w:tcPr>
          <w:p>
            <w:pPr>
              <w:spacing w:after="20" w:before="20" w:line="240" w:lineRule="auto"/>
              <w:jc w:val="center"/>
            </w:pPr>
            <w:r/>
            <w:r>
              <w:rPr>
                <w:rFonts w:ascii="Calibri" w:hAnsi="Calibri"/>
                <w:b w:val="0"/>
                <w:sz w:val="16"/>
              </w:rPr>
              <w:t>D-13</w:t>
            </w:r>
          </w:p>
        </w:tc>
        <w:tc>
          <w:tcPr>
            <w:tcW w:type="dxa" w:w="3742"/>
          </w:tcPr>
          <w:p>
            <w:pPr>
              <w:spacing w:after="20" w:before="20" w:line="240" w:lineRule="auto"/>
            </w:pPr>
            <w:r/>
            <w:r>
              <w:rPr>
                <w:rFonts w:ascii="Calibri" w:hAnsi="Calibri"/>
                <w:b w:val="0"/>
                <w:sz w:val="16"/>
              </w:rPr>
              <w:t>Stock expiring within 60 days (value)</w:t>
            </w:r>
          </w:p>
        </w:tc>
        <w:tc>
          <w:tcPr>
            <w:tcW w:type="dxa" w:w="2494"/>
          </w:tcPr>
          <w:p>
            <w:pPr>
              <w:spacing w:after="20" w:before="20" w:line="240" w:lineRule="auto"/>
            </w:pPr>
            <w:r/>
            <w:r>
              <w:rPr>
                <w:rFonts w:ascii="Calibri" w:hAnsi="Calibri"/>
                <w:b w:val="0"/>
                <w:sz w:val="16"/>
              </w:rPr>
              <w:t>PKR 950,940</w:t>
            </w:r>
          </w:p>
        </w:tc>
        <w:tc>
          <w:tcPr>
            <w:tcW w:type="dxa" w:w="1701"/>
          </w:tcPr>
          <w:p>
            <w:pPr>
              <w:spacing w:after="20" w:before="20" w:line="240" w:lineRule="auto"/>
            </w:pPr>
            <w:r/>
            <w:r>
              <w:rPr>
                <w:rFonts w:ascii="Calibri" w:hAnsi="Calibri"/>
                <w:b w:val="0"/>
                <w:sz w:val="16"/>
              </w:rPr>
              <w:t>Minimise</w:t>
            </w:r>
          </w:p>
        </w:tc>
        <w:tc>
          <w:tcPr>
            <w:tcW w:type="dxa" w:w="1077"/>
          </w:tcPr>
          <w:p>
            <w:pPr>
              <w:spacing w:after="20" w:before="20" w:line="240" w:lineRule="auto"/>
              <w:jc w:val="center"/>
            </w:pPr>
            <w:r/>
            <w:r>
              <w:rPr>
                <w:rFonts w:ascii="Calibri" w:hAnsi="Calibri"/>
                <w:b w:val="0"/>
                <w:sz w:val="16"/>
              </w:rPr>
              <w:t>Red</w:t>
            </w:r>
          </w:p>
        </w:tc>
      </w:tr>
      <w:tr>
        <w:tc>
          <w:tcPr>
            <w:tcW w:type="dxa" w:w="737"/>
            <w:shd w:val="clear" w:fill="F7F9FB"/>
          </w:tcPr>
          <w:p>
            <w:pPr>
              <w:spacing w:after="20" w:before="20" w:line="240" w:lineRule="auto"/>
              <w:jc w:val="center"/>
            </w:pPr>
            <w:r/>
            <w:r>
              <w:rPr>
                <w:rFonts w:ascii="Calibri" w:hAnsi="Calibri"/>
                <w:b w:val="0"/>
                <w:sz w:val="16"/>
              </w:rPr>
              <w:t>D-14</w:t>
            </w:r>
          </w:p>
        </w:tc>
        <w:tc>
          <w:tcPr>
            <w:tcW w:type="dxa" w:w="3742"/>
            <w:shd w:val="clear" w:fill="F7F9FB"/>
          </w:tcPr>
          <w:p>
            <w:pPr>
              <w:spacing w:after="20" w:before="20" w:line="240" w:lineRule="auto"/>
            </w:pPr>
            <w:r/>
            <w:r>
              <w:rPr>
                <w:rFonts w:ascii="Calibri" w:hAnsi="Calibri"/>
                <w:b w:val="0"/>
                <w:sz w:val="16"/>
              </w:rPr>
              <w:t>Slow / non-moving items (count)</w:t>
            </w:r>
          </w:p>
        </w:tc>
        <w:tc>
          <w:tcPr>
            <w:tcW w:type="dxa" w:w="2494"/>
            <w:shd w:val="clear" w:fill="F7F9FB"/>
          </w:tcPr>
          <w:p>
            <w:pPr>
              <w:spacing w:after="20" w:before="20" w:line="240" w:lineRule="auto"/>
            </w:pPr>
            <w:r/>
            <w:r>
              <w:rPr>
                <w:rFonts w:ascii="Calibri" w:hAnsi="Calibri"/>
                <w:b w:val="0"/>
                <w:sz w:val="16"/>
              </w:rPr>
              <w:t>5</w:t>
            </w:r>
          </w:p>
        </w:tc>
        <w:tc>
          <w:tcPr>
            <w:tcW w:type="dxa" w:w="1701"/>
            <w:shd w:val="clear" w:fill="F7F9FB"/>
          </w:tcPr>
          <w:p>
            <w:pPr>
              <w:spacing w:after="20" w:before="20" w:line="240" w:lineRule="auto"/>
            </w:pPr>
            <w:r/>
            <w:r>
              <w:rPr>
                <w:rFonts w:ascii="Calibri" w:hAnsi="Calibri"/>
                <w:b w:val="0"/>
                <w:sz w:val="16"/>
              </w:rPr>
              <w:t>Minimise</w:t>
            </w:r>
          </w:p>
        </w:tc>
        <w:tc>
          <w:tcPr>
            <w:tcW w:type="dxa" w:w="1077"/>
            <w:shd w:val="clear" w:fill="F7F9FB"/>
          </w:tcPr>
          <w:p>
            <w:pPr>
              <w:spacing w:after="20" w:before="20" w:line="240" w:lineRule="auto"/>
              <w:jc w:val="center"/>
            </w:pPr>
            <w:r/>
            <w:r>
              <w:rPr>
                <w:rFonts w:ascii="Calibri" w:hAnsi="Calibri"/>
                <w:b w:val="0"/>
                <w:sz w:val="16"/>
              </w:rPr>
              <w:t>Red</w:t>
            </w:r>
          </w:p>
        </w:tc>
      </w:tr>
      <w:tr>
        <w:tc>
          <w:tcPr>
            <w:tcW w:type="dxa" w:w="737"/>
          </w:tcPr>
          <w:p>
            <w:pPr>
              <w:spacing w:after="20" w:before="20" w:line="240" w:lineRule="auto"/>
              <w:jc w:val="center"/>
            </w:pPr>
            <w:r/>
            <w:r>
              <w:rPr>
                <w:rFonts w:ascii="Calibri" w:hAnsi="Calibri"/>
                <w:b w:val="0"/>
                <w:sz w:val="16"/>
              </w:rPr>
              <w:t>D-15</w:t>
            </w:r>
          </w:p>
        </w:tc>
        <w:tc>
          <w:tcPr>
            <w:tcW w:type="dxa" w:w="3742"/>
          </w:tcPr>
          <w:p>
            <w:pPr>
              <w:spacing w:after="20" w:before="20" w:line="240" w:lineRule="auto"/>
            </w:pPr>
            <w:r/>
            <w:r>
              <w:rPr>
                <w:rFonts w:ascii="Calibri" w:hAnsi="Calibri"/>
                <w:b w:val="0"/>
                <w:sz w:val="16"/>
              </w:rPr>
              <w:t>Number of PO lines with an open balance</w:t>
            </w:r>
          </w:p>
        </w:tc>
        <w:tc>
          <w:tcPr>
            <w:tcW w:type="dxa" w:w="2494"/>
          </w:tcPr>
          <w:p>
            <w:pPr>
              <w:spacing w:after="20" w:before="20" w:line="240" w:lineRule="auto"/>
            </w:pPr>
            <w:r/>
            <w:r>
              <w:rPr>
                <w:rFonts w:ascii="Calibri" w:hAnsi="Calibri"/>
                <w:b w:val="0"/>
                <w:sz w:val="16"/>
              </w:rPr>
              <w:t>320</w:t>
            </w:r>
          </w:p>
        </w:tc>
        <w:tc>
          <w:tcPr>
            <w:tcW w:type="dxa" w:w="1701"/>
          </w:tcPr>
          <w:p>
            <w:pPr>
              <w:spacing w:after="20" w:before="20" w:line="240" w:lineRule="auto"/>
            </w:pPr>
            <w:r/>
            <w:r>
              <w:rPr>
                <w:rFonts w:ascii="Calibri" w:hAnsi="Calibri"/>
                <w:b w:val="0"/>
                <w:sz w:val="16"/>
              </w:rPr>
              <w:t>Trend down</w:t>
            </w:r>
          </w:p>
        </w:tc>
        <w:tc>
          <w:tcPr>
            <w:tcW w:type="dxa" w:w="1077"/>
          </w:tcPr>
          <w:p>
            <w:pPr>
              <w:spacing w:after="20" w:before="20" w:line="240" w:lineRule="auto"/>
              <w:jc w:val="center"/>
            </w:pPr>
            <w:r/>
            <w:r>
              <w:rPr>
                <w:rFonts w:ascii="Calibri" w:hAnsi="Calibri"/>
                <w:b w:val="0"/>
                <w:sz w:val="16"/>
              </w:rPr>
              <w:t>Info</w:t>
            </w:r>
          </w:p>
        </w:tc>
      </w:tr>
      <w:tr>
        <w:tc>
          <w:tcPr>
            <w:tcW w:type="dxa" w:w="737"/>
            <w:shd w:val="clear" w:fill="F7F9FB"/>
          </w:tcPr>
          <w:p>
            <w:pPr>
              <w:spacing w:after="20" w:before="20" w:line="240" w:lineRule="auto"/>
              <w:jc w:val="center"/>
            </w:pPr>
            <w:r/>
            <w:r>
              <w:rPr>
                <w:rFonts w:ascii="Calibri" w:hAnsi="Calibri"/>
                <w:b w:val="0"/>
                <w:sz w:val="16"/>
              </w:rPr>
              <w:t>D-16</w:t>
            </w:r>
          </w:p>
        </w:tc>
        <w:tc>
          <w:tcPr>
            <w:tcW w:type="dxa" w:w="3742"/>
            <w:shd w:val="clear" w:fill="F7F9FB"/>
          </w:tcPr>
          <w:p>
            <w:pPr>
              <w:spacing w:after="20" w:before="20" w:line="240" w:lineRule="auto"/>
            </w:pPr>
            <w:r/>
            <w:r>
              <w:rPr>
                <w:rFonts w:ascii="Calibri" w:hAnsi="Calibri"/>
                <w:b w:val="0"/>
                <w:sz w:val="16"/>
              </w:rPr>
              <w:t>Cancelled purchase order lines</w:t>
            </w:r>
          </w:p>
        </w:tc>
        <w:tc>
          <w:tcPr>
            <w:tcW w:type="dxa" w:w="2494"/>
            <w:shd w:val="clear" w:fill="F7F9FB"/>
          </w:tcPr>
          <w:p>
            <w:pPr>
              <w:spacing w:after="20" w:before="20" w:line="240" w:lineRule="auto"/>
            </w:pPr>
            <w:r/>
            <w:r>
              <w:rPr>
                <w:rFonts w:ascii="Calibri" w:hAnsi="Calibri"/>
                <w:b w:val="0"/>
                <w:sz w:val="16"/>
              </w:rPr>
              <w:t>847</w:t>
            </w:r>
          </w:p>
        </w:tc>
        <w:tc>
          <w:tcPr>
            <w:tcW w:type="dxa" w:w="1701"/>
            <w:shd w:val="clear" w:fill="F7F9FB"/>
          </w:tcPr>
          <w:p>
            <w:pPr>
              <w:spacing w:after="20" w:before="20" w:line="240" w:lineRule="auto"/>
            </w:pPr>
            <w:r/>
            <w:r>
              <w:rPr>
                <w:rFonts w:ascii="Calibri" w:hAnsi="Calibri"/>
                <w:b w:val="0"/>
                <w:sz w:val="16"/>
              </w:rPr>
              <w:t>&lt; 2% of lines</w:t>
            </w:r>
          </w:p>
        </w:tc>
        <w:tc>
          <w:tcPr>
            <w:tcW w:type="dxa" w:w="1077"/>
            <w:shd w:val="clear" w:fill="F7F9FB"/>
          </w:tcPr>
          <w:p>
            <w:pPr>
              <w:spacing w:after="20" w:before="20" w:line="240" w:lineRule="auto"/>
              <w:jc w:val="center"/>
            </w:pPr>
            <w:r/>
            <w:r>
              <w:rPr>
                <w:rFonts w:ascii="Calibri" w:hAnsi="Calibri"/>
                <w:b w:val="0"/>
                <w:sz w:val="16"/>
              </w:rPr>
              <w:t>Red</w:t>
            </w:r>
          </w:p>
        </w:tc>
      </w:tr>
      <w:tr>
        <w:tc>
          <w:tcPr>
            <w:tcW w:type="dxa" w:w="737"/>
          </w:tcPr>
          <w:p>
            <w:pPr>
              <w:spacing w:after="20" w:before="20" w:line="240" w:lineRule="auto"/>
              <w:jc w:val="center"/>
            </w:pPr>
            <w:r/>
            <w:r>
              <w:rPr>
                <w:rFonts w:ascii="Calibri" w:hAnsi="Calibri"/>
                <w:b w:val="0"/>
                <w:sz w:val="16"/>
              </w:rPr>
              <w:t>D-17</w:t>
            </w:r>
          </w:p>
        </w:tc>
        <w:tc>
          <w:tcPr>
            <w:tcW w:type="dxa" w:w="3742"/>
          </w:tcPr>
          <w:p>
            <w:pPr>
              <w:spacing w:after="20" w:before="20" w:line="240" w:lineRule="auto"/>
            </w:pPr>
            <w:r/>
            <w:r>
              <w:rPr>
                <w:rFonts w:ascii="Calibri" w:hAnsi="Calibri"/>
                <w:b w:val="0"/>
                <w:sz w:val="16"/>
              </w:rPr>
              <w:t>Average unit price movement, first vs latest purchase</w:t>
            </w:r>
          </w:p>
        </w:tc>
        <w:tc>
          <w:tcPr>
            <w:tcW w:type="dxa" w:w="2494"/>
          </w:tcPr>
          <w:p>
            <w:pPr>
              <w:spacing w:after="20" w:before="20" w:line="240" w:lineRule="auto"/>
            </w:pPr>
            <w:r/>
            <w:r>
              <w:rPr>
                <w:rFonts w:ascii="Calibri" w:hAnsi="Calibri"/>
                <w:b w:val="0"/>
                <w:sz w:val="16"/>
              </w:rPr>
              <w:t>16.2%</w:t>
            </w:r>
          </w:p>
        </w:tc>
        <w:tc>
          <w:tcPr>
            <w:tcW w:type="dxa" w:w="1701"/>
          </w:tcPr>
          <w:p>
            <w:pPr>
              <w:spacing w:after="20" w:before="20" w:line="240" w:lineRule="auto"/>
            </w:pPr>
            <w:r/>
            <w:r>
              <w:rPr>
                <w:rFonts w:ascii="Calibri" w:hAnsi="Calibri"/>
                <w:b w:val="0"/>
                <w:sz w:val="16"/>
              </w:rPr>
              <w:t>&lt; 10%</w:t>
            </w:r>
          </w:p>
        </w:tc>
        <w:tc>
          <w:tcPr>
            <w:tcW w:type="dxa" w:w="1077"/>
          </w:tcPr>
          <w:p>
            <w:pPr>
              <w:spacing w:after="20" w:before="20" w:line="240" w:lineRule="auto"/>
              <w:jc w:val="center"/>
            </w:pPr>
            <w:r/>
            <w:r>
              <w:rPr>
                <w:rFonts w:ascii="Calibri" w:hAnsi="Calibri"/>
                <w:b w:val="0"/>
                <w:sz w:val="16"/>
              </w:rPr>
              <w:t>Red</w:t>
            </w:r>
          </w:p>
        </w:tc>
      </w:tr>
      <w:tr>
        <w:tc>
          <w:tcPr>
            <w:tcW w:type="dxa" w:w="737"/>
            <w:shd w:val="clear" w:fill="F7F9FB"/>
          </w:tcPr>
          <w:p>
            <w:pPr>
              <w:spacing w:after="20" w:before="20" w:line="240" w:lineRule="auto"/>
              <w:jc w:val="center"/>
            </w:pPr>
            <w:r/>
            <w:r>
              <w:rPr>
                <w:rFonts w:ascii="Calibri" w:hAnsi="Calibri"/>
                <w:b w:val="0"/>
                <w:sz w:val="16"/>
              </w:rPr>
              <w:t>D-19</w:t>
            </w:r>
          </w:p>
        </w:tc>
        <w:tc>
          <w:tcPr>
            <w:tcW w:type="dxa" w:w="3742"/>
            <w:shd w:val="clear" w:fill="F7F9FB"/>
          </w:tcPr>
          <w:p>
            <w:pPr>
              <w:spacing w:after="20" w:before="20" w:line="240" w:lineRule="auto"/>
            </w:pPr>
            <w:r/>
            <w:r>
              <w:rPr>
                <w:rFonts w:ascii="Calibri" w:hAnsi="Calibri"/>
                <w:b w:val="0"/>
                <w:sz w:val="16"/>
              </w:rPr>
              <w:t>Cost per beneficiary for the period</w:t>
            </w:r>
          </w:p>
        </w:tc>
        <w:tc>
          <w:tcPr>
            <w:tcW w:type="dxa" w:w="2494"/>
            <w:shd w:val="clear" w:fill="F7F9FB"/>
          </w:tcPr>
          <w:p>
            <w:pPr>
              <w:spacing w:after="20" w:before="20" w:line="240" w:lineRule="auto"/>
            </w:pPr>
            <w:r/>
            <w:r>
              <w:rPr>
                <w:rFonts w:ascii="Calibri" w:hAnsi="Calibri"/>
                <w:b w:val="0"/>
                <w:sz w:val="16"/>
              </w:rPr>
              <w:t>PKR 385</w:t>
            </w:r>
          </w:p>
        </w:tc>
        <w:tc>
          <w:tcPr>
            <w:tcW w:type="dxa" w:w="1701"/>
            <w:shd w:val="clear" w:fill="F7F9FB"/>
          </w:tcPr>
          <w:p>
            <w:pPr>
              <w:spacing w:after="20" w:before="20" w:line="240" w:lineRule="auto"/>
            </w:pPr>
            <w:r/>
            <w:r>
              <w:rPr>
                <w:rFonts w:ascii="Calibri" w:hAnsi="Calibri"/>
                <w:b w:val="0"/>
                <w:sz w:val="16"/>
              </w:rPr>
              <w:t>Peer band</w:t>
            </w:r>
          </w:p>
        </w:tc>
        <w:tc>
          <w:tcPr>
            <w:tcW w:type="dxa" w:w="1077"/>
            <w:shd w:val="clear" w:fill="F7F9FB"/>
          </w:tcPr>
          <w:p>
            <w:pPr>
              <w:spacing w:after="20" w:before="20" w:line="240" w:lineRule="auto"/>
              <w:jc w:val="center"/>
            </w:pPr>
            <w:r/>
            <w:r>
              <w:rPr>
                <w:rFonts w:ascii="Calibri" w:hAnsi="Calibri"/>
                <w:b w:val="0"/>
                <w:sz w:val="16"/>
              </w:rPr>
              <w:t>Info</w:t>
            </w:r>
          </w:p>
        </w:tc>
      </w:tr>
      <w:tr>
        <w:tc>
          <w:tcPr>
            <w:tcW w:type="dxa" w:w="737"/>
          </w:tcPr>
          <w:p>
            <w:pPr>
              <w:spacing w:after="20" w:before="20" w:line="240" w:lineRule="auto"/>
              <w:jc w:val="center"/>
            </w:pPr>
            <w:r/>
            <w:r>
              <w:rPr>
                <w:rFonts w:ascii="Calibri" w:hAnsi="Calibri"/>
                <w:b w:val="0"/>
                <w:sz w:val="16"/>
              </w:rPr>
              <w:t>D-20</w:t>
            </w:r>
          </w:p>
        </w:tc>
        <w:tc>
          <w:tcPr>
            <w:tcW w:type="dxa" w:w="3742"/>
          </w:tcPr>
          <w:p>
            <w:pPr>
              <w:spacing w:after="20" w:before="20" w:line="240" w:lineRule="auto"/>
            </w:pPr>
            <w:r/>
            <w:r>
              <w:rPr>
                <w:rFonts w:ascii="Calibri" w:hAnsi="Calibri"/>
                <w:b w:val="0"/>
                <w:sz w:val="16"/>
              </w:rPr>
              <w:t>Product budget utilisation for the period</w:t>
            </w:r>
          </w:p>
        </w:tc>
        <w:tc>
          <w:tcPr>
            <w:tcW w:type="dxa" w:w="2494"/>
          </w:tcPr>
          <w:p>
            <w:pPr>
              <w:spacing w:after="20" w:before="20" w:line="240" w:lineRule="auto"/>
            </w:pPr>
            <w:r/>
            <w:r>
              <w:rPr>
                <w:rFonts w:ascii="Calibri" w:hAnsi="Calibri"/>
                <w:b w:val="0"/>
                <w:sz w:val="16"/>
              </w:rPr>
              <w:t>76.4%</w:t>
            </w:r>
          </w:p>
        </w:tc>
        <w:tc>
          <w:tcPr>
            <w:tcW w:type="dxa" w:w="1701"/>
          </w:tcPr>
          <w:p>
            <w:pPr>
              <w:spacing w:after="20" w:before="20" w:line="240" w:lineRule="auto"/>
            </w:pPr>
            <w:r/>
            <w:r>
              <w:rPr>
                <w:rFonts w:ascii="Calibri" w:hAnsi="Calibri"/>
                <w:b w:val="0"/>
                <w:sz w:val="16"/>
              </w:rPr>
              <w:t>In line with elapsed time</w:t>
            </w:r>
          </w:p>
        </w:tc>
        <w:tc>
          <w:tcPr>
            <w:tcW w:type="dxa" w:w="1077"/>
          </w:tcPr>
          <w:p>
            <w:pPr>
              <w:spacing w:after="20" w:before="20" w:line="240" w:lineRule="auto"/>
              <w:jc w:val="center"/>
            </w:pPr>
            <w:r/>
            <w:r>
              <w:rPr>
                <w:rFonts w:ascii="Calibri" w:hAnsi="Calibri"/>
                <w:b w:val="0"/>
                <w:sz w:val="16"/>
              </w:rPr>
              <w:t>Green</w:t>
            </w:r>
          </w:p>
        </w:tc>
      </w:tr>
      <w:tr>
        <w:tc>
          <w:tcPr>
            <w:tcW w:type="dxa" w:w="737"/>
            <w:shd w:val="clear" w:fill="F7F9FB"/>
          </w:tcPr>
          <w:p>
            <w:pPr>
              <w:spacing w:after="20" w:before="20" w:line="240" w:lineRule="auto"/>
              <w:jc w:val="center"/>
            </w:pPr>
            <w:r/>
            <w:r>
              <w:rPr>
                <w:rFonts w:ascii="Calibri" w:hAnsi="Calibri"/>
                <w:b w:val="0"/>
                <w:sz w:val="16"/>
              </w:rPr>
              <w:t>D-21</w:t>
            </w:r>
          </w:p>
        </w:tc>
        <w:tc>
          <w:tcPr>
            <w:tcW w:type="dxa" w:w="3742"/>
            <w:shd w:val="clear" w:fill="F7F9FB"/>
          </w:tcPr>
          <w:p>
            <w:pPr>
              <w:spacing w:after="20" w:before="20" w:line="240" w:lineRule="auto"/>
            </w:pPr>
            <w:r/>
            <w:r>
              <w:rPr>
                <w:rFonts w:ascii="Calibri" w:hAnsi="Calibri"/>
                <w:b w:val="0"/>
                <w:sz w:val="16"/>
              </w:rPr>
              <w:t>Unattributed consumption as a share of value</w:t>
            </w:r>
          </w:p>
        </w:tc>
        <w:tc>
          <w:tcPr>
            <w:tcW w:type="dxa" w:w="2494"/>
            <w:shd w:val="clear" w:fill="F7F9FB"/>
          </w:tcPr>
          <w:p>
            <w:pPr>
              <w:spacing w:after="20" w:before="20" w:line="240" w:lineRule="auto"/>
            </w:pPr>
            <w:r/>
            <w:r>
              <w:rPr>
                <w:rFonts w:ascii="Calibri" w:hAnsi="Calibri"/>
                <w:b w:val="0"/>
                <w:sz w:val="16"/>
              </w:rPr>
              <w:t>2.4%</w:t>
            </w:r>
          </w:p>
        </w:tc>
        <w:tc>
          <w:tcPr>
            <w:tcW w:type="dxa" w:w="1701"/>
            <w:shd w:val="clear" w:fill="F7F9FB"/>
          </w:tcPr>
          <w:p>
            <w:pPr>
              <w:spacing w:after="20" w:before="20" w:line="240" w:lineRule="auto"/>
            </w:pPr>
            <w:r/>
            <w:r>
              <w:rPr>
                <w:rFonts w:ascii="Calibri" w:hAnsi="Calibri"/>
                <w:b w:val="0"/>
                <w:sz w:val="16"/>
              </w:rPr>
              <w:t>≤ 1.0%</w:t>
            </w:r>
          </w:p>
        </w:tc>
        <w:tc>
          <w:tcPr>
            <w:tcW w:type="dxa" w:w="1077"/>
            <w:shd w:val="clear" w:fill="F7F9FB"/>
          </w:tcPr>
          <w:p>
            <w:pPr>
              <w:spacing w:after="20" w:before="20" w:line="240" w:lineRule="auto"/>
              <w:jc w:val="center"/>
            </w:pPr>
            <w:r/>
            <w:r>
              <w:rPr>
                <w:rFonts w:ascii="Calibri" w:hAnsi="Calibri"/>
                <w:b w:val="0"/>
                <w:sz w:val="16"/>
              </w:rPr>
              <w:t>Red</w:t>
            </w:r>
          </w:p>
        </w:tc>
      </w:tr>
      <w:tr>
        <w:tc>
          <w:tcPr>
            <w:tcW w:type="dxa" w:w="737"/>
          </w:tcPr>
          <w:p>
            <w:pPr>
              <w:spacing w:after="20" w:before="20" w:line="240" w:lineRule="auto"/>
              <w:jc w:val="center"/>
            </w:pPr>
            <w:r/>
            <w:r>
              <w:rPr>
                <w:rFonts w:ascii="Calibri" w:hAnsi="Calibri"/>
                <w:b w:val="0"/>
                <w:sz w:val="16"/>
              </w:rPr>
              <w:t>D-26</w:t>
            </w:r>
          </w:p>
        </w:tc>
        <w:tc>
          <w:tcPr>
            <w:tcW w:type="dxa" w:w="3742"/>
          </w:tcPr>
          <w:p>
            <w:pPr>
              <w:spacing w:after="20" w:before="20" w:line="240" w:lineRule="auto"/>
            </w:pPr>
            <w:r/>
            <w:r>
              <w:rPr>
                <w:rFonts w:ascii="Calibri" w:hAnsi="Calibri"/>
                <w:b w:val="0"/>
                <w:sz w:val="16"/>
              </w:rPr>
              <w:t>Projects ending within 120 days with unspent budget</w:t>
            </w:r>
          </w:p>
        </w:tc>
        <w:tc>
          <w:tcPr>
            <w:tcW w:type="dxa" w:w="2494"/>
          </w:tcPr>
          <w:p>
            <w:pPr>
              <w:spacing w:after="20" w:before="20" w:line="240" w:lineRule="auto"/>
            </w:pPr>
            <w:r/>
            <w:r>
              <w:rPr>
                <w:rFonts w:ascii="Calibri" w:hAnsi="Calibri"/>
                <w:b w:val="0"/>
                <w:sz w:val="16"/>
              </w:rPr>
              <w:t>6</w:t>
            </w:r>
          </w:p>
        </w:tc>
        <w:tc>
          <w:tcPr>
            <w:tcW w:type="dxa" w:w="1701"/>
          </w:tcPr>
          <w:p>
            <w:pPr>
              <w:spacing w:after="20" w:before="20" w:line="240" w:lineRule="auto"/>
            </w:pPr>
            <w:r/>
            <w:r>
              <w:rPr>
                <w:rFonts w:ascii="Calibri" w:hAnsi="Calibri"/>
                <w:b w:val="0"/>
                <w:sz w:val="16"/>
              </w:rPr>
              <w:t>0 unmanaged</w:t>
            </w:r>
          </w:p>
        </w:tc>
        <w:tc>
          <w:tcPr>
            <w:tcW w:type="dxa" w:w="1077"/>
          </w:tcPr>
          <w:p>
            <w:pPr>
              <w:spacing w:after="20" w:before="20" w:line="240" w:lineRule="auto"/>
              <w:jc w:val="center"/>
            </w:pPr>
            <w:r/>
            <w:r>
              <w:rPr>
                <w:rFonts w:ascii="Calibri" w:hAnsi="Calibri"/>
                <w:b w:val="0"/>
                <w:sz w:val="16"/>
              </w:rPr>
              <w:t>Red</w:t>
            </w:r>
          </w:p>
        </w:tc>
      </w:tr>
      <w:tr>
        <w:tc>
          <w:tcPr>
            <w:tcW w:type="dxa" w:w="737"/>
            <w:shd w:val="clear" w:fill="F7F9FB"/>
          </w:tcPr>
          <w:p>
            <w:pPr>
              <w:spacing w:after="20" w:before="20" w:line="240" w:lineRule="auto"/>
              <w:jc w:val="center"/>
            </w:pPr>
            <w:r/>
            <w:r>
              <w:rPr>
                <w:rFonts w:ascii="Calibri" w:hAnsi="Calibri"/>
                <w:b w:val="0"/>
                <w:sz w:val="16"/>
              </w:rPr>
              <w:t>X-01</w:t>
            </w:r>
          </w:p>
        </w:tc>
        <w:tc>
          <w:tcPr>
            <w:tcW w:type="dxa" w:w="3742"/>
            <w:shd w:val="clear" w:fill="F7F9FB"/>
          </w:tcPr>
          <w:p>
            <w:pPr>
              <w:spacing w:after="20" w:before="20" w:line="240" w:lineRule="auto"/>
            </w:pPr>
            <w:r/>
            <w:r>
              <w:rPr>
                <w:rFonts w:ascii="Calibri" w:hAnsi="Calibri"/>
                <w:b w:val="0"/>
                <w:sz w:val="16"/>
              </w:rPr>
              <w:t>Projected consumption – full FY2026-27 (straight line)</w:t>
            </w:r>
          </w:p>
        </w:tc>
        <w:tc>
          <w:tcPr>
            <w:tcW w:type="dxa" w:w="2494"/>
            <w:shd w:val="clear" w:fill="F7F9FB"/>
          </w:tcPr>
          <w:p>
            <w:pPr>
              <w:spacing w:after="20" w:before="20" w:line="240" w:lineRule="auto"/>
            </w:pPr>
            <w:r/>
            <w:r>
              <w:rPr>
                <w:rFonts w:ascii="Calibri" w:hAnsi="Calibri"/>
                <w:b w:val="0"/>
                <w:sz w:val="16"/>
              </w:rPr>
              <w:t>PKR 67,536,754</w:t>
            </w:r>
          </w:p>
        </w:tc>
        <w:tc>
          <w:tcPr>
            <w:tcW w:type="dxa" w:w="1701"/>
            <w:shd w:val="clear" w:fill="F7F9FB"/>
          </w:tcPr>
          <w:p>
            <w:pPr>
              <w:spacing w:after="20" w:before="20" w:line="240" w:lineRule="auto"/>
            </w:pPr>
            <w:r/>
            <w:r>
              <w:rPr>
                <w:rFonts w:ascii="Calibri" w:hAnsi="Calibri"/>
                <w:b w:val="0"/>
                <w:sz w:val="16"/>
              </w:rPr>
              <w:t>Budget 67,078,000</w:t>
            </w:r>
          </w:p>
        </w:tc>
        <w:tc>
          <w:tcPr>
            <w:tcW w:type="dxa" w:w="1077"/>
            <w:shd w:val="clear" w:fill="F7F9FB"/>
          </w:tcPr>
          <w:p>
            <w:pPr>
              <w:spacing w:after="20" w:before="20" w:line="240" w:lineRule="auto"/>
              <w:jc w:val="center"/>
            </w:pPr>
            <w:r/>
            <w:r>
              <w:rPr>
                <w:rFonts w:ascii="Calibri" w:hAnsi="Calibri"/>
                <w:b w:val="0"/>
                <w:sz w:val="16"/>
              </w:rPr>
              <w:t>Red</w:t>
            </w:r>
          </w:p>
        </w:tc>
      </w:tr>
      <w:tr>
        <w:tc>
          <w:tcPr>
            <w:tcW w:type="dxa" w:w="737"/>
          </w:tcPr>
          <w:p>
            <w:pPr>
              <w:spacing w:after="20" w:before="20" w:line="240" w:lineRule="auto"/>
              <w:jc w:val="center"/>
            </w:pPr>
            <w:r/>
            <w:r>
              <w:rPr>
                <w:rFonts w:ascii="Calibri" w:hAnsi="Calibri"/>
                <w:b w:val="0"/>
                <w:sz w:val="16"/>
              </w:rPr>
              <w:t>X-04</w:t>
            </w:r>
          </w:p>
        </w:tc>
        <w:tc>
          <w:tcPr>
            <w:tcW w:type="dxa" w:w="3742"/>
          </w:tcPr>
          <w:p>
            <w:pPr>
              <w:spacing w:after="20" w:before="20" w:line="240" w:lineRule="auto"/>
            </w:pPr>
            <w:r/>
            <w:r>
              <w:rPr>
                <w:rFonts w:ascii="Calibri" w:hAnsi="Calibri"/>
                <w:b w:val="0"/>
                <w:sz w:val="16"/>
              </w:rPr>
              <w:t>Value expected to expire within 60 days at current consumption</w:t>
            </w:r>
          </w:p>
        </w:tc>
        <w:tc>
          <w:tcPr>
            <w:tcW w:type="dxa" w:w="2494"/>
          </w:tcPr>
          <w:p>
            <w:pPr>
              <w:spacing w:after="20" w:before="20" w:line="240" w:lineRule="auto"/>
            </w:pPr>
            <w:r/>
            <w:r>
              <w:rPr>
                <w:rFonts w:ascii="Calibri" w:hAnsi="Calibri"/>
                <w:b w:val="0"/>
                <w:sz w:val="16"/>
              </w:rPr>
              <w:t>PKR 950,940</w:t>
            </w:r>
          </w:p>
        </w:tc>
        <w:tc>
          <w:tcPr>
            <w:tcW w:type="dxa" w:w="1701"/>
          </w:tcPr>
          <w:p>
            <w:pPr>
              <w:spacing w:after="20" w:before="20" w:line="240" w:lineRule="auto"/>
            </w:pPr>
            <w:r/>
            <w:r>
              <w:rPr>
                <w:rFonts w:ascii="Calibri" w:hAnsi="Calibri"/>
                <w:b w:val="0"/>
                <w:sz w:val="16"/>
              </w:rPr>
              <w:t>Minimise</w:t>
            </w:r>
          </w:p>
        </w:tc>
        <w:tc>
          <w:tcPr>
            <w:tcW w:type="dxa" w:w="1077"/>
          </w:tcPr>
          <w:p>
            <w:pPr>
              <w:spacing w:after="20" w:before="20" w:line="240" w:lineRule="auto"/>
              <w:jc w:val="center"/>
            </w:pPr>
            <w:r/>
            <w:r>
              <w:rPr>
                <w:rFonts w:ascii="Calibri" w:hAnsi="Calibri"/>
                <w:b w:val="0"/>
                <w:sz w:val="16"/>
              </w:rPr>
              <w:t>Red</w:t>
            </w:r>
          </w:p>
        </w:tc>
      </w:tr>
      <w:tr>
        <w:tc>
          <w:tcPr>
            <w:tcW w:type="dxa" w:w="737"/>
            <w:shd w:val="clear" w:fill="F7F9FB"/>
          </w:tcPr>
          <w:p>
            <w:pPr>
              <w:spacing w:after="20" w:before="20" w:line="240" w:lineRule="auto"/>
              <w:jc w:val="center"/>
            </w:pPr>
            <w:r/>
            <w:r>
              <w:rPr>
                <w:rFonts w:ascii="Calibri" w:hAnsi="Calibri"/>
                <w:b w:val="0"/>
                <w:sz w:val="16"/>
              </w:rPr>
              <w:t>X-06</w:t>
            </w:r>
          </w:p>
        </w:tc>
        <w:tc>
          <w:tcPr>
            <w:tcW w:type="dxa" w:w="3742"/>
            <w:shd w:val="clear" w:fill="F7F9FB"/>
          </w:tcPr>
          <w:p>
            <w:pPr>
              <w:spacing w:after="20" w:before="20" w:line="240" w:lineRule="auto"/>
            </w:pPr>
            <w:r/>
            <w:r>
              <w:rPr>
                <w:rFonts w:ascii="Calibri" w:hAnsi="Calibri"/>
                <w:b w:val="0"/>
                <w:sz w:val="16"/>
              </w:rPr>
              <w:t>Unspent budget exposure in projects ending within 120 days</w:t>
            </w:r>
          </w:p>
        </w:tc>
        <w:tc>
          <w:tcPr>
            <w:tcW w:type="dxa" w:w="2494"/>
            <w:shd w:val="clear" w:fill="F7F9FB"/>
          </w:tcPr>
          <w:p>
            <w:pPr>
              <w:spacing w:after="20" w:before="20" w:line="240" w:lineRule="auto"/>
            </w:pPr>
            <w:r/>
            <w:r>
              <w:rPr>
                <w:rFonts w:ascii="Calibri" w:hAnsi="Calibri"/>
                <w:b w:val="0"/>
                <w:sz w:val="16"/>
              </w:rPr>
              <w:t>PKR 136,478,187</w:t>
            </w:r>
          </w:p>
        </w:tc>
        <w:tc>
          <w:tcPr>
            <w:tcW w:type="dxa" w:w="1701"/>
            <w:shd w:val="clear" w:fill="F7F9FB"/>
          </w:tcPr>
          <w:p>
            <w:pPr>
              <w:spacing w:after="20" w:before="20" w:line="240" w:lineRule="auto"/>
            </w:pPr>
            <w:r/>
            <w:r>
              <w:rPr>
                <w:rFonts w:ascii="Calibri" w:hAnsi="Calibri"/>
                <w:b w:val="0"/>
                <w:sz w:val="16"/>
              </w:rPr>
              <w:t>Minimise</w:t>
            </w:r>
          </w:p>
        </w:tc>
        <w:tc>
          <w:tcPr>
            <w:tcW w:type="dxa" w:w="1077"/>
            <w:shd w:val="clear" w:fill="F7F9FB"/>
          </w:tcPr>
          <w:p>
            <w:pPr>
              <w:spacing w:after="20" w:before="20" w:line="240" w:lineRule="auto"/>
              <w:jc w:val="center"/>
            </w:pPr>
            <w:r/>
            <w:r>
              <w:rPr>
                <w:rFonts w:ascii="Calibri" w:hAnsi="Calibri"/>
                <w:b w:val="0"/>
                <w:sz w:val="16"/>
              </w:rPr>
              <w:t>Red</w:t>
            </w:r>
          </w:p>
        </w:tc>
      </w:tr>
      <w:tr>
        <w:tc>
          <w:tcPr>
            <w:tcW w:type="dxa" w:w="737"/>
          </w:tcPr>
          <w:p>
            <w:pPr>
              <w:spacing w:after="20" w:before="20" w:line="240" w:lineRule="auto"/>
              <w:jc w:val="center"/>
            </w:pPr>
            <w:r/>
            <w:r>
              <w:rPr>
                <w:rFonts w:ascii="Calibri" w:hAnsi="Calibri"/>
                <w:b w:val="0"/>
                <w:sz w:val="16"/>
              </w:rPr>
              <w:t>R-05</w:t>
            </w:r>
          </w:p>
        </w:tc>
        <w:tc>
          <w:tcPr>
            <w:tcW w:type="dxa" w:w="3742"/>
          </w:tcPr>
          <w:p>
            <w:pPr>
              <w:spacing w:after="20" w:before="20" w:line="240" w:lineRule="auto"/>
            </w:pPr>
            <w:r/>
            <w:r>
              <w:rPr>
                <w:rFonts w:ascii="Calibri" w:hAnsi="Calibri"/>
                <w:b w:val="0"/>
                <w:sz w:val="16"/>
              </w:rPr>
              <w:t>Critical items requiring immediate action</w:t>
            </w:r>
          </w:p>
        </w:tc>
        <w:tc>
          <w:tcPr>
            <w:tcW w:type="dxa" w:w="2494"/>
          </w:tcPr>
          <w:p>
            <w:pPr>
              <w:spacing w:after="20" w:before="20" w:line="240" w:lineRule="auto"/>
            </w:pPr>
            <w:r/>
            <w:r>
              <w:rPr>
                <w:rFonts w:ascii="Calibri" w:hAnsi="Calibri"/>
                <w:b w:val="0"/>
                <w:sz w:val="16"/>
              </w:rPr>
              <w:t>0</w:t>
            </w:r>
          </w:p>
        </w:tc>
        <w:tc>
          <w:tcPr>
            <w:tcW w:type="dxa" w:w="1701"/>
          </w:tcPr>
          <w:p>
            <w:pPr>
              <w:spacing w:after="20" w:before="20" w:line="240" w:lineRule="auto"/>
            </w:pPr>
            <w:r/>
            <w:r>
              <w:rPr>
                <w:rFonts w:ascii="Calibri" w:hAnsi="Calibri"/>
                <w:b w:val="0"/>
                <w:sz w:val="16"/>
              </w:rPr>
              <w:t>0</w:t>
            </w:r>
          </w:p>
        </w:tc>
        <w:tc>
          <w:tcPr>
            <w:tcW w:type="dxa" w:w="1077"/>
          </w:tcPr>
          <w:p>
            <w:pPr>
              <w:spacing w:after="20" w:before="20" w:line="240" w:lineRule="auto"/>
              <w:jc w:val="center"/>
            </w:pPr>
            <w:r/>
            <w:r>
              <w:rPr>
                <w:rFonts w:ascii="Calibri" w:hAnsi="Calibri"/>
                <w:b w:val="0"/>
                <w:sz w:val="16"/>
              </w:rPr>
              <w:t>Green</w:t>
            </w:r>
          </w:p>
        </w:tc>
      </w:tr>
    </w:tbl>
    <w:p>
      <w:pPr>
        <w:spacing w:after="20"/>
      </w:pPr>
    </w:p>
    <w:p>
      <w:pPr>
        <w:spacing w:after="160"/>
      </w:pPr>
      <w:r>
        <w:rPr>
          <w:i/>
          <w:color w:val="595959"/>
          <w:sz w:val="16"/>
        </w:rPr>
        <w:t>Status colours: Green = within tolerance; Amber = outside tolerance, not yet material; Red = material breach requiring commentary and an owner; Info = informational.</w:t>
      </w:r>
    </w:p>
    <w:p>
      <w:r>
        <w:br w:type="page"/>
      </w:r>
    </w:p>
    <w:p>
      <w:pPr>
        <w:pStyle w:val="Heading1"/>
      </w:pPr>
      <w:r>
        <w:t>8. The data commentary method</w:t>
      </w:r>
    </w:p>
    <w:p>
      <w:pPr>
        <w:spacing w:after="100"/>
      </w:pPr>
      <w:r>
        <w:rPr>
          <w:b w:val="0"/>
          <w:i w:val="0"/>
        </w:rPr>
        <w:t>Commentary is the bridge between a dashboard and a decision. VPT commentary follows a fixed six-part structure. Every part is required; if a part cannot be completed, that is itself the finding — usually a data gap or an unassigned owner.</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trPr>
        <w:tc>
          <w:tcPr>
            <w:tcW w:type="dxa" w:w="1474"/>
            <w:shd w:val="clear" w:fill="1F3B57"/>
          </w:tcPr>
          <w:p>
            <w:pPr>
              <w:spacing w:after="20" w:before="20" w:line="240" w:lineRule="auto"/>
            </w:pPr>
            <w:r/>
            <w:r>
              <w:rPr>
                <w:rFonts w:ascii="Calibri" w:hAnsi="Calibri"/>
                <w:b/>
                <w:color w:val="FFFFFF"/>
                <w:sz w:val="16"/>
              </w:rPr>
              <w:t>Part</w:t>
            </w:r>
          </w:p>
        </w:tc>
        <w:tc>
          <w:tcPr>
            <w:tcW w:type="dxa" w:w="2608"/>
            <w:shd w:val="clear" w:fill="1F3B57"/>
          </w:tcPr>
          <w:p>
            <w:pPr>
              <w:spacing w:after="20" w:before="20" w:line="240" w:lineRule="auto"/>
            </w:pPr>
            <w:r/>
            <w:r>
              <w:rPr>
                <w:rFonts w:ascii="Calibri" w:hAnsi="Calibri"/>
                <w:b/>
                <w:color w:val="FFFFFF"/>
                <w:sz w:val="16"/>
              </w:rPr>
              <w:t>Completing question</w:t>
            </w:r>
          </w:p>
        </w:tc>
        <w:tc>
          <w:tcPr>
            <w:tcW w:type="dxa" w:w="3061"/>
            <w:shd w:val="clear" w:fill="1F3B57"/>
          </w:tcPr>
          <w:p>
            <w:pPr>
              <w:spacing w:after="20" w:before="20" w:line="240" w:lineRule="auto"/>
            </w:pPr>
            <w:r/>
            <w:r>
              <w:rPr>
                <w:rFonts w:ascii="Calibri" w:hAnsi="Calibri"/>
                <w:b/>
                <w:color w:val="FFFFFF"/>
                <w:sz w:val="16"/>
              </w:rPr>
              <w:t>Standard</w:t>
            </w:r>
          </w:p>
        </w:tc>
        <w:tc>
          <w:tcPr>
            <w:tcW w:type="dxa" w:w="2608"/>
            <w:shd w:val="clear" w:fill="1F3B57"/>
          </w:tcPr>
          <w:p>
            <w:pPr>
              <w:spacing w:after="20" w:before="20" w:line="240" w:lineRule="auto"/>
            </w:pPr>
            <w:r/>
            <w:r>
              <w:rPr>
                <w:rFonts w:ascii="Calibri" w:hAnsi="Calibri"/>
                <w:b/>
                <w:color w:val="FFFFFF"/>
                <w:sz w:val="16"/>
              </w:rPr>
              <w:t>Bad practice it prevents</w:t>
            </w:r>
          </w:p>
        </w:tc>
      </w:tr>
      <w:tr>
        <w:tc>
          <w:tcPr>
            <w:tcW w:type="dxa" w:w="1474"/>
          </w:tcPr>
          <w:p>
            <w:pPr>
              <w:spacing w:after="20" w:before="20" w:line="240" w:lineRule="auto"/>
            </w:pPr>
            <w:r/>
            <w:r>
              <w:rPr>
                <w:rFonts w:ascii="Calibri" w:hAnsi="Calibri"/>
                <w:b w:val="0"/>
                <w:sz w:val="16"/>
              </w:rPr>
              <w:t>1. What happened</w:t>
            </w:r>
          </w:p>
        </w:tc>
        <w:tc>
          <w:tcPr>
            <w:tcW w:type="dxa" w:w="2608"/>
          </w:tcPr>
          <w:p>
            <w:pPr>
              <w:spacing w:after="20" w:before="20" w:line="240" w:lineRule="auto"/>
            </w:pPr>
            <w:r/>
            <w:r>
              <w:rPr>
                <w:rFonts w:ascii="Calibri" w:hAnsi="Calibri"/>
                <w:b w:val="0"/>
                <w:sz w:val="16"/>
              </w:rPr>
              <w:t>Which metric, in which scope and period, moved by how much?</w:t>
            </w:r>
          </w:p>
        </w:tc>
        <w:tc>
          <w:tcPr>
            <w:tcW w:type="dxa" w:w="3061"/>
          </w:tcPr>
          <w:p>
            <w:pPr>
              <w:spacing w:after="20" w:before="20" w:line="240" w:lineRule="auto"/>
            </w:pPr>
            <w:r/>
            <w:r>
              <w:rPr>
                <w:rFonts w:ascii="Calibri" w:hAnsi="Calibri"/>
                <w:b w:val="0"/>
                <w:sz w:val="16"/>
              </w:rPr>
              <w:t>Cite the number, the period and the comparison. One sentence.</w:t>
            </w:r>
          </w:p>
        </w:tc>
        <w:tc>
          <w:tcPr>
            <w:tcW w:type="dxa" w:w="2608"/>
          </w:tcPr>
          <w:p>
            <w:pPr>
              <w:spacing w:after="20" w:before="20" w:line="240" w:lineRule="auto"/>
            </w:pPr>
            <w:r/>
            <w:r>
              <w:rPr>
                <w:rFonts w:ascii="Calibri" w:hAnsi="Calibri"/>
                <w:b w:val="0"/>
                <w:sz w:val="16"/>
              </w:rPr>
              <w:t>“Consumption was high” — with no figure, scope or comparison.</w:t>
            </w:r>
          </w:p>
        </w:tc>
      </w:tr>
      <w:tr>
        <w:tc>
          <w:tcPr>
            <w:tcW w:type="dxa" w:w="1474"/>
            <w:shd w:val="clear" w:fill="F7F9FB"/>
          </w:tcPr>
          <w:p>
            <w:pPr>
              <w:spacing w:after="20" w:before="20" w:line="240" w:lineRule="auto"/>
            </w:pPr>
            <w:r/>
            <w:r>
              <w:rPr>
                <w:rFonts w:ascii="Calibri" w:hAnsi="Calibri"/>
                <w:b w:val="0"/>
                <w:sz w:val="16"/>
              </w:rPr>
              <w:t>2. Why it happened</w:t>
            </w:r>
          </w:p>
        </w:tc>
        <w:tc>
          <w:tcPr>
            <w:tcW w:type="dxa" w:w="2608"/>
            <w:shd w:val="clear" w:fill="F7F9FB"/>
          </w:tcPr>
          <w:p>
            <w:pPr>
              <w:spacing w:after="20" w:before="20" w:line="240" w:lineRule="auto"/>
            </w:pPr>
            <w:r/>
            <w:r>
              <w:rPr>
                <w:rFonts w:ascii="Calibri" w:hAnsi="Calibri"/>
                <w:b w:val="0"/>
                <w:sz w:val="16"/>
              </w:rPr>
              <w:t>Which causes were tested, in what order, and which one the evidence supports?</w:t>
            </w:r>
          </w:p>
        </w:tc>
        <w:tc>
          <w:tcPr>
            <w:tcW w:type="dxa" w:w="3061"/>
            <w:shd w:val="clear" w:fill="F7F9FB"/>
          </w:tcPr>
          <w:p>
            <w:pPr>
              <w:spacing w:after="20" w:before="20" w:line="240" w:lineRule="auto"/>
            </w:pPr>
            <w:r/>
            <w:r>
              <w:rPr>
                <w:rFonts w:ascii="Calibri" w:hAnsi="Calibri"/>
                <w:b w:val="0"/>
                <w:sz w:val="16"/>
              </w:rPr>
              <w:t>Name the confirmed cause and the test; list what was eliminated.</w:t>
            </w:r>
          </w:p>
        </w:tc>
        <w:tc>
          <w:tcPr>
            <w:tcW w:type="dxa" w:w="2608"/>
            <w:shd w:val="clear" w:fill="F7F9FB"/>
          </w:tcPr>
          <w:p>
            <w:pPr>
              <w:spacing w:after="20" w:before="20" w:line="240" w:lineRule="auto"/>
            </w:pPr>
            <w:r/>
            <w:r>
              <w:rPr>
                <w:rFonts w:ascii="Calibri" w:hAnsi="Calibri"/>
                <w:b w:val="0"/>
                <w:sz w:val="16"/>
              </w:rPr>
              <w:t>Jumping to the first plausible explanation.</w:t>
            </w:r>
          </w:p>
        </w:tc>
      </w:tr>
      <w:tr>
        <w:tc>
          <w:tcPr>
            <w:tcW w:type="dxa" w:w="1474"/>
          </w:tcPr>
          <w:p>
            <w:pPr>
              <w:spacing w:after="20" w:before="20" w:line="240" w:lineRule="auto"/>
            </w:pPr>
            <w:r/>
            <w:r>
              <w:rPr>
                <w:rFonts w:ascii="Calibri" w:hAnsi="Calibri"/>
                <w:b w:val="0"/>
                <w:sz w:val="16"/>
              </w:rPr>
              <w:t>3. So what</w:t>
            </w:r>
          </w:p>
        </w:tc>
        <w:tc>
          <w:tcPr>
            <w:tcW w:type="dxa" w:w="2608"/>
          </w:tcPr>
          <w:p>
            <w:pPr>
              <w:spacing w:after="20" w:before="20" w:line="240" w:lineRule="auto"/>
            </w:pPr>
            <w:r/>
            <w:r>
              <w:rPr>
                <w:rFonts w:ascii="Calibri" w:hAnsi="Calibri"/>
                <w:b w:val="0"/>
                <w:sz w:val="16"/>
              </w:rPr>
              <w:t>What is the consequence in money, service or compliance terms, and who is affected?</w:t>
            </w:r>
          </w:p>
        </w:tc>
        <w:tc>
          <w:tcPr>
            <w:tcW w:type="dxa" w:w="3061"/>
          </w:tcPr>
          <w:p>
            <w:pPr>
              <w:spacing w:after="20" w:before="20" w:line="240" w:lineRule="auto"/>
            </w:pPr>
            <w:r/>
            <w:r>
              <w:rPr>
                <w:rFonts w:ascii="Calibri" w:hAnsi="Calibri"/>
                <w:b w:val="0"/>
                <w:sz w:val="16"/>
              </w:rPr>
              <w:t>Quantify the impact; name the affected projects, services or donors.</w:t>
            </w:r>
          </w:p>
        </w:tc>
        <w:tc>
          <w:tcPr>
            <w:tcW w:type="dxa" w:w="2608"/>
          </w:tcPr>
          <w:p>
            <w:pPr>
              <w:spacing w:after="20" w:before="20" w:line="240" w:lineRule="auto"/>
            </w:pPr>
            <w:r/>
            <w:r>
              <w:rPr>
                <w:rFonts w:ascii="Calibri" w:hAnsi="Calibri"/>
                <w:b w:val="0"/>
                <w:sz w:val="16"/>
              </w:rPr>
              <w:t>Stopping at the explanation, leaving the reader to work out why it matters.</w:t>
            </w:r>
          </w:p>
        </w:tc>
      </w:tr>
      <w:tr>
        <w:tc>
          <w:tcPr>
            <w:tcW w:type="dxa" w:w="1474"/>
            <w:shd w:val="clear" w:fill="F7F9FB"/>
          </w:tcPr>
          <w:p>
            <w:pPr>
              <w:spacing w:after="20" w:before="20" w:line="240" w:lineRule="auto"/>
            </w:pPr>
            <w:r/>
            <w:r>
              <w:rPr>
                <w:rFonts w:ascii="Calibri" w:hAnsi="Calibri"/>
                <w:b w:val="0"/>
                <w:sz w:val="16"/>
              </w:rPr>
              <w:t>4. What to do</w:t>
            </w:r>
          </w:p>
        </w:tc>
        <w:tc>
          <w:tcPr>
            <w:tcW w:type="dxa" w:w="2608"/>
            <w:shd w:val="clear" w:fill="F7F9FB"/>
          </w:tcPr>
          <w:p>
            <w:pPr>
              <w:spacing w:after="20" w:before="20" w:line="240" w:lineRule="auto"/>
            </w:pPr>
            <w:r/>
            <w:r>
              <w:rPr>
                <w:rFonts w:ascii="Calibri" w:hAnsi="Calibri"/>
                <w:b w:val="0"/>
                <w:sz w:val="16"/>
              </w:rPr>
              <w:t>Which lever from the action library applies, and in what quantity?</w:t>
            </w:r>
          </w:p>
        </w:tc>
        <w:tc>
          <w:tcPr>
            <w:tcW w:type="dxa" w:w="3061"/>
            <w:shd w:val="clear" w:fill="F7F9FB"/>
          </w:tcPr>
          <w:p>
            <w:pPr>
              <w:spacing w:after="20" w:before="20" w:line="240" w:lineRule="auto"/>
            </w:pPr>
            <w:r/>
            <w:r>
              <w:rPr>
                <w:rFonts w:ascii="Calibri" w:hAnsi="Calibri"/>
                <w:b w:val="0"/>
                <w:sz w:val="16"/>
              </w:rPr>
              <w:t>One primary action, with any supporting action; no more than three.</w:t>
            </w:r>
          </w:p>
        </w:tc>
        <w:tc>
          <w:tcPr>
            <w:tcW w:type="dxa" w:w="2608"/>
            <w:shd w:val="clear" w:fill="F7F9FB"/>
          </w:tcPr>
          <w:p>
            <w:pPr>
              <w:spacing w:after="20" w:before="20" w:line="240" w:lineRule="auto"/>
            </w:pPr>
            <w:r/>
            <w:r>
              <w:rPr>
                <w:rFonts w:ascii="Calibri" w:hAnsi="Calibri"/>
                <w:b w:val="0"/>
                <w:sz w:val="16"/>
              </w:rPr>
              <w:t>A long list of options with no decision.</w:t>
            </w:r>
          </w:p>
        </w:tc>
      </w:tr>
      <w:tr>
        <w:tc>
          <w:tcPr>
            <w:tcW w:type="dxa" w:w="1474"/>
          </w:tcPr>
          <w:p>
            <w:pPr>
              <w:spacing w:after="20" w:before="20" w:line="240" w:lineRule="auto"/>
            </w:pPr>
            <w:r/>
            <w:r>
              <w:rPr>
                <w:rFonts w:ascii="Calibri" w:hAnsi="Calibri"/>
                <w:b w:val="0"/>
                <w:sz w:val="16"/>
              </w:rPr>
              <w:t>5. When</w:t>
            </w:r>
          </w:p>
        </w:tc>
        <w:tc>
          <w:tcPr>
            <w:tcW w:type="dxa" w:w="2608"/>
          </w:tcPr>
          <w:p>
            <w:pPr>
              <w:spacing w:after="20" w:before="20" w:line="240" w:lineRule="auto"/>
            </w:pPr>
            <w:r/>
            <w:r>
              <w:rPr>
                <w:rFonts w:ascii="Calibri" w:hAnsi="Calibri"/>
                <w:b w:val="0"/>
                <w:sz w:val="16"/>
              </w:rPr>
              <w:t>By when must the action be taken for it still to matter?</w:t>
            </w:r>
          </w:p>
        </w:tc>
        <w:tc>
          <w:tcPr>
            <w:tcW w:type="dxa" w:w="3061"/>
          </w:tcPr>
          <w:p>
            <w:pPr>
              <w:spacing w:after="20" w:before="20" w:line="240" w:lineRule="auto"/>
            </w:pPr>
            <w:r/>
            <w:r>
              <w:rPr>
                <w:rFonts w:ascii="Calibri" w:hAnsi="Calibri"/>
                <w:b w:val="0"/>
                <w:sz w:val="16"/>
              </w:rPr>
              <w:t>A date or a deadline convention (for example, before the next requisition cycle).</w:t>
            </w:r>
          </w:p>
        </w:tc>
        <w:tc>
          <w:tcPr>
            <w:tcW w:type="dxa" w:w="2608"/>
          </w:tcPr>
          <w:p>
            <w:pPr>
              <w:spacing w:after="20" w:before="20" w:line="240" w:lineRule="auto"/>
            </w:pPr>
            <w:r/>
            <w:r>
              <w:rPr>
                <w:rFonts w:ascii="Calibri" w:hAnsi="Calibri"/>
                <w:b w:val="0"/>
                <w:sz w:val="16"/>
              </w:rPr>
              <w:t>“As soon as possible”, which is never.</w:t>
            </w:r>
          </w:p>
        </w:tc>
      </w:tr>
      <w:tr>
        <w:tc>
          <w:tcPr>
            <w:tcW w:type="dxa" w:w="1474"/>
            <w:shd w:val="clear" w:fill="F7F9FB"/>
          </w:tcPr>
          <w:p>
            <w:pPr>
              <w:spacing w:after="20" w:before="20" w:line="240" w:lineRule="auto"/>
            </w:pPr>
            <w:r/>
            <w:r>
              <w:rPr>
                <w:rFonts w:ascii="Calibri" w:hAnsi="Calibri"/>
                <w:b w:val="0"/>
                <w:sz w:val="16"/>
              </w:rPr>
              <w:t>6. Who</w:t>
            </w:r>
          </w:p>
        </w:tc>
        <w:tc>
          <w:tcPr>
            <w:tcW w:type="dxa" w:w="2608"/>
            <w:shd w:val="clear" w:fill="F7F9FB"/>
          </w:tcPr>
          <w:p>
            <w:pPr>
              <w:spacing w:after="20" w:before="20" w:line="240" w:lineRule="auto"/>
            </w:pPr>
            <w:r/>
            <w:r>
              <w:rPr>
                <w:rFonts w:ascii="Calibri" w:hAnsi="Calibri"/>
                <w:b w:val="0"/>
                <w:sz w:val="16"/>
              </w:rPr>
              <w:t>Who owns the action, and to whom do they escalate?</w:t>
            </w:r>
          </w:p>
        </w:tc>
        <w:tc>
          <w:tcPr>
            <w:tcW w:type="dxa" w:w="3061"/>
            <w:shd w:val="clear" w:fill="F7F9FB"/>
          </w:tcPr>
          <w:p>
            <w:pPr>
              <w:spacing w:after="20" w:before="20" w:line="240" w:lineRule="auto"/>
            </w:pPr>
            <w:r/>
            <w:r>
              <w:rPr>
                <w:rFonts w:ascii="Calibri" w:hAnsi="Calibri"/>
                <w:b w:val="0"/>
                <w:sz w:val="16"/>
              </w:rPr>
              <w:t>A named role, an escalation route and the ageing limit.</w:t>
            </w:r>
          </w:p>
        </w:tc>
        <w:tc>
          <w:tcPr>
            <w:tcW w:type="dxa" w:w="2608"/>
            <w:shd w:val="clear" w:fill="F7F9FB"/>
          </w:tcPr>
          <w:p>
            <w:pPr>
              <w:spacing w:after="20" w:before="20" w:line="240" w:lineRule="auto"/>
            </w:pPr>
            <w:r/>
            <w:r>
              <w:rPr>
                <w:rFonts w:ascii="Calibri" w:hAnsi="Calibri"/>
                <w:b w:val="0"/>
                <w:sz w:val="16"/>
              </w:rPr>
              <w:t>“The team” — which means nobody.</w:t>
            </w:r>
          </w:p>
        </w:tc>
      </w:tr>
    </w:tbl>
    <w:p>
      <w:pPr>
        <w:spacing w:after="20"/>
      </w:pPr>
    </w:p>
    <w:p>
      <w:pPr>
        <w:pStyle w:val="Heading2"/>
      </w:pPr>
      <w:r>
        <w:t>8.1 Writing standards</w:t>
      </w:r>
    </w:p>
    <w:p>
      <w:pPr>
        <w:pStyle w:val="ListBullet"/>
        <w:spacing w:after="50"/>
        <w:ind w:left="340"/>
      </w:pPr>
      <w:r>
        <w:t xml:space="preserve"> Lead with the number, then the cause, then the action. Managers read the first line and act on the last.</w:t>
      </w:r>
    </w:p>
    <w:p>
      <w:pPr>
        <w:pStyle w:val="ListBullet"/>
        <w:spacing w:after="50"/>
        <w:ind w:left="340"/>
      </w:pPr>
      <w:r>
        <w:t xml:space="preserve"> Quantify everything: value, quantity, days, percentage, number of projects or items affected.</w:t>
      </w:r>
    </w:p>
    <w:p>
      <w:pPr>
        <w:pStyle w:val="ListBullet"/>
        <w:spacing w:after="50"/>
        <w:ind w:left="340"/>
      </w:pPr>
      <w:r>
        <w:t xml:space="preserve"> Separate fact from inference. If a cause is probable but unproven, say “probable” and state the test that would confirm it.</w:t>
      </w:r>
    </w:p>
    <w:p>
      <w:pPr>
        <w:pStyle w:val="ListBullet"/>
        <w:spacing w:after="50"/>
        <w:ind w:left="340"/>
      </w:pPr>
      <w:r>
        <w:t xml:space="preserve"> Never write commentary on a value that failed a quality gate — fix the data first.</w:t>
      </w:r>
    </w:p>
    <w:p>
      <w:pPr>
        <w:pStyle w:val="ListBullet"/>
        <w:spacing w:after="50"/>
        <w:ind w:left="340"/>
      </w:pPr>
      <w:r>
        <w:t xml:space="preserve"> Use consistent units and the same measurement basis as the dashboard; do not recompute totals inside the commentary.</w:t>
      </w:r>
    </w:p>
    <w:p>
      <w:pPr>
        <w:pStyle w:val="ListBullet"/>
        <w:spacing w:after="50"/>
        <w:ind w:left="340"/>
      </w:pPr>
      <w:r>
        <w:t xml:space="preserve"> Where a variance is inside tolerance, say so in one line and move on. Commentary effort belongs where the value is.</w:t>
      </w:r>
    </w:p>
    <w:p>
      <w:pPr>
        <w:pStyle w:val="ListBullet"/>
        <w:spacing w:after="50"/>
        <w:ind w:left="340"/>
      </w:pPr>
      <w:r>
        <w:t xml:space="preserve"> End every commentary line with the owner and the date, so it can be tracked without re-reading the paragraph.</w:t>
      </w:r>
    </w:p>
    <w:p>
      <w:pPr>
        <w:pStyle w:val="Heading2"/>
      </w:pPr>
      <w:r>
        <w:t>8.2 When commentary is mandatory</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trPr>
        <w:tc>
          <w:tcPr>
            <w:tcW w:type="dxa" w:w="2608"/>
            <w:shd w:val="clear" w:fill="1F3B57"/>
          </w:tcPr>
          <w:p>
            <w:pPr>
              <w:spacing w:after="20" w:before="20" w:line="240" w:lineRule="auto"/>
            </w:pPr>
            <w:r/>
            <w:r>
              <w:rPr>
                <w:rFonts w:ascii="Calibri" w:hAnsi="Calibri"/>
                <w:b/>
                <w:color w:val="FFFFFF"/>
                <w:sz w:val="16"/>
              </w:rPr>
              <w:t>Trigger</w:t>
            </w:r>
          </w:p>
        </w:tc>
        <w:tc>
          <w:tcPr>
            <w:tcW w:type="dxa" w:w="2608"/>
            <w:shd w:val="clear" w:fill="1F3B57"/>
          </w:tcPr>
          <w:p>
            <w:pPr>
              <w:spacing w:after="20" w:before="20" w:line="240" w:lineRule="auto"/>
            </w:pPr>
            <w:r/>
            <w:r>
              <w:rPr>
                <w:rFonts w:ascii="Calibri" w:hAnsi="Calibri"/>
                <w:b/>
                <w:color w:val="FFFFFF"/>
                <w:sz w:val="16"/>
              </w:rPr>
              <w:t>Threshold</w:t>
            </w:r>
          </w:p>
        </w:tc>
        <w:tc>
          <w:tcPr>
            <w:tcW w:type="dxa" w:w="4535"/>
            <w:shd w:val="clear" w:fill="1F3B57"/>
          </w:tcPr>
          <w:p>
            <w:pPr>
              <w:spacing w:after="20" w:before="20" w:line="240" w:lineRule="auto"/>
            </w:pPr>
            <w:r/>
            <w:r>
              <w:rPr>
                <w:rFonts w:ascii="Calibri" w:hAnsi="Calibri"/>
                <w:b/>
                <w:color w:val="FFFFFF"/>
                <w:sz w:val="16"/>
              </w:rPr>
              <w:t>Minimum commentary required</w:t>
            </w:r>
          </w:p>
        </w:tc>
      </w:tr>
      <w:tr>
        <w:tc>
          <w:tcPr>
            <w:tcW w:type="dxa" w:w="2608"/>
          </w:tcPr>
          <w:p>
            <w:pPr>
              <w:spacing w:after="20" w:before="20" w:line="240" w:lineRule="auto"/>
            </w:pPr>
            <w:r/>
            <w:r>
              <w:rPr>
                <w:rFonts w:ascii="Calibri" w:hAnsi="Calibri"/>
                <w:b w:val="0"/>
                <w:sz w:val="16"/>
              </w:rPr>
              <w:t>Budget variance</w:t>
            </w:r>
          </w:p>
        </w:tc>
        <w:tc>
          <w:tcPr>
            <w:tcW w:type="dxa" w:w="2608"/>
          </w:tcPr>
          <w:p>
            <w:pPr>
              <w:spacing w:after="20" w:before="20" w:line="240" w:lineRule="auto"/>
            </w:pPr>
            <w:r/>
            <w:r>
              <w:rPr>
                <w:rFonts w:ascii="Calibri" w:hAnsi="Calibri"/>
                <w:b w:val="0"/>
                <w:sz w:val="16"/>
              </w:rPr>
              <w:t>Above 15% or above PKR 250,000, whichever is lower</w:t>
            </w:r>
          </w:p>
        </w:tc>
        <w:tc>
          <w:tcPr>
            <w:tcW w:type="dxa" w:w="4535"/>
          </w:tcPr>
          <w:p>
            <w:pPr>
              <w:spacing w:after="20" w:before="20" w:line="240" w:lineRule="auto"/>
            </w:pPr>
            <w:r/>
            <w:r>
              <w:rPr>
                <w:rFonts w:ascii="Calibri" w:hAnsi="Calibri"/>
                <w:b w:val="0"/>
                <w:sz w:val="16"/>
              </w:rPr>
              <w:t>Full six-part commentary</w:t>
            </w:r>
          </w:p>
        </w:tc>
      </w:tr>
      <w:tr>
        <w:tc>
          <w:tcPr>
            <w:tcW w:type="dxa" w:w="2608"/>
            <w:shd w:val="clear" w:fill="F7F9FB"/>
          </w:tcPr>
          <w:p>
            <w:pPr>
              <w:spacing w:after="20" w:before="20" w:line="240" w:lineRule="auto"/>
            </w:pPr>
            <w:r/>
            <w:r>
              <w:rPr>
                <w:rFonts w:ascii="Calibri" w:hAnsi="Calibri"/>
                <w:b w:val="0"/>
                <w:sz w:val="16"/>
              </w:rPr>
              <w:t>Consumption-to-investment ratio</w:t>
            </w:r>
          </w:p>
        </w:tc>
        <w:tc>
          <w:tcPr>
            <w:tcW w:type="dxa" w:w="2608"/>
            <w:shd w:val="clear" w:fill="F7F9FB"/>
          </w:tcPr>
          <w:p>
            <w:pPr>
              <w:spacing w:after="20" w:before="20" w:line="240" w:lineRule="auto"/>
            </w:pPr>
            <w:r/>
            <w:r>
              <w:rPr>
                <w:rFonts w:ascii="Calibri" w:hAnsi="Calibri"/>
                <w:b w:val="0"/>
                <w:sz w:val="16"/>
              </w:rPr>
              <w:t>Outside 0.80 – 1.05</w:t>
            </w:r>
          </w:p>
        </w:tc>
        <w:tc>
          <w:tcPr>
            <w:tcW w:type="dxa" w:w="4535"/>
            <w:shd w:val="clear" w:fill="F7F9FB"/>
          </w:tcPr>
          <w:p>
            <w:pPr>
              <w:spacing w:after="20" w:before="20" w:line="240" w:lineRule="auto"/>
            </w:pPr>
            <w:r/>
            <w:r>
              <w:rPr>
                <w:rFonts w:ascii="Calibri" w:hAnsi="Calibri"/>
                <w:b w:val="0"/>
                <w:sz w:val="16"/>
              </w:rPr>
              <w:t>Full six-part commentary</w:t>
            </w:r>
          </w:p>
        </w:tc>
      </w:tr>
      <w:tr>
        <w:tc>
          <w:tcPr>
            <w:tcW w:type="dxa" w:w="2608"/>
          </w:tcPr>
          <w:p>
            <w:pPr>
              <w:spacing w:after="20" w:before="20" w:line="240" w:lineRule="auto"/>
            </w:pPr>
            <w:r/>
            <w:r>
              <w:rPr>
                <w:rFonts w:ascii="Calibri" w:hAnsi="Calibri"/>
                <w:b w:val="0"/>
                <w:sz w:val="16"/>
              </w:rPr>
              <w:t>Unattributed consumption</w:t>
            </w:r>
          </w:p>
        </w:tc>
        <w:tc>
          <w:tcPr>
            <w:tcW w:type="dxa" w:w="2608"/>
          </w:tcPr>
          <w:p>
            <w:pPr>
              <w:spacing w:after="20" w:before="20" w:line="240" w:lineRule="auto"/>
            </w:pPr>
            <w:r/>
            <w:r>
              <w:rPr>
                <w:rFonts w:ascii="Calibri" w:hAnsi="Calibri"/>
                <w:b w:val="0"/>
                <w:sz w:val="16"/>
              </w:rPr>
              <w:t>Above 1% of value</w:t>
            </w:r>
          </w:p>
        </w:tc>
        <w:tc>
          <w:tcPr>
            <w:tcW w:type="dxa" w:w="4535"/>
          </w:tcPr>
          <w:p>
            <w:pPr>
              <w:spacing w:after="20" w:before="20" w:line="240" w:lineRule="auto"/>
            </w:pPr>
            <w:r/>
            <w:r>
              <w:rPr>
                <w:rFonts w:ascii="Calibri" w:hAnsi="Calibri"/>
                <w:b w:val="0"/>
                <w:sz w:val="16"/>
              </w:rPr>
              <w:t>Full six-part commentary plus a corrective action for the coding process</w:t>
            </w:r>
          </w:p>
        </w:tc>
      </w:tr>
      <w:tr>
        <w:tc>
          <w:tcPr>
            <w:tcW w:type="dxa" w:w="2608"/>
            <w:shd w:val="clear" w:fill="F7F9FB"/>
          </w:tcPr>
          <w:p>
            <w:pPr>
              <w:spacing w:after="20" w:before="20" w:line="240" w:lineRule="auto"/>
            </w:pPr>
            <w:r/>
            <w:r>
              <w:rPr>
                <w:rFonts w:ascii="Calibri" w:hAnsi="Calibri"/>
                <w:b w:val="0"/>
                <w:sz w:val="16"/>
              </w:rPr>
              <w:t>Expiry or wastage</w:t>
            </w:r>
          </w:p>
        </w:tc>
        <w:tc>
          <w:tcPr>
            <w:tcW w:type="dxa" w:w="2608"/>
            <w:shd w:val="clear" w:fill="F7F9FB"/>
          </w:tcPr>
          <w:p>
            <w:pPr>
              <w:spacing w:after="20" w:before="20" w:line="240" w:lineRule="auto"/>
            </w:pPr>
            <w:r/>
            <w:r>
              <w:rPr>
                <w:rFonts w:ascii="Calibri" w:hAnsi="Calibri"/>
                <w:b w:val="0"/>
                <w:sz w:val="16"/>
              </w:rPr>
              <w:t>Any value above PKR 100,000</w:t>
            </w:r>
          </w:p>
        </w:tc>
        <w:tc>
          <w:tcPr>
            <w:tcW w:type="dxa" w:w="4535"/>
            <w:shd w:val="clear" w:fill="F7F9FB"/>
          </w:tcPr>
          <w:p>
            <w:pPr>
              <w:spacing w:after="20" w:before="20" w:line="240" w:lineRule="auto"/>
            </w:pPr>
            <w:r/>
            <w:r>
              <w:rPr>
                <w:rFonts w:ascii="Calibri" w:hAnsi="Calibri"/>
                <w:b w:val="0"/>
                <w:sz w:val="16"/>
              </w:rPr>
              <w:t>Full six-part commentary with disposition</w:t>
            </w:r>
          </w:p>
        </w:tc>
      </w:tr>
      <w:tr>
        <w:tc>
          <w:tcPr>
            <w:tcW w:type="dxa" w:w="2608"/>
          </w:tcPr>
          <w:p>
            <w:pPr>
              <w:spacing w:after="20" w:before="20" w:line="240" w:lineRule="auto"/>
            </w:pPr>
            <w:r/>
            <w:r>
              <w:rPr>
                <w:rFonts w:ascii="Calibri" w:hAnsi="Calibri"/>
                <w:b w:val="0"/>
                <w:sz w:val="16"/>
              </w:rPr>
              <w:t>Price variance</w:t>
            </w:r>
          </w:p>
        </w:tc>
        <w:tc>
          <w:tcPr>
            <w:tcW w:type="dxa" w:w="2608"/>
          </w:tcPr>
          <w:p>
            <w:pPr>
              <w:spacing w:after="20" w:before="20" w:line="240" w:lineRule="auto"/>
            </w:pPr>
            <w:r/>
            <w:r>
              <w:rPr>
                <w:rFonts w:ascii="Calibri" w:hAnsi="Calibri"/>
                <w:b w:val="0"/>
                <w:sz w:val="16"/>
              </w:rPr>
              <w:t>Above 10% on any material item</w:t>
            </w:r>
          </w:p>
        </w:tc>
        <w:tc>
          <w:tcPr>
            <w:tcW w:type="dxa" w:w="4535"/>
          </w:tcPr>
          <w:p>
            <w:pPr>
              <w:spacing w:after="20" w:before="20" w:line="240" w:lineRule="auto"/>
            </w:pPr>
            <w:r/>
            <w:r>
              <w:rPr>
                <w:rFonts w:ascii="Calibri" w:hAnsi="Calibri"/>
                <w:b w:val="0"/>
                <w:sz w:val="16"/>
              </w:rPr>
              <w:t>Cause, negotiation target and budget effect</w:t>
            </w:r>
          </w:p>
        </w:tc>
      </w:tr>
      <w:tr>
        <w:tc>
          <w:tcPr>
            <w:tcW w:type="dxa" w:w="2608"/>
            <w:shd w:val="clear" w:fill="F7F9FB"/>
          </w:tcPr>
          <w:p>
            <w:pPr>
              <w:spacing w:after="20" w:before="20" w:line="240" w:lineRule="auto"/>
            </w:pPr>
            <w:r/>
            <w:r>
              <w:rPr>
                <w:rFonts w:ascii="Calibri" w:hAnsi="Calibri"/>
                <w:b w:val="0"/>
                <w:sz w:val="16"/>
              </w:rPr>
              <w:t>Stock-out or cover below 30 days</w:t>
            </w:r>
          </w:p>
        </w:tc>
        <w:tc>
          <w:tcPr>
            <w:tcW w:type="dxa" w:w="2608"/>
            <w:shd w:val="clear" w:fill="F7F9FB"/>
          </w:tcPr>
          <w:p>
            <w:pPr>
              <w:spacing w:after="20" w:before="20" w:line="240" w:lineRule="auto"/>
            </w:pPr>
            <w:r/>
            <w:r>
              <w:rPr>
                <w:rFonts w:ascii="Calibri" w:hAnsi="Calibri"/>
                <w:b w:val="0"/>
                <w:sz w:val="16"/>
              </w:rPr>
              <w:t>Any critical item</w:t>
            </w:r>
          </w:p>
        </w:tc>
        <w:tc>
          <w:tcPr>
            <w:tcW w:type="dxa" w:w="4535"/>
            <w:shd w:val="clear" w:fill="F7F9FB"/>
          </w:tcPr>
          <w:p>
            <w:pPr>
              <w:spacing w:after="20" w:before="20" w:line="240" w:lineRule="auto"/>
            </w:pPr>
            <w:r/>
            <w:r>
              <w:rPr>
                <w:rFonts w:ascii="Calibri" w:hAnsi="Calibri"/>
                <w:b w:val="0"/>
                <w:sz w:val="16"/>
              </w:rPr>
              <w:t>Action, date and service impact</w:t>
            </w:r>
          </w:p>
        </w:tc>
      </w:tr>
      <w:tr>
        <w:tc>
          <w:tcPr>
            <w:tcW w:type="dxa" w:w="2608"/>
          </w:tcPr>
          <w:p>
            <w:pPr>
              <w:spacing w:after="20" w:before="20" w:line="240" w:lineRule="auto"/>
            </w:pPr>
            <w:r/>
            <w:r>
              <w:rPr>
                <w:rFonts w:ascii="Calibri" w:hAnsi="Calibri"/>
                <w:b w:val="0"/>
                <w:sz w:val="16"/>
              </w:rPr>
              <w:t>Data-quality gate failure</w:t>
            </w:r>
          </w:p>
        </w:tc>
        <w:tc>
          <w:tcPr>
            <w:tcW w:type="dxa" w:w="2608"/>
          </w:tcPr>
          <w:p>
            <w:pPr>
              <w:spacing w:after="20" w:before="20" w:line="240" w:lineRule="auto"/>
            </w:pPr>
            <w:r/>
            <w:r>
              <w:rPr>
                <w:rFonts w:ascii="Calibri" w:hAnsi="Calibri"/>
                <w:b w:val="0"/>
                <w:sz w:val="16"/>
              </w:rPr>
              <w:t>Any failed gate</w:t>
            </w:r>
          </w:p>
        </w:tc>
        <w:tc>
          <w:tcPr>
            <w:tcW w:type="dxa" w:w="4535"/>
          </w:tcPr>
          <w:p>
            <w:pPr>
              <w:spacing w:after="20" w:before="20" w:line="240" w:lineRule="auto"/>
            </w:pPr>
            <w:r/>
            <w:r>
              <w:rPr>
                <w:rFonts w:ascii="Calibri" w:hAnsi="Calibri"/>
                <w:b w:val="0"/>
                <w:sz w:val="16"/>
              </w:rPr>
              <w:t>Two lines: cause and reload plan; publication blocked</w:t>
            </w:r>
          </w:p>
        </w:tc>
      </w:tr>
    </w:tbl>
    <w:p>
      <w:pPr>
        <w:spacing w:after="20"/>
      </w:pPr>
    </w:p>
    <w:p>
      <w:r>
        <w:br w:type="page"/>
      </w:r>
    </w:p>
    <w:p>
      <w:pPr>
        <w:pStyle w:val="Heading1"/>
      </w:pPr>
      <w:r>
        <w:t>9. Commentary rules by metric</w:t>
      </w:r>
    </w:p>
    <w:p>
      <w:pPr>
        <w:spacing w:after="100"/>
      </w:pPr>
      <w:r>
        <w:rPr>
          <w:b w:val="0"/>
          <w:i w:val="0"/>
        </w:rPr>
        <w:t>These are the standing rules applied at each refresh. The causes are listed in the order they should be tested — from most to least likely in this organisation's data — and the actions are drawn from the action library in Section 6.1. The workbook holds the same rules with identifiers (CR-01 to CR-11) so that a commentary line can cite the rule it was written under.</w:t>
      </w:r>
    </w:p>
    <w:p>
      <w:pPr>
        <w:pStyle w:val="Heading2"/>
      </w:pPr>
      <w:r>
        <w:t>9.1 Consumption vs budget</w:t>
      </w:r>
    </w:p>
    <w:tbl>
      <w:tblPr>
        <w:tblStyle w:val="TableGrid"/>
        <w:tblW w:type="auto" w:w="0"/>
        <w:jc w:val="center"/>
        <w:tblLayout w:type="fixed"/>
        <w:tblLook w:firstColumn="1" w:firstRow="1" w:lastColumn="0" w:lastRow="0" w:noHBand="0" w:noVBand="1" w:val="04A0"/>
      </w:tblPr>
      <w:tblGrid>
        <w:gridCol w:w="5043"/>
        <w:gridCol w:w="5043"/>
      </w:tblGrid>
      <w:tr>
        <w:trPr>
          <w:tblHeader/>
        </w:trPr>
        <w:tc>
          <w:tcPr>
            <w:tcW w:type="dxa" w:w="2381"/>
            <w:shd w:val="clear" w:fill="1F3B57"/>
          </w:tcPr>
          <w:p>
            <w:pPr>
              <w:spacing w:after="20" w:before="20" w:line="240" w:lineRule="auto"/>
            </w:pPr>
            <w:r/>
            <w:r>
              <w:rPr>
                <w:rFonts w:ascii="Calibri" w:hAnsi="Calibri"/>
                <w:b/>
                <w:color w:val="FFFFFF"/>
                <w:sz w:val="16"/>
              </w:rPr>
              <w:t>Element</w:t>
            </w:r>
          </w:p>
        </w:tc>
        <w:tc>
          <w:tcPr>
            <w:tcW w:type="dxa" w:w="7370"/>
            <w:shd w:val="clear" w:fill="1F3B57"/>
          </w:tcPr>
          <w:p>
            <w:pPr>
              <w:spacing w:after="20" w:before="20" w:line="240" w:lineRule="auto"/>
            </w:pPr>
            <w:r/>
            <w:r>
              <w:rPr>
                <w:rFonts w:ascii="Calibri" w:hAnsi="Calibri"/>
                <w:b/>
                <w:color w:val="FFFFFF"/>
                <w:sz w:val="16"/>
              </w:rPr>
              <w:t>Content</w:t>
            </w:r>
          </w:p>
        </w:tc>
      </w:tr>
      <w:tr>
        <w:tc>
          <w:tcPr>
            <w:tcW w:type="dxa" w:w="2381"/>
          </w:tcPr>
          <w:p>
            <w:pPr>
              <w:spacing w:after="20" w:before="20" w:line="240" w:lineRule="auto"/>
            </w:pPr>
            <w:r/>
            <w:r>
              <w:rPr>
                <w:rFonts w:ascii="Calibri" w:hAnsi="Calibri"/>
                <w:b w:val="0"/>
                <w:sz w:val="16"/>
              </w:rPr>
              <w:t>Causes to test, in order</w:t>
            </w:r>
          </w:p>
        </w:tc>
        <w:tc>
          <w:tcPr>
            <w:tcW w:type="dxa" w:w="7370"/>
          </w:tcPr>
          <w:p>
            <w:pPr>
              <w:spacing w:after="20" w:before="20" w:line="240" w:lineRule="auto"/>
            </w:pPr>
            <w:r/>
            <w:r>
              <w:rPr>
                <w:rFonts w:ascii="Calibri" w:hAnsi="Calibri"/>
                <w:b w:val="0"/>
                <w:sz w:val="16"/>
              </w:rPr>
              <w:t>1. Price increase in a major item</w:t>
              <w:br/>
              <w:t>2. Scale-up in service volume or beneficiary numbers</w:t>
              <w:br/>
              <w:t>3. One-off event (outbreak, flood response, campaign)</w:t>
              <w:br/>
              <w:t>4. Category budget under-estimated at planning stage</w:t>
              <w:br/>
              <w:t>5. Mis-posting from another project or category</w:t>
              <w:br/>
              <w:t>6. Wastage or expiry replacement purchase</w:t>
            </w:r>
          </w:p>
        </w:tc>
      </w:tr>
      <w:tr>
        <w:tc>
          <w:tcPr>
            <w:tcW w:type="dxa" w:w="2381"/>
            <w:shd w:val="clear" w:fill="F7F9FB"/>
          </w:tcPr>
          <w:p>
            <w:pPr>
              <w:spacing w:after="20" w:before="20" w:line="240" w:lineRule="auto"/>
            </w:pPr>
            <w:r/>
            <w:r>
              <w:rPr>
                <w:rFonts w:ascii="Calibri" w:hAnsi="Calibri"/>
                <w:b w:val="0"/>
                <w:sz w:val="16"/>
              </w:rPr>
              <w:t>Action options</w:t>
            </w:r>
          </w:p>
        </w:tc>
        <w:tc>
          <w:tcPr>
            <w:tcW w:type="dxa" w:w="7370"/>
            <w:shd w:val="clear" w:fill="F7F9FB"/>
          </w:tcPr>
          <w:p>
            <w:pPr>
              <w:spacing w:after="20" w:before="20" w:line="240" w:lineRule="auto"/>
            </w:pPr>
            <w:r/>
            <w:r>
              <w:rPr>
                <w:rFonts w:ascii="Calibri" w:hAnsi="Calibri"/>
                <w:b w:val="0"/>
                <w:sz w:val="16"/>
              </w:rPr>
              <w:t>1. Record commentary and quantify price/volume split</w:t>
              <w:br/>
              <w:t>2. Request budget reallocation from an under-utilised category</w:t>
              <w:br/>
              <w:t>3. Adjust the activity plan for the remainder of the year</w:t>
              <w:br/>
              <w:t>4. Correct any mis-posted entries</w:t>
              <w:br/>
              <w:t>5. Negotiate price or change the specification</w:t>
            </w:r>
          </w:p>
        </w:tc>
      </w:tr>
      <w:tr>
        <w:tc>
          <w:tcPr>
            <w:tcW w:type="dxa" w:w="2381"/>
          </w:tcPr>
          <w:p>
            <w:pPr>
              <w:spacing w:after="20" w:before="20" w:line="240" w:lineRule="auto"/>
            </w:pPr>
            <w:r/>
            <w:r>
              <w:rPr>
                <w:rFonts w:ascii="Calibri" w:hAnsi="Calibri"/>
                <w:b w:val="0"/>
                <w:sz w:val="16"/>
              </w:rPr>
              <w:t>When to act</w:t>
            </w:r>
          </w:p>
        </w:tc>
        <w:tc>
          <w:tcPr>
            <w:tcW w:type="dxa" w:w="7370"/>
          </w:tcPr>
          <w:p>
            <w:pPr>
              <w:spacing w:after="20" w:before="20" w:line="240" w:lineRule="auto"/>
            </w:pPr>
            <w:r/>
            <w:r>
              <w:rPr>
                <w:rFonts w:ascii="Calibri" w:hAnsi="Calibri"/>
                <w:b w:val="0"/>
                <w:sz w:val="16"/>
              </w:rPr>
              <w:t>Within 3 working days of month close; reallocation before 60% of the fiscal year elapses</w:t>
            </w:r>
          </w:p>
        </w:tc>
      </w:tr>
      <w:tr>
        <w:tc>
          <w:tcPr>
            <w:tcW w:type="dxa" w:w="2381"/>
            <w:shd w:val="clear" w:fill="F7F9FB"/>
          </w:tcPr>
          <w:p>
            <w:pPr>
              <w:spacing w:after="20" w:before="20" w:line="240" w:lineRule="auto"/>
            </w:pPr>
            <w:r/>
            <w:r>
              <w:rPr>
                <w:rFonts w:ascii="Calibri" w:hAnsi="Calibri"/>
                <w:b w:val="0"/>
                <w:sz w:val="16"/>
              </w:rPr>
              <w:t>Owner</w:t>
            </w:r>
          </w:p>
        </w:tc>
        <w:tc>
          <w:tcPr>
            <w:tcW w:type="dxa" w:w="7370"/>
            <w:shd w:val="clear" w:fill="F7F9FB"/>
          </w:tcPr>
          <w:p>
            <w:pPr>
              <w:spacing w:after="20" w:before="20" w:line="240" w:lineRule="auto"/>
            </w:pPr>
            <w:r/>
            <w:r>
              <w:rPr>
                <w:rFonts w:ascii="Calibri" w:hAnsi="Calibri"/>
                <w:b w:val="0"/>
                <w:sz w:val="16"/>
              </w:rPr>
              <w:t>Finance &amp; Grants</w:t>
            </w:r>
          </w:p>
        </w:tc>
      </w:tr>
    </w:tbl>
    <w:p>
      <w:pPr>
        <w:spacing w:after="20"/>
      </w:pPr>
    </w:p>
    <w:p>
      <w:pPr>
        <w:pStyle w:val="Heading2"/>
      </w:pPr>
      <w:r>
        <w:t>9.2 Consumption-to-investment ratio</w:t>
      </w:r>
    </w:p>
    <w:tbl>
      <w:tblPr>
        <w:tblStyle w:val="TableGrid"/>
        <w:tblW w:type="auto" w:w="0"/>
        <w:jc w:val="center"/>
        <w:tblLayout w:type="fixed"/>
        <w:tblLook w:firstColumn="1" w:firstRow="1" w:lastColumn="0" w:lastRow="0" w:noHBand="0" w:noVBand="1" w:val="04A0"/>
      </w:tblPr>
      <w:tblGrid>
        <w:gridCol w:w="5043"/>
        <w:gridCol w:w="5043"/>
      </w:tblGrid>
      <w:tr>
        <w:trPr>
          <w:tblHeader/>
        </w:trPr>
        <w:tc>
          <w:tcPr>
            <w:tcW w:type="dxa" w:w="2381"/>
            <w:shd w:val="clear" w:fill="1F3B57"/>
          </w:tcPr>
          <w:p>
            <w:pPr>
              <w:spacing w:after="20" w:before="20" w:line="240" w:lineRule="auto"/>
            </w:pPr>
            <w:r/>
            <w:r>
              <w:rPr>
                <w:rFonts w:ascii="Calibri" w:hAnsi="Calibri"/>
                <w:b/>
                <w:color w:val="FFFFFF"/>
                <w:sz w:val="16"/>
              </w:rPr>
              <w:t>Element</w:t>
            </w:r>
          </w:p>
        </w:tc>
        <w:tc>
          <w:tcPr>
            <w:tcW w:type="dxa" w:w="7370"/>
            <w:shd w:val="clear" w:fill="1F3B57"/>
          </w:tcPr>
          <w:p>
            <w:pPr>
              <w:spacing w:after="20" w:before="20" w:line="240" w:lineRule="auto"/>
            </w:pPr>
            <w:r/>
            <w:r>
              <w:rPr>
                <w:rFonts w:ascii="Calibri" w:hAnsi="Calibri"/>
                <w:b/>
                <w:color w:val="FFFFFF"/>
                <w:sz w:val="16"/>
              </w:rPr>
              <w:t>Content</w:t>
            </w:r>
          </w:p>
        </w:tc>
      </w:tr>
      <w:tr>
        <w:tc>
          <w:tcPr>
            <w:tcW w:type="dxa" w:w="2381"/>
          </w:tcPr>
          <w:p>
            <w:pPr>
              <w:spacing w:after="20" w:before="20" w:line="240" w:lineRule="auto"/>
            </w:pPr>
            <w:r/>
            <w:r>
              <w:rPr>
                <w:rFonts w:ascii="Calibri" w:hAnsi="Calibri"/>
                <w:b w:val="0"/>
                <w:sz w:val="16"/>
              </w:rPr>
              <w:t>Causes to test, in order</w:t>
            </w:r>
          </w:p>
        </w:tc>
        <w:tc>
          <w:tcPr>
            <w:tcW w:type="dxa" w:w="7370"/>
          </w:tcPr>
          <w:p>
            <w:pPr>
              <w:spacing w:after="20" w:before="20" w:line="240" w:lineRule="auto"/>
            </w:pPr>
            <w:r/>
            <w:r>
              <w:rPr>
                <w:rFonts w:ascii="Calibri" w:hAnsi="Calibri"/>
                <w:b w:val="0"/>
                <w:sz w:val="16"/>
              </w:rPr>
              <w:t>1. Ordering ahead of need (bulk or pack-size driven)</w:t>
              <w:br/>
              <w:t>2. Project start-up stock build</w:t>
              <w:br/>
              <w:t>3. Slow issuing at the service point</w:t>
              <w:br/>
              <w:t>4. Opening stock drawdown with no new purchase</w:t>
              <w:br/>
              <w:t>5. Delayed receipts distorting the period</w:t>
            </w:r>
          </w:p>
        </w:tc>
      </w:tr>
      <w:tr>
        <w:tc>
          <w:tcPr>
            <w:tcW w:type="dxa" w:w="2381"/>
            <w:shd w:val="clear" w:fill="F7F9FB"/>
          </w:tcPr>
          <w:p>
            <w:pPr>
              <w:spacing w:after="20" w:before="20" w:line="240" w:lineRule="auto"/>
            </w:pPr>
            <w:r/>
            <w:r>
              <w:rPr>
                <w:rFonts w:ascii="Calibri" w:hAnsi="Calibri"/>
                <w:b w:val="0"/>
                <w:sz w:val="16"/>
              </w:rPr>
              <w:t>Action options</w:t>
            </w:r>
          </w:p>
        </w:tc>
        <w:tc>
          <w:tcPr>
            <w:tcW w:type="dxa" w:w="7370"/>
            <w:shd w:val="clear" w:fill="F7F9FB"/>
          </w:tcPr>
          <w:p>
            <w:pPr>
              <w:spacing w:after="20" w:before="20" w:line="240" w:lineRule="auto"/>
            </w:pPr>
            <w:r/>
            <w:r>
              <w:rPr>
                <w:rFonts w:ascii="Calibri" w:hAnsi="Calibri"/>
                <w:b w:val="0"/>
                <w:sz w:val="16"/>
              </w:rPr>
              <w:t>1. Defer or reduce the next purchase order</w:t>
              <w:br/>
              <w:t>2. Reallocate stock to a project that will consume it</w:t>
              <w:br/>
              <w:t>3. Set an order hold until cover normalises</w:t>
              <w:br/>
              <w:t>4. Verify that issues are being recorded daily</w:t>
            </w:r>
          </w:p>
        </w:tc>
      </w:tr>
      <w:tr>
        <w:tc>
          <w:tcPr>
            <w:tcW w:type="dxa" w:w="2381"/>
          </w:tcPr>
          <w:p>
            <w:pPr>
              <w:spacing w:after="20" w:before="20" w:line="240" w:lineRule="auto"/>
            </w:pPr>
            <w:r/>
            <w:r>
              <w:rPr>
                <w:rFonts w:ascii="Calibri" w:hAnsi="Calibri"/>
                <w:b w:val="0"/>
                <w:sz w:val="16"/>
              </w:rPr>
              <w:t>When to act</w:t>
            </w:r>
          </w:p>
        </w:tc>
        <w:tc>
          <w:tcPr>
            <w:tcW w:type="dxa" w:w="7370"/>
          </w:tcPr>
          <w:p>
            <w:pPr>
              <w:spacing w:after="20" w:before="20" w:line="240" w:lineRule="auto"/>
            </w:pPr>
            <w:r/>
            <w:r>
              <w:rPr>
                <w:rFonts w:ascii="Calibri" w:hAnsi="Calibri"/>
                <w:b w:val="0"/>
                <w:sz w:val="16"/>
              </w:rPr>
              <w:t>At month close; before the next requisition cycle</w:t>
            </w:r>
          </w:p>
        </w:tc>
      </w:tr>
      <w:tr>
        <w:tc>
          <w:tcPr>
            <w:tcW w:type="dxa" w:w="2381"/>
            <w:shd w:val="clear" w:fill="F7F9FB"/>
          </w:tcPr>
          <w:p>
            <w:pPr>
              <w:spacing w:after="20" w:before="20" w:line="240" w:lineRule="auto"/>
            </w:pPr>
            <w:r/>
            <w:r>
              <w:rPr>
                <w:rFonts w:ascii="Calibri" w:hAnsi="Calibri"/>
                <w:b w:val="0"/>
                <w:sz w:val="16"/>
              </w:rPr>
              <w:t>Owner</w:t>
            </w:r>
          </w:p>
        </w:tc>
        <w:tc>
          <w:tcPr>
            <w:tcW w:type="dxa" w:w="7370"/>
            <w:shd w:val="clear" w:fill="F7F9FB"/>
          </w:tcPr>
          <w:p>
            <w:pPr>
              <w:spacing w:after="20" w:before="20" w:line="240" w:lineRule="auto"/>
            </w:pPr>
            <w:r/>
            <w:r>
              <w:rPr>
                <w:rFonts w:ascii="Calibri" w:hAnsi="Calibri"/>
                <w:b w:val="0"/>
                <w:sz w:val="16"/>
              </w:rPr>
              <w:t>Head of Procurement</w:t>
            </w:r>
          </w:p>
        </w:tc>
      </w:tr>
    </w:tbl>
    <w:p>
      <w:pPr>
        <w:spacing w:after="20"/>
      </w:pPr>
    </w:p>
    <w:p>
      <w:pPr>
        <w:pStyle w:val="Heading2"/>
      </w:pPr>
      <w:r>
        <w:t>9.3 Days of cover / stock-out risk</w:t>
      </w:r>
    </w:p>
    <w:tbl>
      <w:tblPr>
        <w:tblStyle w:val="TableGrid"/>
        <w:tblW w:type="auto" w:w="0"/>
        <w:jc w:val="center"/>
        <w:tblLayout w:type="fixed"/>
        <w:tblLook w:firstColumn="1" w:firstRow="1" w:lastColumn="0" w:lastRow="0" w:noHBand="0" w:noVBand="1" w:val="04A0"/>
      </w:tblPr>
      <w:tblGrid>
        <w:gridCol w:w="5043"/>
        <w:gridCol w:w="5043"/>
      </w:tblGrid>
      <w:tr>
        <w:trPr>
          <w:tblHeader/>
        </w:trPr>
        <w:tc>
          <w:tcPr>
            <w:tcW w:type="dxa" w:w="2381"/>
            <w:shd w:val="clear" w:fill="1F3B57"/>
          </w:tcPr>
          <w:p>
            <w:pPr>
              <w:spacing w:after="20" w:before="20" w:line="240" w:lineRule="auto"/>
            </w:pPr>
            <w:r/>
            <w:r>
              <w:rPr>
                <w:rFonts w:ascii="Calibri" w:hAnsi="Calibri"/>
                <w:b/>
                <w:color w:val="FFFFFF"/>
                <w:sz w:val="16"/>
              </w:rPr>
              <w:t>Element</w:t>
            </w:r>
          </w:p>
        </w:tc>
        <w:tc>
          <w:tcPr>
            <w:tcW w:type="dxa" w:w="7370"/>
            <w:shd w:val="clear" w:fill="1F3B57"/>
          </w:tcPr>
          <w:p>
            <w:pPr>
              <w:spacing w:after="20" w:before="20" w:line="240" w:lineRule="auto"/>
            </w:pPr>
            <w:r/>
            <w:r>
              <w:rPr>
                <w:rFonts w:ascii="Calibri" w:hAnsi="Calibri"/>
                <w:b/>
                <w:color w:val="FFFFFF"/>
                <w:sz w:val="16"/>
              </w:rPr>
              <w:t>Content</w:t>
            </w:r>
          </w:p>
        </w:tc>
      </w:tr>
      <w:tr>
        <w:tc>
          <w:tcPr>
            <w:tcW w:type="dxa" w:w="2381"/>
          </w:tcPr>
          <w:p>
            <w:pPr>
              <w:spacing w:after="20" w:before="20" w:line="240" w:lineRule="auto"/>
            </w:pPr>
            <w:r/>
            <w:r>
              <w:rPr>
                <w:rFonts w:ascii="Calibri" w:hAnsi="Calibri"/>
                <w:b w:val="0"/>
                <w:sz w:val="16"/>
              </w:rPr>
              <w:t>Causes to test, in order</w:t>
            </w:r>
          </w:p>
        </w:tc>
        <w:tc>
          <w:tcPr>
            <w:tcW w:type="dxa" w:w="7370"/>
          </w:tcPr>
          <w:p>
            <w:pPr>
              <w:spacing w:after="20" w:before="20" w:line="240" w:lineRule="auto"/>
            </w:pPr>
            <w:r/>
            <w:r>
              <w:rPr>
                <w:rFonts w:ascii="Calibri" w:hAnsi="Calibri"/>
                <w:b w:val="0"/>
                <w:sz w:val="16"/>
              </w:rPr>
              <w:t>1. Supplier lead time longer than assumed</w:t>
              <w:br/>
              <w:t>2. Demand surge above trend</w:t>
              <w:br/>
              <w:t>3. Delayed receipt or partial delivery</w:t>
              <w:br/>
              <w:t>4. Stock transferred out to another project</w:t>
              <w:br/>
              <w:t>5. Pack size forcing over- or under-supply</w:t>
            </w:r>
          </w:p>
        </w:tc>
      </w:tr>
      <w:tr>
        <w:tc>
          <w:tcPr>
            <w:tcW w:type="dxa" w:w="2381"/>
            <w:shd w:val="clear" w:fill="F7F9FB"/>
          </w:tcPr>
          <w:p>
            <w:pPr>
              <w:spacing w:after="20" w:before="20" w:line="240" w:lineRule="auto"/>
            </w:pPr>
            <w:r/>
            <w:r>
              <w:rPr>
                <w:rFonts w:ascii="Calibri" w:hAnsi="Calibri"/>
                <w:b w:val="0"/>
                <w:sz w:val="16"/>
              </w:rPr>
              <w:t>Action options</w:t>
            </w:r>
          </w:p>
        </w:tc>
        <w:tc>
          <w:tcPr>
            <w:tcW w:type="dxa" w:w="7370"/>
            <w:shd w:val="clear" w:fill="F7F9FB"/>
          </w:tcPr>
          <w:p>
            <w:pPr>
              <w:spacing w:after="20" w:before="20" w:line="240" w:lineRule="auto"/>
            </w:pPr>
            <w:r/>
            <w:r>
              <w:rPr>
                <w:rFonts w:ascii="Calibri" w:hAnsi="Calibri"/>
                <w:b w:val="0"/>
                <w:sz w:val="16"/>
              </w:rPr>
              <w:t>1. Raise an emergency or fast-track purchase</w:t>
              <w:br/>
              <w:t>2. Transfer stock from a warehouse with surplus cover</w:t>
              <w:br/>
              <w:t>3. Borrow or reallocate from another project with the donor's agreement</w:t>
              <w:br/>
              <w:t>4. Temporarily substitute an equivalent product per protocol</w:t>
            </w:r>
          </w:p>
        </w:tc>
      </w:tr>
      <w:tr>
        <w:tc>
          <w:tcPr>
            <w:tcW w:type="dxa" w:w="2381"/>
          </w:tcPr>
          <w:p>
            <w:pPr>
              <w:spacing w:after="20" w:before="20" w:line="240" w:lineRule="auto"/>
            </w:pPr>
            <w:r/>
            <w:r>
              <w:rPr>
                <w:rFonts w:ascii="Calibri" w:hAnsi="Calibri"/>
                <w:b w:val="0"/>
                <w:sz w:val="16"/>
              </w:rPr>
              <w:t>When to act</w:t>
            </w:r>
          </w:p>
        </w:tc>
        <w:tc>
          <w:tcPr>
            <w:tcW w:type="dxa" w:w="7370"/>
          </w:tcPr>
          <w:p>
            <w:pPr>
              <w:spacing w:after="20" w:before="20" w:line="240" w:lineRule="auto"/>
            </w:pPr>
            <w:r/>
            <w:r>
              <w:rPr>
                <w:rFonts w:ascii="Calibri" w:hAnsi="Calibri"/>
                <w:b w:val="0"/>
                <w:sz w:val="16"/>
              </w:rPr>
              <w:t>Immediately when cover is below lead time; same day for clinical stock-outs</w:t>
            </w:r>
          </w:p>
        </w:tc>
      </w:tr>
      <w:tr>
        <w:tc>
          <w:tcPr>
            <w:tcW w:type="dxa" w:w="2381"/>
            <w:shd w:val="clear" w:fill="F7F9FB"/>
          </w:tcPr>
          <w:p>
            <w:pPr>
              <w:spacing w:after="20" w:before="20" w:line="240" w:lineRule="auto"/>
            </w:pPr>
            <w:r/>
            <w:r>
              <w:rPr>
                <w:rFonts w:ascii="Calibri" w:hAnsi="Calibri"/>
                <w:b w:val="0"/>
                <w:sz w:val="16"/>
              </w:rPr>
              <w:t>Owner</w:t>
            </w:r>
          </w:p>
        </w:tc>
        <w:tc>
          <w:tcPr>
            <w:tcW w:type="dxa" w:w="7370"/>
            <w:shd w:val="clear" w:fill="F7F9FB"/>
          </w:tcPr>
          <w:p>
            <w:pPr>
              <w:spacing w:after="20" w:before="20" w:line="240" w:lineRule="auto"/>
            </w:pPr>
            <w:r/>
            <w:r>
              <w:rPr>
                <w:rFonts w:ascii="Calibri" w:hAnsi="Calibri"/>
                <w:b w:val="0"/>
                <w:sz w:val="16"/>
              </w:rPr>
              <w:t>Stores / Procurement</w:t>
            </w:r>
          </w:p>
        </w:tc>
      </w:tr>
    </w:tbl>
    <w:p>
      <w:pPr>
        <w:spacing w:after="20"/>
      </w:pPr>
    </w:p>
    <w:p>
      <w:pPr>
        <w:pStyle w:val="Heading2"/>
      </w:pPr>
      <w:r>
        <w:t>9.4 Expiry and wastage</w:t>
      </w:r>
    </w:p>
    <w:tbl>
      <w:tblPr>
        <w:tblStyle w:val="TableGrid"/>
        <w:tblW w:type="auto" w:w="0"/>
        <w:jc w:val="center"/>
        <w:tblLayout w:type="fixed"/>
        <w:tblLook w:firstColumn="1" w:firstRow="1" w:lastColumn="0" w:lastRow="0" w:noHBand="0" w:noVBand="1" w:val="04A0"/>
      </w:tblPr>
      <w:tblGrid>
        <w:gridCol w:w="5043"/>
        <w:gridCol w:w="5043"/>
      </w:tblGrid>
      <w:tr>
        <w:trPr>
          <w:tblHeader/>
        </w:trPr>
        <w:tc>
          <w:tcPr>
            <w:tcW w:type="dxa" w:w="2381"/>
            <w:shd w:val="clear" w:fill="1F3B57"/>
          </w:tcPr>
          <w:p>
            <w:pPr>
              <w:spacing w:after="20" w:before="20" w:line="240" w:lineRule="auto"/>
            </w:pPr>
            <w:r/>
            <w:r>
              <w:rPr>
                <w:rFonts w:ascii="Calibri" w:hAnsi="Calibri"/>
                <w:b/>
                <w:color w:val="FFFFFF"/>
                <w:sz w:val="16"/>
              </w:rPr>
              <w:t>Element</w:t>
            </w:r>
          </w:p>
        </w:tc>
        <w:tc>
          <w:tcPr>
            <w:tcW w:type="dxa" w:w="7370"/>
            <w:shd w:val="clear" w:fill="1F3B57"/>
          </w:tcPr>
          <w:p>
            <w:pPr>
              <w:spacing w:after="20" w:before="20" w:line="240" w:lineRule="auto"/>
            </w:pPr>
            <w:r/>
            <w:r>
              <w:rPr>
                <w:rFonts w:ascii="Calibri" w:hAnsi="Calibri"/>
                <w:b/>
                <w:color w:val="FFFFFF"/>
                <w:sz w:val="16"/>
              </w:rPr>
              <w:t>Content</w:t>
            </w:r>
          </w:p>
        </w:tc>
      </w:tr>
      <w:tr>
        <w:tc>
          <w:tcPr>
            <w:tcW w:type="dxa" w:w="2381"/>
          </w:tcPr>
          <w:p>
            <w:pPr>
              <w:spacing w:after="20" w:before="20" w:line="240" w:lineRule="auto"/>
            </w:pPr>
            <w:r/>
            <w:r>
              <w:rPr>
                <w:rFonts w:ascii="Calibri" w:hAnsi="Calibri"/>
                <w:b w:val="0"/>
                <w:sz w:val="16"/>
              </w:rPr>
              <w:t>Causes to test, in order</w:t>
            </w:r>
          </w:p>
        </w:tc>
        <w:tc>
          <w:tcPr>
            <w:tcW w:type="dxa" w:w="7370"/>
          </w:tcPr>
          <w:p>
            <w:pPr>
              <w:spacing w:after="20" w:before="20" w:line="240" w:lineRule="auto"/>
            </w:pPr>
            <w:r/>
            <w:r>
              <w:rPr>
                <w:rFonts w:ascii="Calibri" w:hAnsi="Calibri"/>
                <w:b w:val="0"/>
                <w:sz w:val="16"/>
              </w:rPr>
              <w:t>1. Short-dated stock accepted at receipt</w:t>
              <w:br/>
              <w:t>2. Over-ordering against a demand estimate</w:t>
              <w:br/>
              <w:t>3. Stock held in the wrong warehouse or project</w:t>
              <w:br/>
              <w:t>4. Change in treatment protocol making the item obsolete</w:t>
              <w:br/>
              <w:t>5. Slow issuing or unrecorded consumption</w:t>
            </w:r>
          </w:p>
        </w:tc>
      </w:tr>
      <w:tr>
        <w:tc>
          <w:tcPr>
            <w:tcW w:type="dxa" w:w="2381"/>
            <w:shd w:val="clear" w:fill="F7F9FB"/>
          </w:tcPr>
          <w:p>
            <w:pPr>
              <w:spacing w:after="20" w:before="20" w:line="240" w:lineRule="auto"/>
            </w:pPr>
            <w:r/>
            <w:r>
              <w:rPr>
                <w:rFonts w:ascii="Calibri" w:hAnsi="Calibri"/>
                <w:b w:val="0"/>
                <w:sz w:val="16"/>
              </w:rPr>
              <w:t>Action options</w:t>
            </w:r>
          </w:p>
        </w:tc>
        <w:tc>
          <w:tcPr>
            <w:tcW w:type="dxa" w:w="7370"/>
            <w:shd w:val="clear" w:fill="F7F9FB"/>
          </w:tcPr>
          <w:p>
            <w:pPr>
              <w:spacing w:after="20" w:before="20" w:line="240" w:lineRule="auto"/>
            </w:pPr>
            <w:r/>
            <w:r>
              <w:rPr>
                <w:rFonts w:ascii="Calibri" w:hAnsi="Calibri"/>
                <w:b w:val="0"/>
                <w:sz w:val="16"/>
              </w:rPr>
              <w:t>1. Redistribute to a project with demand before the alert window closes</w:t>
              <w:br/>
              <w:t>2. Apply first-expiry-first-out issue instruction</w:t>
              <w:br/>
              <w:t>3. Write off with approval and record the loss</w:t>
              <w:br/>
              <w:t>4. Reject short-dated deliveries at receipt</w:t>
              <w:br/>
              <w:t>5. Freeze future ordering of the item</w:t>
            </w:r>
          </w:p>
        </w:tc>
      </w:tr>
      <w:tr>
        <w:tc>
          <w:tcPr>
            <w:tcW w:type="dxa" w:w="2381"/>
          </w:tcPr>
          <w:p>
            <w:pPr>
              <w:spacing w:after="20" w:before="20" w:line="240" w:lineRule="auto"/>
            </w:pPr>
            <w:r/>
            <w:r>
              <w:rPr>
                <w:rFonts w:ascii="Calibri" w:hAnsi="Calibri"/>
                <w:b w:val="0"/>
                <w:sz w:val="16"/>
              </w:rPr>
              <w:t>When to act</w:t>
            </w:r>
          </w:p>
        </w:tc>
        <w:tc>
          <w:tcPr>
            <w:tcW w:type="dxa" w:w="7370"/>
          </w:tcPr>
          <w:p>
            <w:pPr>
              <w:spacing w:after="20" w:before="20" w:line="240" w:lineRule="auto"/>
            </w:pPr>
            <w:r/>
            <w:r>
              <w:rPr>
                <w:rFonts w:ascii="Calibri" w:hAnsi="Calibri"/>
                <w:b w:val="0"/>
                <w:sz w:val="16"/>
              </w:rPr>
              <w:t>Within 5 working days of the expiry alert; write-off before year end</w:t>
            </w:r>
          </w:p>
        </w:tc>
      </w:tr>
      <w:tr>
        <w:tc>
          <w:tcPr>
            <w:tcW w:type="dxa" w:w="2381"/>
            <w:shd w:val="clear" w:fill="F7F9FB"/>
          </w:tcPr>
          <w:p>
            <w:pPr>
              <w:spacing w:after="20" w:before="20" w:line="240" w:lineRule="auto"/>
            </w:pPr>
            <w:r/>
            <w:r>
              <w:rPr>
                <w:rFonts w:ascii="Calibri" w:hAnsi="Calibri"/>
                <w:b w:val="0"/>
                <w:sz w:val="16"/>
              </w:rPr>
              <w:t>Owner</w:t>
            </w:r>
          </w:p>
        </w:tc>
        <w:tc>
          <w:tcPr>
            <w:tcW w:type="dxa" w:w="7370"/>
            <w:shd w:val="clear" w:fill="F7F9FB"/>
          </w:tcPr>
          <w:p>
            <w:pPr>
              <w:spacing w:after="20" w:before="20" w:line="240" w:lineRule="auto"/>
            </w:pPr>
            <w:r/>
            <w:r>
              <w:rPr>
                <w:rFonts w:ascii="Calibri" w:hAnsi="Calibri"/>
                <w:b w:val="0"/>
                <w:sz w:val="16"/>
              </w:rPr>
              <w:t>Stores / Finance</w:t>
            </w:r>
          </w:p>
        </w:tc>
      </w:tr>
    </w:tbl>
    <w:p>
      <w:pPr>
        <w:spacing w:after="20"/>
      </w:pPr>
    </w:p>
    <w:p>
      <w:pPr>
        <w:pStyle w:val="Heading2"/>
      </w:pPr>
      <w:r>
        <w:t>9.5 Unattributed consumption</w:t>
      </w:r>
    </w:p>
    <w:tbl>
      <w:tblPr>
        <w:tblStyle w:val="TableGrid"/>
        <w:tblW w:type="auto" w:w="0"/>
        <w:jc w:val="center"/>
        <w:tblLayout w:type="fixed"/>
        <w:tblLook w:firstColumn="1" w:firstRow="1" w:lastColumn="0" w:lastRow="0" w:noHBand="0" w:noVBand="1" w:val="04A0"/>
      </w:tblPr>
      <w:tblGrid>
        <w:gridCol w:w="5043"/>
        <w:gridCol w:w="5043"/>
      </w:tblGrid>
      <w:tr>
        <w:trPr>
          <w:tblHeader/>
        </w:trPr>
        <w:tc>
          <w:tcPr>
            <w:tcW w:type="dxa" w:w="2381"/>
            <w:shd w:val="clear" w:fill="1F3B57"/>
          </w:tcPr>
          <w:p>
            <w:pPr>
              <w:spacing w:after="20" w:before="20" w:line="240" w:lineRule="auto"/>
            </w:pPr>
            <w:r/>
            <w:r>
              <w:rPr>
                <w:rFonts w:ascii="Calibri" w:hAnsi="Calibri"/>
                <w:b/>
                <w:color w:val="FFFFFF"/>
                <w:sz w:val="16"/>
              </w:rPr>
              <w:t>Element</w:t>
            </w:r>
          </w:p>
        </w:tc>
        <w:tc>
          <w:tcPr>
            <w:tcW w:type="dxa" w:w="7370"/>
            <w:shd w:val="clear" w:fill="1F3B57"/>
          </w:tcPr>
          <w:p>
            <w:pPr>
              <w:spacing w:after="20" w:before="20" w:line="240" w:lineRule="auto"/>
            </w:pPr>
            <w:r/>
            <w:r>
              <w:rPr>
                <w:rFonts w:ascii="Calibri" w:hAnsi="Calibri"/>
                <w:b/>
                <w:color w:val="FFFFFF"/>
                <w:sz w:val="16"/>
              </w:rPr>
              <w:t>Content</w:t>
            </w:r>
          </w:p>
        </w:tc>
      </w:tr>
      <w:tr>
        <w:tc>
          <w:tcPr>
            <w:tcW w:type="dxa" w:w="2381"/>
          </w:tcPr>
          <w:p>
            <w:pPr>
              <w:spacing w:after="20" w:before="20" w:line="240" w:lineRule="auto"/>
            </w:pPr>
            <w:r/>
            <w:r>
              <w:rPr>
                <w:rFonts w:ascii="Calibri" w:hAnsi="Calibri"/>
                <w:b w:val="0"/>
                <w:sz w:val="16"/>
              </w:rPr>
              <w:t>Causes to test, in order</w:t>
            </w:r>
          </w:p>
        </w:tc>
        <w:tc>
          <w:tcPr>
            <w:tcW w:type="dxa" w:w="7370"/>
          </w:tcPr>
          <w:p>
            <w:pPr>
              <w:spacing w:after="20" w:before="20" w:line="240" w:lineRule="auto"/>
            </w:pPr>
            <w:r/>
            <w:r>
              <w:rPr>
                <w:rFonts w:ascii="Calibri" w:hAnsi="Calibri"/>
                <w:b w:val="0"/>
                <w:sz w:val="16"/>
              </w:rPr>
              <w:t>1. Default or generic project code used as a shortcut at issue</w:t>
              <w:br/>
              <w:t>2. User not trained on project coding</w:t>
              <w:br/>
              <w:t>3. Project code missing at the time of issue (new project not set up)</w:t>
              <w:br/>
              <w:t>4. Interface or system default overriding the correct code</w:t>
            </w:r>
          </w:p>
        </w:tc>
      </w:tr>
      <w:tr>
        <w:tc>
          <w:tcPr>
            <w:tcW w:type="dxa" w:w="2381"/>
            <w:shd w:val="clear" w:fill="F7F9FB"/>
          </w:tcPr>
          <w:p>
            <w:pPr>
              <w:spacing w:after="20" w:before="20" w:line="240" w:lineRule="auto"/>
            </w:pPr>
            <w:r/>
            <w:r>
              <w:rPr>
                <w:rFonts w:ascii="Calibri" w:hAnsi="Calibri"/>
                <w:b w:val="0"/>
                <w:sz w:val="16"/>
              </w:rPr>
              <w:t>Action options</w:t>
            </w:r>
          </w:p>
        </w:tc>
        <w:tc>
          <w:tcPr>
            <w:tcW w:type="dxa" w:w="7370"/>
            <w:shd w:val="clear" w:fill="F7F9FB"/>
          </w:tcPr>
          <w:p>
            <w:pPr>
              <w:spacing w:after="20" w:before="20" w:line="240" w:lineRule="auto"/>
            </w:pPr>
            <w:r/>
            <w:r>
              <w:rPr>
                <w:rFonts w:ascii="Calibri" w:hAnsi="Calibri"/>
                <w:b w:val="0"/>
                <w:sz w:val="16"/>
              </w:rPr>
              <w:t>1. Correct retroactively where the consuming project is evidenced</w:t>
              <w:br/>
              <w:t>2. Make the project field mandatory and validated in Oracle</w:t>
              <w:br/>
              <w:t>3. Retrain users and name the top offenders</w:t>
              <w:br/>
              <w:t>4. Add a monthly coding exception report to the review meeting</w:t>
            </w:r>
          </w:p>
        </w:tc>
      </w:tr>
      <w:tr>
        <w:tc>
          <w:tcPr>
            <w:tcW w:type="dxa" w:w="2381"/>
          </w:tcPr>
          <w:p>
            <w:pPr>
              <w:spacing w:after="20" w:before="20" w:line="240" w:lineRule="auto"/>
            </w:pPr>
            <w:r/>
            <w:r>
              <w:rPr>
                <w:rFonts w:ascii="Calibri" w:hAnsi="Calibri"/>
                <w:b w:val="0"/>
                <w:sz w:val="16"/>
              </w:rPr>
              <w:t>When to act</w:t>
            </w:r>
          </w:p>
        </w:tc>
        <w:tc>
          <w:tcPr>
            <w:tcW w:type="dxa" w:w="7370"/>
          </w:tcPr>
          <w:p>
            <w:pPr>
              <w:spacing w:after="20" w:before="20" w:line="240" w:lineRule="auto"/>
            </w:pPr>
            <w:r/>
            <w:r>
              <w:rPr>
                <w:rFonts w:ascii="Calibri" w:hAnsi="Calibri"/>
                <w:b w:val="0"/>
                <w:sz w:val="16"/>
              </w:rPr>
              <w:t>Correction within the current month; system control change within the quarter</w:t>
            </w:r>
          </w:p>
        </w:tc>
      </w:tr>
      <w:tr>
        <w:tc>
          <w:tcPr>
            <w:tcW w:type="dxa" w:w="2381"/>
            <w:shd w:val="clear" w:fill="F7F9FB"/>
          </w:tcPr>
          <w:p>
            <w:pPr>
              <w:spacing w:after="20" w:before="20" w:line="240" w:lineRule="auto"/>
            </w:pPr>
            <w:r/>
            <w:r>
              <w:rPr>
                <w:rFonts w:ascii="Calibri" w:hAnsi="Calibri"/>
                <w:b w:val="0"/>
                <w:sz w:val="16"/>
              </w:rPr>
              <w:t>Owner</w:t>
            </w:r>
          </w:p>
        </w:tc>
        <w:tc>
          <w:tcPr>
            <w:tcW w:type="dxa" w:w="7370"/>
            <w:shd w:val="clear" w:fill="F7F9FB"/>
          </w:tcPr>
          <w:p>
            <w:pPr>
              <w:spacing w:after="20" w:before="20" w:line="240" w:lineRule="auto"/>
            </w:pPr>
            <w:r/>
            <w:r>
              <w:rPr>
                <w:rFonts w:ascii="Calibri" w:hAnsi="Calibri"/>
                <w:b w:val="0"/>
                <w:sz w:val="16"/>
              </w:rPr>
              <w:t>Procurement + IT</w:t>
            </w:r>
          </w:p>
        </w:tc>
      </w:tr>
    </w:tbl>
    <w:p>
      <w:pPr>
        <w:spacing w:after="20"/>
      </w:pPr>
    </w:p>
    <w:p>
      <w:pPr>
        <w:pStyle w:val="Heading2"/>
      </w:pPr>
      <w:r>
        <w:t>9.6 Price variance</w:t>
      </w:r>
    </w:p>
    <w:tbl>
      <w:tblPr>
        <w:tblStyle w:val="TableGrid"/>
        <w:tblW w:type="auto" w:w="0"/>
        <w:jc w:val="center"/>
        <w:tblLayout w:type="fixed"/>
        <w:tblLook w:firstColumn="1" w:firstRow="1" w:lastColumn="0" w:lastRow="0" w:noHBand="0" w:noVBand="1" w:val="04A0"/>
      </w:tblPr>
      <w:tblGrid>
        <w:gridCol w:w="5043"/>
        <w:gridCol w:w="5043"/>
      </w:tblGrid>
      <w:tr>
        <w:trPr>
          <w:tblHeader/>
        </w:trPr>
        <w:tc>
          <w:tcPr>
            <w:tcW w:type="dxa" w:w="2381"/>
            <w:shd w:val="clear" w:fill="1F3B57"/>
          </w:tcPr>
          <w:p>
            <w:pPr>
              <w:spacing w:after="20" w:before="20" w:line="240" w:lineRule="auto"/>
            </w:pPr>
            <w:r/>
            <w:r>
              <w:rPr>
                <w:rFonts w:ascii="Calibri" w:hAnsi="Calibri"/>
                <w:b/>
                <w:color w:val="FFFFFF"/>
                <w:sz w:val="16"/>
              </w:rPr>
              <w:t>Element</w:t>
            </w:r>
          </w:p>
        </w:tc>
        <w:tc>
          <w:tcPr>
            <w:tcW w:type="dxa" w:w="7370"/>
            <w:shd w:val="clear" w:fill="1F3B57"/>
          </w:tcPr>
          <w:p>
            <w:pPr>
              <w:spacing w:after="20" w:before="20" w:line="240" w:lineRule="auto"/>
            </w:pPr>
            <w:r/>
            <w:r>
              <w:rPr>
                <w:rFonts w:ascii="Calibri" w:hAnsi="Calibri"/>
                <w:b/>
                <w:color w:val="FFFFFF"/>
                <w:sz w:val="16"/>
              </w:rPr>
              <w:t>Content</w:t>
            </w:r>
          </w:p>
        </w:tc>
      </w:tr>
      <w:tr>
        <w:tc>
          <w:tcPr>
            <w:tcW w:type="dxa" w:w="2381"/>
          </w:tcPr>
          <w:p>
            <w:pPr>
              <w:spacing w:after="20" w:before="20" w:line="240" w:lineRule="auto"/>
            </w:pPr>
            <w:r/>
            <w:r>
              <w:rPr>
                <w:rFonts w:ascii="Calibri" w:hAnsi="Calibri"/>
                <w:b w:val="0"/>
                <w:sz w:val="16"/>
              </w:rPr>
              <w:t>Causes to test, in order</w:t>
            </w:r>
          </w:p>
        </w:tc>
        <w:tc>
          <w:tcPr>
            <w:tcW w:type="dxa" w:w="7370"/>
          </w:tcPr>
          <w:p>
            <w:pPr>
              <w:spacing w:after="20" w:before="20" w:line="240" w:lineRule="auto"/>
            </w:pPr>
            <w:r/>
            <w:r>
              <w:rPr>
                <w:rFonts w:ascii="Calibri" w:hAnsi="Calibri"/>
                <w:b w:val="0"/>
                <w:sz w:val="16"/>
              </w:rPr>
              <w:t>1. Market or exchange-rate movement</w:t>
              <w:br/>
              <w:t>2. Change of supplier or loss of contract price</w:t>
              <w:br/>
              <w:t>3. Specification or pack-size change</w:t>
              <w:br/>
              <w:t>4. Emergency or split purchase at a higher price</w:t>
              <w:br/>
              <w:t>5. Incorrect unit of measure in the PO</w:t>
            </w:r>
          </w:p>
        </w:tc>
      </w:tr>
      <w:tr>
        <w:tc>
          <w:tcPr>
            <w:tcW w:type="dxa" w:w="2381"/>
            <w:shd w:val="clear" w:fill="F7F9FB"/>
          </w:tcPr>
          <w:p>
            <w:pPr>
              <w:spacing w:after="20" w:before="20" w:line="240" w:lineRule="auto"/>
            </w:pPr>
            <w:r/>
            <w:r>
              <w:rPr>
                <w:rFonts w:ascii="Calibri" w:hAnsi="Calibri"/>
                <w:b w:val="0"/>
                <w:sz w:val="16"/>
              </w:rPr>
              <w:t>Action options</w:t>
            </w:r>
          </w:p>
        </w:tc>
        <w:tc>
          <w:tcPr>
            <w:tcW w:type="dxa" w:w="7370"/>
            <w:shd w:val="clear" w:fill="F7F9FB"/>
          </w:tcPr>
          <w:p>
            <w:pPr>
              <w:spacing w:after="20" w:before="20" w:line="240" w:lineRule="auto"/>
            </w:pPr>
            <w:r/>
            <w:r>
              <w:rPr>
                <w:rFonts w:ascii="Calibri" w:hAnsi="Calibri"/>
                <w:b w:val="0"/>
                <w:sz w:val="16"/>
              </w:rPr>
              <w:t>1. Re-quote or negotiate; invoke contract terms</w:t>
              <w:br/>
              <w:t>2. Consolidate demand to restore the volume discount</w:t>
              <w:br/>
              <w:t>3. Verify specification and UOM before the next order</w:t>
              <w:br/>
              <w:t>4. Record the price effect separately from volume in the variance note</w:t>
            </w:r>
          </w:p>
        </w:tc>
      </w:tr>
      <w:tr>
        <w:tc>
          <w:tcPr>
            <w:tcW w:type="dxa" w:w="2381"/>
          </w:tcPr>
          <w:p>
            <w:pPr>
              <w:spacing w:after="20" w:before="20" w:line="240" w:lineRule="auto"/>
            </w:pPr>
            <w:r/>
            <w:r>
              <w:rPr>
                <w:rFonts w:ascii="Calibri" w:hAnsi="Calibri"/>
                <w:b w:val="0"/>
                <w:sz w:val="16"/>
              </w:rPr>
              <w:t>When to act</w:t>
            </w:r>
          </w:p>
        </w:tc>
        <w:tc>
          <w:tcPr>
            <w:tcW w:type="dxa" w:w="7370"/>
          </w:tcPr>
          <w:p>
            <w:pPr>
              <w:spacing w:after="20" w:before="20" w:line="240" w:lineRule="auto"/>
            </w:pPr>
            <w:r/>
            <w:r>
              <w:rPr>
                <w:rFonts w:ascii="Calibri" w:hAnsi="Calibri"/>
                <w:b w:val="0"/>
                <w:sz w:val="16"/>
              </w:rPr>
              <w:t>Before the next contract or purchase cycle</w:t>
            </w:r>
          </w:p>
        </w:tc>
      </w:tr>
      <w:tr>
        <w:tc>
          <w:tcPr>
            <w:tcW w:type="dxa" w:w="2381"/>
            <w:shd w:val="clear" w:fill="F7F9FB"/>
          </w:tcPr>
          <w:p>
            <w:pPr>
              <w:spacing w:after="20" w:before="20" w:line="240" w:lineRule="auto"/>
            </w:pPr>
            <w:r/>
            <w:r>
              <w:rPr>
                <w:rFonts w:ascii="Calibri" w:hAnsi="Calibri"/>
                <w:b w:val="0"/>
                <w:sz w:val="16"/>
              </w:rPr>
              <w:t>Owner</w:t>
            </w:r>
          </w:p>
        </w:tc>
        <w:tc>
          <w:tcPr>
            <w:tcW w:type="dxa" w:w="7370"/>
            <w:shd w:val="clear" w:fill="F7F9FB"/>
          </w:tcPr>
          <w:p>
            <w:pPr>
              <w:spacing w:after="20" w:before="20" w:line="240" w:lineRule="auto"/>
            </w:pPr>
            <w:r/>
            <w:r>
              <w:rPr>
                <w:rFonts w:ascii="Calibri" w:hAnsi="Calibri"/>
                <w:b w:val="0"/>
                <w:sz w:val="16"/>
              </w:rPr>
              <w:t>Procurement</w:t>
            </w:r>
          </w:p>
        </w:tc>
      </w:tr>
    </w:tbl>
    <w:p>
      <w:pPr>
        <w:spacing w:after="20"/>
      </w:pPr>
    </w:p>
    <w:p>
      <w:pPr>
        <w:pStyle w:val="Heading2"/>
      </w:pPr>
      <w:r>
        <w:t>9.7 Slow-moving / overstock</w:t>
      </w:r>
    </w:p>
    <w:tbl>
      <w:tblPr>
        <w:tblStyle w:val="TableGrid"/>
        <w:tblW w:type="auto" w:w="0"/>
        <w:jc w:val="center"/>
        <w:tblLayout w:type="fixed"/>
        <w:tblLook w:firstColumn="1" w:firstRow="1" w:lastColumn="0" w:lastRow="0" w:noHBand="0" w:noVBand="1" w:val="04A0"/>
      </w:tblPr>
      <w:tblGrid>
        <w:gridCol w:w="5043"/>
        <w:gridCol w:w="5043"/>
      </w:tblGrid>
      <w:tr>
        <w:trPr>
          <w:tblHeader/>
        </w:trPr>
        <w:tc>
          <w:tcPr>
            <w:tcW w:type="dxa" w:w="2381"/>
            <w:shd w:val="clear" w:fill="1F3B57"/>
          </w:tcPr>
          <w:p>
            <w:pPr>
              <w:spacing w:after="20" w:before="20" w:line="240" w:lineRule="auto"/>
            </w:pPr>
            <w:r/>
            <w:r>
              <w:rPr>
                <w:rFonts w:ascii="Calibri" w:hAnsi="Calibri"/>
                <w:b/>
                <w:color w:val="FFFFFF"/>
                <w:sz w:val="16"/>
              </w:rPr>
              <w:t>Element</w:t>
            </w:r>
          </w:p>
        </w:tc>
        <w:tc>
          <w:tcPr>
            <w:tcW w:type="dxa" w:w="7370"/>
            <w:shd w:val="clear" w:fill="1F3B57"/>
          </w:tcPr>
          <w:p>
            <w:pPr>
              <w:spacing w:after="20" w:before="20" w:line="240" w:lineRule="auto"/>
            </w:pPr>
            <w:r/>
            <w:r>
              <w:rPr>
                <w:rFonts w:ascii="Calibri" w:hAnsi="Calibri"/>
                <w:b/>
                <w:color w:val="FFFFFF"/>
                <w:sz w:val="16"/>
              </w:rPr>
              <w:t>Content</w:t>
            </w:r>
          </w:p>
        </w:tc>
      </w:tr>
      <w:tr>
        <w:tc>
          <w:tcPr>
            <w:tcW w:type="dxa" w:w="2381"/>
          </w:tcPr>
          <w:p>
            <w:pPr>
              <w:spacing w:after="20" w:before="20" w:line="240" w:lineRule="auto"/>
            </w:pPr>
            <w:r/>
            <w:r>
              <w:rPr>
                <w:rFonts w:ascii="Calibri" w:hAnsi="Calibri"/>
                <w:b w:val="0"/>
                <w:sz w:val="16"/>
              </w:rPr>
              <w:t>Causes to test, in order</w:t>
            </w:r>
          </w:p>
        </w:tc>
        <w:tc>
          <w:tcPr>
            <w:tcW w:type="dxa" w:w="7370"/>
          </w:tcPr>
          <w:p>
            <w:pPr>
              <w:spacing w:after="20" w:before="20" w:line="240" w:lineRule="auto"/>
            </w:pPr>
            <w:r/>
            <w:r>
              <w:rPr>
                <w:rFonts w:ascii="Calibri" w:hAnsi="Calibri"/>
                <w:b w:val="0"/>
                <w:sz w:val="16"/>
              </w:rPr>
              <w:t>1. Demand over-estimated at requisition</w:t>
              <w:br/>
              <w:t>2. Item superseded or no longer in the protocol</w:t>
              <w:br/>
              <w:t>3. Stock received for a project that has since reduced activity</w:t>
              <w:br/>
              <w:t>4. Wrong warehouse allocation</w:t>
            </w:r>
          </w:p>
        </w:tc>
      </w:tr>
      <w:tr>
        <w:tc>
          <w:tcPr>
            <w:tcW w:type="dxa" w:w="2381"/>
            <w:shd w:val="clear" w:fill="F7F9FB"/>
          </w:tcPr>
          <w:p>
            <w:pPr>
              <w:spacing w:after="20" w:before="20" w:line="240" w:lineRule="auto"/>
            </w:pPr>
            <w:r/>
            <w:r>
              <w:rPr>
                <w:rFonts w:ascii="Calibri" w:hAnsi="Calibri"/>
                <w:b w:val="0"/>
                <w:sz w:val="16"/>
              </w:rPr>
              <w:t>Action options</w:t>
            </w:r>
          </w:p>
        </w:tc>
        <w:tc>
          <w:tcPr>
            <w:tcW w:type="dxa" w:w="7370"/>
            <w:shd w:val="clear" w:fill="F7F9FB"/>
          </w:tcPr>
          <w:p>
            <w:pPr>
              <w:spacing w:after="20" w:before="20" w:line="240" w:lineRule="auto"/>
            </w:pPr>
            <w:r/>
            <w:r>
              <w:rPr>
                <w:rFonts w:ascii="Calibri" w:hAnsi="Calibri"/>
                <w:b w:val="0"/>
                <w:sz w:val="16"/>
              </w:rPr>
              <w:t>1. Freeze ordering and set a review date</w:t>
              <w:br/>
              <w:t>2. Redistribute to a consuming project or facility</w:t>
              <w:br/>
              <w:t>3. Adjust the requirement formula with actual consumption</w:t>
              <w:br/>
              <w:t>4. Dispose of, or return, stock that cannot be consumed</w:t>
            </w:r>
          </w:p>
        </w:tc>
      </w:tr>
      <w:tr>
        <w:tc>
          <w:tcPr>
            <w:tcW w:type="dxa" w:w="2381"/>
          </w:tcPr>
          <w:p>
            <w:pPr>
              <w:spacing w:after="20" w:before="20" w:line="240" w:lineRule="auto"/>
            </w:pPr>
            <w:r/>
            <w:r>
              <w:rPr>
                <w:rFonts w:ascii="Calibri" w:hAnsi="Calibri"/>
                <w:b w:val="0"/>
                <w:sz w:val="16"/>
              </w:rPr>
              <w:t>When to act</w:t>
            </w:r>
          </w:p>
        </w:tc>
        <w:tc>
          <w:tcPr>
            <w:tcW w:type="dxa" w:w="7370"/>
          </w:tcPr>
          <w:p>
            <w:pPr>
              <w:spacing w:after="20" w:before="20" w:line="240" w:lineRule="auto"/>
            </w:pPr>
            <w:r/>
            <w:r>
              <w:rPr>
                <w:rFonts w:ascii="Calibri" w:hAnsi="Calibri"/>
                <w:b w:val="0"/>
                <w:sz w:val="16"/>
              </w:rPr>
              <w:t>Freeze immediately; disposition within the expiry window</w:t>
            </w:r>
          </w:p>
        </w:tc>
      </w:tr>
      <w:tr>
        <w:tc>
          <w:tcPr>
            <w:tcW w:type="dxa" w:w="2381"/>
            <w:shd w:val="clear" w:fill="F7F9FB"/>
          </w:tcPr>
          <w:p>
            <w:pPr>
              <w:spacing w:after="20" w:before="20" w:line="240" w:lineRule="auto"/>
            </w:pPr>
            <w:r/>
            <w:r>
              <w:rPr>
                <w:rFonts w:ascii="Calibri" w:hAnsi="Calibri"/>
                <w:b w:val="0"/>
                <w:sz w:val="16"/>
              </w:rPr>
              <w:t>Owner</w:t>
            </w:r>
          </w:p>
        </w:tc>
        <w:tc>
          <w:tcPr>
            <w:tcW w:type="dxa" w:w="7370"/>
            <w:shd w:val="clear" w:fill="F7F9FB"/>
          </w:tcPr>
          <w:p>
            <w:pPr>
              <w:spacing w:after="20" w:before="20" w:line="240" w:lineRule="auto"/>
            </w:pPr>
            <w:r/>
            <w:r>
              <w:rPr>
                <w:rFonts w:ascii="Calibri" w:hAnsi="Calibri"/>
                <w:b w:val="0"/>
                <w:sz w:val="16"/>
              </w:rPr>
              <w:t>Supply chain</w:t>
            </w:r>
          </w:p>
        </w:tc>
      </w:tr>
    </w:tbl>
    <w:p>
      <w:pPr>
        <w:spacing w:after="20"/>
      </w:pPr>
    </w:p>
    <w:p>
      <w:pPr>
        <w:pStyle w:val="Heading2"/>
      </w:pPr>
      <w:r>
        <w:t>9.8 Cost per beneficiary</w:t>
      </w:r>
    </w:p>
    <w:tbl>
      <w:tblPr>
        <w:tblStyle w:val="TableGrid"/>
        <w:tblW w:type="auto" w:w="0"/>
        <w:jc w:val="center"/>
        <w:tblLayout w:type="fixed"/>
        <w:tblLook w:firstColumn="1" w:firstRow="1" w:lastColumn="0" w:lastRow="0" w:noHBand="0" w:noVBand="1" w:val="04A0"/>
      </w:tblPr>
      <w:tblGrid>
        <w:gridCol w:w="5043"/>
        <w:gridCol w:w="5043"/>
      </w:tblGrid>
      <w:tr>
        <w:trPr>
          <w:tblHeader/>
        </w:trPr>
        <w:tc>
          <w:tcPr>
            <w:tcW w:type="dxa" w:w="2381"/>
            <w:shd w:val="clear" w:fill="1F3B57"/>
          </w:tcPr>
          <w:p>
            <w:pPr>
              <w:spacing w:after="20" w:before="20" w:line="240" w:lineRule="auto"/>
            </w:pPr>
            <w:r/>
            <w:r>
              <w:rPr>
                <w:rFonts w:ascii="Calibri" w:hAnsi="Calibri"/>
                <w:b/>
                <w:color w:val="FFFFFF"/>
                <w:sz w:val="16"/>
              </w:rPr>
              <w:t>Element</w:t>
            </w:r>
          </w:p>
        </w:tc>
        <w:tc>
          <w:tcPr>
            <w:tcW w:type="dxa" w:w="7370"/>
            <w:shd w:val="clear" w:fill="1F3B57"/>
          </w:tcPr>
          <w:p>
            <w:pPr>
              <w:spacing w:after="20" w:before="20" w:line="240" w:lineRule="auto"/>
            </w:pPr>
            <w:r/>
            <w:r>
              <w:rPr>
                <w:rFonts w:ascii="Calibri" w:hAnsi="Calibri"/>
                <w:b/>
                <w:color w:val="FFFFFF"/>
                <w:sz w:val="16"/>
              </w:rPr>
              <w:t>Content</w:t>
            </w:r>
          </w:p>
        </w:tc>
      </w:tr>
      <w:tr>
        <w:tc>
          <w:tcPr>
            <w:tcW w:type="dxa" w:w="2381"/>
          </w:tcPr>
          <w:p>
            <w:pPr>
              <w:spacing w:after="20" w:before="20" w:line="240" w:lineRule="auto"/>
            </w:pPr>
            <w:r/>
            <w:r>
              <w:rPr>
                <w:rFonts w:ascii="Calibri" w:hAnsi="Calibri"/>
                <w:b w:val="0"/>
                <w:sz w:val="16"/>
              </w:rPr>
              <w:t>Causes to test, in order</w:t>
            </w:r>
          </w:p>
        </w:tc>
        <w:tc>
          <w:tcPr>
            <w:tcW w:type="dxa" w:w="7370"/>
          </w:tcPr>
          <w:p>
            <w:pPr>
              <w:spacing w:after="20" w:before="20" w:line="240" w:lineRule="auto"/>
            </w:pPr>
            <w:r/>
            <w:r>
              <w:rPr>
                <w:rFonts w:ascii="Calibri" w:hAnsi="Calibri"/>
                <w:b w:val="0"/>
                <w:sz w:val="16"/>
              </w:rPr>
              <w:t>1. Case mix or acuity difference between projects</w:t>
              <w:br/>
              <w:t>2. Price paid and supplier terms</w:t>
              <w:br/>
              <w:t>3. Service volume lower than capacity</w:t>
              <w:br/>
              <w:t>4. Wastage and expiry inflating cost</w:t>
              <w:br/>
              <w:t>5. One-off capital or stock build in the period</w:t>
            </w:r>
          </w:p>
        </w:tc>
      </w:tr>
      <w:tr>
        <w:tc>
          <w:tcPr>
            <w:tcW w:type="dxa" w:w="2381"/>
            <w:shd w:val="clear" w:fill="F7F9FB"/>
          </w:tcPr>
          <w:p>
            <w:pPr>
              <w:spacing w:after="20" w:before="20" w:line="240" w:lineRule="auto"/>
            </w:pPr>
            <w:r/>
            <w:r>
              <w:rPr>
                <w:rFonts w:ascii="Calibri" w:hAnsi="Calibri"/>
                <w:b w:val="0"/>
                <w:sz w:val="16"/>
              </w:rPr>
              <w:t>Action options</w:t>
            </w:r>
          </w:p>
        </w:tc>
        <w:tc>
          <w:tcPr>
            <w:tcW w:type="dxa" w:w="7370"/>
            <w:shd w:val="clear" w:fill="F7F9FB"/>
          </w:tcPr>
          <w:p>
            <w:pPr>
              <w:spacing w:after="20" w:before="20" w:line="240" w:lineRule="auto"/>
            </w:pPr>
            <w:r/>
            <w:r>
              <w:rPr>
                <w:rFonts w:ascii="Calibri" w:hAnsi="Calibri"/>
                <w:b w:val="0"/>
                <w:sz w:val="16"/>
              </w:rPr>
              <w:t>1. Normalise the comparison for category mix before concluding</w:t>
              <w:br/>
              <w:t>2. Address the specific driver (price, volume or waste)</w:t>
              <w:br/>
              <w:t>3. Set an efficiency target for the next quarter</w:t>
              <w:br/>
              <w:t>4. Report the measure with its methodology to the donor</w:t>
            </w:r>
          </w:p>
        </w:tc>
      </w:tr>
      <w:tr>
        <w:tc>
          <w:tcPr>
            <w:tcW w:type="dxa" w:w="2381"/>
          </w:tcPr>
          <w:p>
            <w:pPr>
              <w:spacing w:after="20" w:before="20" w:line="240" w:lineRule="auto"/>
            </w:pPr>
            <w:r/>
            <w:r>
              <w:rPr>
                <w:rFonts w:ascii="Calibri" w:hAnsi="Calibri"/>
                <w:b w:val="0"/>
                <w:sz w:val="16"/>
              </w:rPr>
              <w:t>When to act</w:t>
            </w:r>
          </w:p>
        </w:tc>
        <w:tc>
          <w:tcPr>
            <w:tcW w:type="dxa" w:w="7370"/>
          </w:tcPr>
          <w:p>
            <w:pPr>
              <w:spacing w:after="20" w:before="20" w:line="240" w:lineRule="auto"/>
            </w:pPr>
            <w:r/>
            <w:r>
              <w:rPr>
                <w:rFonts w:ascii="Calibri" w:hAnsi="Calibri"/>
                <w:b w:val="0"/>
                <w:sz w:val="16"/>
              </w:rPr>
              <w:t>Quarterly review; methodology published with the first report</w:t>
            </w:r>
          </w:p>
        </w:tc>
      </w:tr>
      <w:tr>
        <w:tc>
          <w:tcPr>
            <w:tcW w:type="dxa" w:w="2381"/>
            <w:shd w:val="clear" w:fill="F7F9FB"/>
          </w:tcPr>
          <w:p>
            <w:pPr>
              <w:spacing w:after="20" w:before="20" w:line="240" w:lineRule="auto"/>
            </w:pPr>
            <w:r/>
            <w:r>
              <w:rPr>
                <w:rFonts w:ascii="Calibri" w:hAnsi="Calibri"/>
                <w:b w:val="0"/>
                <w:sz w:val="16"/>
              </w:rPr>
              <w:t>Owner</w:t>
            </w:r>
          </w:p>
        </w:tc>
        <w:tc>
          <w:tcPr>
            <w:tcW w:type="dxa" w:w="7370"/>
            <w:shd w:val="clear" w:fill="F7F9FB"/>
          </w:tcPr>
          <w:p>
            <w:pPr>
              <w:spacing w:after="20" w:before="20" w:line="240" w:lineRule="auto"/>
            </w:pPr>
            <w:r/>
            <w:r>
              <w:rPr>
                <w:rFonts w:ascii="Calibri" w:hAnsi="Calibri"/>
                <w:b w:val="0"/>
                <w:sz w:val="16"/>
              </w:rPr>
              <w:t>Programme + Finance</w:t>
            </w:r>
          </w:p>
        </w:tc>
      </w:tr>
    </w:tbl>
    <w:p>
      <w:pPr>
        <w:spacing w:after="20"/>
      </w:pPr>
    </w:p>
    <w:p>
      <w:pPr>
        <w:pStyle w:val="Heading2"/>
      </w:pPr>
      <w:r>
        <w:t>9.9 Open commitment / cancelled orders</w:t>
      </w:r>
    </w:p>
    <w:tbl>
      <w:tblPr>
        <w:tblStyle w:val="TableGrid"/>
        <w:tblW w:type="auto" w:w="0"/>
        <w:jc w:val="center"/>
        <w:tblLayout w:type="fixed"/>
        <w:tblLook w:firstColumn="1" w:firstRow="1" w:lastColumn="0" w:lastRow="0" w:noHBand="0" w:noVBand="1" w:val="04A0"/>
      </w:tblPr>
      <w:tblGrid>
        <w:gridCol w:w="5043"/>
        <w:gridCol w:w="5043"/>
      </w:tblGrid>
      <w:tr>
        <w:trPr>
          <w:tblHeader/>
        </w:trPr>
        <w:tc>
          <w:tcPr>
            <w:tcW w:type="dxa" w:w="2381"/>
            <w:shd w:val="clear" w:fill="1F3B57"/>
          </w:tcPr>
          <w:p>
            <w:pPr>
              <w:spacing w:after="20" w:before="20" w:line="240" w:lineRule="auto"/>
            </w:pPr>
            <w:r/>
            <w:r>
              <w:rPr>
                <w:rFonts w:ascii="Calibri" w:hAnsi="Calibri"/>
                <w:b/>
                <w:color w:val="FFFFFF"/>
                <w:sz w:val="16"/>
              </w:rPr>
              <w:t>Element</w:t>
            </w:r>
          </w:p>
        </w:tc>
        <w:tc>
          <w:tcPr>
            <w:tcW w:type="dxa" w:w="7370"/>
            <w:shd w:val="clear" w:fill="1F3B57"/>
          </w:tcPr>
          <w:p>
            <w:pPr>
              <w:spacing w:after="20" w:before="20" w:line="240" w:lineRule="auto"/>
            </w:pPr>
            <w:r/>
            <w:r>
              <w:rPr>
                <w:rFonts w:ascii="Calibri" w:hAnsi="Calibri"/>
                <w:b/>
                <w:color w:val="FFFFFF"/>
                <w:sz w:val="16"/>
              </w:rPr>
              <w:t>Content</w:t>
            </w:r>
          </w:p>
        </w:tc>
      </w:tr>
      <w:tr>
        <w:tc>
          <w:tcPr>
            <w:tcW w:type="dxa" w:w="2381"/>
          </w:tcPr>
          <w:p>
            <w:pPr>
              <w:spacing w:after="20" w:before="20" w:line="240" w:lineRule="auto"/>
            </w:pPr>
            <w:r/>
            <w:r>
              <w:rPr>
                <w:rFonts w:ascii="Calibri" w:hAnsi="Calibri"/>
                <w:b w:val="0"/>
                <w:sz w:val="16"/>
              </w:rPr>
              <w:t>Causes to test, in order</w:t>
            </w:r>
          </w:p>
        </w:tc>
        <w:tc>
          <w:tcPr>
            <w:tcW w:type="dxa" w:w="7370"/>
          </w:tcPr>
          <w:p>
            <w:pPr>
              <w:spacing w:after="20" w:before="20" w:line="240" w:lineRule="auto"/>
            </w:pPr>
            <w:r/>
            <w:r>
              <w:rPr>
                <w:rFonts w:ascii="Calibri" w:hAnsi="Calibri"/>
                <w:b w:val="0"/>
                <w:sz w:val="16"/>
              </w:rPr>
              <w:t>1. Supplier capacity or import delays</w:t>
              <w:br/>
              <w:t>2. Budget hold or approval delay</w:t>
              <w:br/>
              <w:t>3. Requirement changed after ordering</w:t>
              <w:br/>
              <w:t>4. Split ordering to bypass approval limits</w:t>
            </w:r>
          </w:p>
        </w:tc>
      </w:tr>
      <w:tr>
        <w:tc>
          <w:tcPr>
            <w:tcW w:type="dxa" w:w="2381"/>
            <w:shd w:val="clear" w:fill="F7F9FB"/>
          </w:tcPr>
          <w:p>
            <w:pPr>
              <w:spacing w:after="20" w:before="20" w:line="240" w:lineRule="auto"/>
            </w:pPr>
            <w:r/>
            <w:r>
              <w:rPr>
                <w:rFonts w:ascii="Calibri" w:hAnsi="Calibri"/>
                <w:b w:val="0"/>
                <w:sz w:val="16"/>
              </w:rPr>
              <w:t>Action options</w:t>
            </w:r>
          </w:p>
        </w:tc>
        <w:tc>
          <w:tcPr>
            <w:tcW w:type="dxa" w:w="7370"/>
            <w:shd w:val="clear" w:fill="F7F9FB"/>
          </w:tcPr>
          <w:p>
            <w:pPr>
              <w:spacing w:after="20" w:before="20" w:line="240" w:lineRule="auto"/>
            </w:pPr>
            <w:r/>
            <w:r>
              <w:rPr>
                <w:rFonts w:ascii="Calibri" w:hAnsi="Calibri"/>
                <w:b w:val="0"/>
                <w:sz w:val="16"/>
              </w:rPr>
              <w:t>1. Confirm delivery date with the supplier in writing</w:t>
              <w:br/>
              <w:t>2. Re-plan the requirement; cancel the unnecessary balance</w:t>
              <w:br/>
              <w:t>3. Escalate persistent supplier delay to alternative sourcing</w:t>
              <w:br/>
              <w:t>4. Review approval thresholds if split ordering is found</w:t>
            </w:r>
          </w:p>
        </w:tc>
      </w:tr>
      <w:tr>
        <w:tc>
          <w:tcPr>
            <w:tcW w:type="dxa" w:w="2381"/>
          </w:tcPr>
          <w:p>
            <w:pPr>
              <w:spacing w:after="20" w:before="20" w:line="240" w:lineRule="auto"/>
            </w:pPr>
            <w:r/>
            <w:r>
              <w:rPr>
                <w:rFonts w:ascii="Calibri" w:hAnsi="Calibri"/>
                <w:b w:val="0"/>
                <w:sz w:val="16"/>
              </w:rPr>
              <w:t>When to act</w:t>
            </w:r>
          </w:p>
        </w:tc>
        <w:tc>
          <w:tcPr>
            <w:tcW w:type="dxa" w:w="7370"/>
          </w:tcPr>
          <w:p>
            <w:pPr>
              <w:spacing w:after="20" w:before="20" w:line="240" w:lineRule="auto"/>
            </w:pPr>
            <w:r/>
            <w:r>
              <w:rPr>
                <w:rFonts w:ascii="Calibri" w:hAnsi="Calibri"/>
                <w:b w:val="0"/>
                <w:sz w:val="16"/>
              </w:rPr>
              <w:t>Weekly review; escalate at 30 days of ageing</w:t>
            </w:r>
          </w:p>
        </w:tc>
      </w:tr>
      <w:tr>
        <w:tc>
          <w:tcPr>
            <w:tcW w:type="dxa" w:w="2381"/>
            <w:shd w:val="clear" w:fill="F7F9FB"/>
          </w:tcPr>
          <w:p>
            <w:pPr>
              <w:spacing w:after="20" w:before="20" w:line="240" w:lineRule="auto"/>
            </w:pPr>
            <w:r/>
            <w:r>
              <w:rPr>
                <w:rFonts w:ascii="Calibri" w:hAnsi="Calibri"/>
                <w:b w:val="0"/>
                <w:sz w:val="16"/>
              </w:rPr>
              <w:t>Owner</w:t>
            </w:r>
          </w:p>
        </w:tc>
        <w:tc>
          <w:tcPr>
            <w:tcW w:type="dxa" w:w="7370"/>
            <w:shd w:val="clear" w:fill="F7F9FB"/>
          </w:tcPr>
          <w:p>
            <w:pPr>
              <w:spacing w:after="20" w:before="20" w:line="240" w:lineRule="auto"/>
            </w:pPr>
            <w:r/>
            <w:r>
              <w:rPr>
                <w:rFonts w:ascii="Calibri" w:hAnsi="Calibri"/>
                <w:b w:val="0"/>
                <w:sz w:val="16"/>
              </w:rPr>
              <w:t>Procurement</w:t>
            </w:r>
          </w:p>
        </w:tc>
      </w:tr>
    </w:tbl>
    <w:p>
      <w:pPr>
        <w:spacing w:after="20"/>
      </w:pPr>
    </w:p>
    <w:p>
      <w:pPr>
        <w:pStyle w:val="Heading2"/>
      </w:pPr>
      <w:r>
        <w:t>9.10 Data quality</w:t>
      </w:r>
    </w:p>
    <w:tbl>
      <w:tblPr>
        <w:tblStyle w:val="TableGrid"/>
        <w:tblW w:type="auto" w:w="0"/>
        <w:jc w:val="center"/>
        <w:tblLayout w:type="fixed"/>
        <w:tblLook w:firstColumn="1" w:firstRow="1" w:lastColumn="0" w:lastRow="0" w:noHBand="0" w:noVBand="1" w:val="04A0"/>
      </w:tblPr>
      <w:tblGrid>
        <w:gridCol w:w="5043"/>
        <w:gridCol w:w="5043"/>
      </w:tblGrid>
      <w:tr>
        <w:trPr>
          <w:tblHeader/>
        </w:trPr>
        <w:tc>
          <w:tcPr>
            <w:tcW w:type="dxa" w:w="2381"/>
            <w:shd w:val="clear" w:fill="1F3B57"/>
          </w:tcPr>
          <w:p>
            <w:pPr>
              <w:spacing w:after="20" w:before="20" w:line="240" w:lineRule="auto"/>
            </w:pPr>
            <w:r/>
            <w:r>
              <w:rPr>
                <w:rFonts w:ascii="Calibri" w:hAnsi="Calibri"/>
                <w:b/>
                <w:color w:val="FFFFFF"/>
                <w:sz w:val="16"/>
              </w:rPr>
              <w:t>Element</w:t>
            </w:r>
          </w:p>
        </w:tc>
        <w:tc>
          <w:tcPr>
            <w:tcW w:type="dxa" w:w="7370"/>
            <w:shd w:val="clear" w:fill="1F3B57"/>
          </w:tcPr>
          <w:p>
            <w:pPr>
              <w:spacing w:after="20" w:before="20" w:line="240" w:lineRule="auto"/>
            </w:pPr>
            <w:r/>
            <w:r>
              <w:rPr>
                <w:rFonts w:ascii="Calibri" w:hAnsi="Calibri"/>
                <w:b/>
                <w:color w:val="FFFFFF"/>
                <w:sz w:val="16"/>
              </w:rPr>
              <w:t>Content</w:t>
            </w:r>
          </w:p>
        </w:tc>
      </w:tr>
      <w:tr>
        <w:tc>
          <w:tcPr>
            <w:tcW w:type="dxa" w:w="2381"/>
          </w:tcPr>
          <w:p>
            <w:pPr>
              <w:spacing w:after="20" w:before="20" w:line="240" w:lineRule="auto"/>
            </w:pPr>
            <w:r/>
            <w:r>
              <w:rPr>
                <w:rFonts w:ascii="Calibri" w:hAnsi="Calibri"/>
                <w:b w:val="0"/>
                <w:sz w:val="16"/>
              </w:rPr>
              <w:t>Causes to test, in order</w:t>
            </w:r>
          </w:p>
        </w:tc>
        <w:tc>
          <w:tcPr>
            <w:tcW w:type="dxa" w:w="7370"/>
          </w:tcPr>
          <w:p>
            <w:pPr>
              <w:spacing w:after="20" w:before="20" w:line="240" w:lineRule="auto"/>
            </w:pPr>
            <w:r/>
            <w:r>
              <w:rPr>
                <w:rFonts w:ascii="Calibri" w:hAnsi="Calibri"/>
                <w:b w:val="0"/>
                <w:sz w:val="16"/>
              </w:rPr>
              <w:t>1. Source extract incomplete or late</w:t>
              <w:br/>
              <w:t>2. Duplicate posting</w:t>
              <w:br/>
              <w:t>3. Master data missing or inactive</w:t>
              <w:br/>
              <w:t>4. Mapping or unit-of-measure error</w:t>
            </w:r>
          </w:p>
        </w:tc>
      </w:tr>
      <w:tr>
        <w:tc>
          <w:tcPr>
            <w:tcW w:type="dxa" w:w="2381"/>
            <w:shd w:val="clear" w:fill="F7F9FB"/>
          </w:tcPr>
          <w:p>
            <w:pPr>
              <w:spacing w:after="20" w:before="20" w:line="240" w:lineRule="auto"/>
            </w:pPr>
            <w:r/>
            <w:r>
              <w:rPr>
                <w:rFonts w:ascii="Calibri" w:hAnsi="Calibri"/>
                <w:b w:val="0"/>
                <w:sz w:val="16"/>
              </w:rPr>
              <w:t>Action options</w:t>
            </w:r>
          </w:p>
        </w:tc>
        <w:tc>
          <w:tcPr>
            <w:tcW w:type="dxa" w:w="7370"/>
            <w:shd w:val="clear" w:fill="F7F9FB"/>
          </w:tcPr>
          <w:p>
            <w:pPr>
              <w:spacing w:after="20" w:before="20" w:line="240" w:lineRule="auto"/>
            </w:pPr>
            <w:r/>
            <w:r>
              <w:rPr>
                <w:rFonts w:ascii="Calibri" w:hAnsi="Calibri"/>
                <w:b w:val="0"/>
                <w:sz w:val="16"/>
              </w:rPr>
              <w:t>1. Block publication and retain the previous snapshot</w:t>
              <w:br/>
              <w:t>2. Correct at source, then reload</w:t>
              <w:br/>
              <w:t>3. Log the defect with an owner and due date</w:t>
              <w:br/>
              <w:t>4. Reconcile control totals before the next release</w:t>
            </w:r>
          </w:p>
        </w:tc>
      </w:tr>
      <w:tr>
        <w:tc>
          <w:tcPr>
            <w:tcW w:type="dxa" w:w="2381"/>
          </w:tcPr>
          <w:p>
            <w:pPr>
              <w:spacing w:after="20" w:before="20" w:line="240" w:lineRule="auto"/>
            </w:pPr>
            <w:r/>
            <w:r>
              <w:rPr>
                <w:rFonts w:ascii="Calibri" w:hAnsi="Calibri"/>
                <w:b w:val="0"/>
                <w:sz w:val="16"/>
              </w:rPr>
              <w:t>When to act</w:t>
            </w:r>
          </w:p>
        </w:tc>
        <w:tc>
          <w:tcPr>
            <w:tcW w:type="dxa" w:w="7370"/>
          </w:tcPr>
          <w:p>
            <w:pPr>
              <w:spacing w:after="20" w:before="20" w:line="240" w:lineRule="auto"/>
            </w:pPr>
            <w:r/>
            <w:r>
              <w:rPr>
                <w:rFonts w:ascii="Calibri" w:hAnsi="Calibri"/>
                <w:b w:val="0"/>
                <w:sz w:val="16"/>
              </w:rPr>
              <w:t>Same day; before the dashboard is refreshed</w:t>
            </w:r>
          </w:p>
        </w:tc>
      </w:tr>
      <w:tr>
        <w:tc>
          <w:tcPr>
            <w:tcW w:type="dxa" w:w="2381"/>
            <w:shd w:val="clear" w:fill="F7F9FB"/>
          </w:tcPr>
          <w:p>
            <w:pPr>
              <w:spacing w:after="20" w:before="20" w:line="240" w:lineRule="auto"/>
            </w:pPr>
            <w:r/>
            <w:r>
              <w:rPr>
                <w:rFonts w:ascii="Calibri" w:hAnsi="Calibri"/>
                <w:b w:val="0"/>
                <w:sz w:val="16"/>
              </w:rPr>
              <w:t>Owner</w:t>
            </w:r>
          </w:p>
        </w:tc>
        <w:tc>
          <w:tcPr>
            <w:tcW w:type="dxa" w:w="7370"/>
            <w:shd w:val="clear" w:fill="F7F9FB"/>
          </w:tcPr>
          <w:p>
            <w:pPr>
              <w:spacing w:after="20" w:before="20" w:line="240" w:lineRule="auto"/>
            </w:pPr>
            <w:r/>
            <w:r>
              <w:rPr>
                <w:rFonts w:ascii="Calibri" w:hAnsi="Calibri"/>
                <w:b w:val="0"/>
                <w:sz w:val="16"/>
              </w:rPr>
              <w:t>IT / BI</w:t>
            </w:r>
          </w:p>
        </w:tc>
      </w:tr>
    </w:tbl>
    <w:p>
      <w:pPr>
        <w:spacing w:after="20"/>
      </w:pPr>
    </w:p>
    <w:p>
      <w:r>
        <w:br w:type="page"/>
      </w:r>
    </w:p>
    <w:p>
      <w:pPr>
        <w:pStyle w:val="Heading1"/>
      </w:pPr>
      <w:r>
        <w:t>10. Worked commentary examples</w:t>
      </w:r>
    </w:p>
    <w:p>
      <w:pPr>
        <w:spacing w:after="100"/>
      </w:pPr>
      <w:r>
        <w:rPr>
          <w:b w:val="0"/>
          <w:i w:val="0"/>
        </w:rPr>
        <w:t>The four examples below are written from the current extract (2026-09-30) using the six-part structure. Numbers will change at the next refresh; the structure does not.</w:t>
      </w:r>
    </w:p>
    <w:p>
      <w:pPr>
        <w:pStyle w:val="Heading2"/>
      </w:pPr>
      <w:r>
        <w:t>10.1 Example 1 – a category budget over-utilisation</w:t>
      </w:r>
    </w:p>
    <w:tbl>
      <w:tblPr>
        <w:tblStyle w:val="TableGrid"/>
        <w:tblW w:type="auto" w:w="0"/>
        <w:jc w:val="center"/>
        <w:tblLayout w:type="fixed"/>
        <w:tblLook w:firstColumn="1" w:firstRow="1" w:lastColumn="0" w:lastRow="0" w:noHBand="0" w:noVBand="1" w:val="04A0"/>
      </w:tblPr>
      <w:tblGrid>
        <w:gridCol w:w="5043"/>
        <w:gridCol w:w="5043"/>
      </w:tblGrid>
      <w:tr>
        <w:trPr>
          <w:tblHeader/>
        </w:trPr>
        <w:tc>
          <w:tcPr>
            <w:tcW w:type="dxa" w:w="1587"/>
            <w:shd w:val="clear" w:fill="1F3B57"/>
          </w:tcPr>
          <w:p>
            <w:pPr>
              <w:spacing w:after="20" w:before="20" w:line="240" w:lineRule="auto"/>
            </w:pPr>
            <w:r/>
            <w:r>
              <w:rPr>
                <w:rFonts w:ascii="Calibri" w:hAnsi="Calibri"/>
                <w:b/>
                <w:color w:val="FFFFFF"/>
                <w:sz w:val="16"/>
              </w:rPr>
              <w:t>Part</w:t>
            </w:r>
          </w:p>
        </w:tc>
        <w:tc>
          <w:tcPr>
            <w:tcW w:type="dxa" w:w="8164"/>
            <w:shd w:val="clear" w:fill="1F3B57"/>
          </w:tcPr>
          <w:p>
            <w:pPr>
              <w:spacing w:after="20" w:before="20" w:line="240" w:lineRule="auto"/>
            </w:pPr>
            <w:r/>
            <w:r>
              <w:rPr>
                <w:rFonts w:ascii="Calibri" w:hAnsi="Calibri"/>
                <w:b/>
                <w:color w:val="FFFFFF"/>
                <w:sz w:val="16"/>
              </w:rPr>
              <w:t>Commentary</w:t>
            </w:r>
          </w:p>
        </w:tc>
      </w:tr>
      <w:tr>
        <w:tc>
          <w:tcPr>
            <w:tcW w:type="dxa" w:w="1587"/>
          </w:tcPr>
          <w:p>
            <w:pPr>
              <w:spacing w:after="20" w:before="20" w:line="240" w:lineRule="auto"/>
            </w:pPr>
            <w:r/>
            <w:r>
              <w:rPr>
                <w:rFonts w:ascii="Calibri" w:hAnsi="Calibri"/>
                <w:b w:val="0"/>
                <w:sz w:val="16"/>
              </w:rPr>
              <w:t>What happened</w:t>
            </w:r>
          </w:p>
        </w:tc>
        <w:tc>
          <w:tcPr>
            <w:tcW w:type="dxa" w:w="8164"/>
          </w:tcPr>
          <w:p>
            <w:pPr>
              <w:spacing w:after="20" w:before="20" w:line="240" w:lineRule="auto"/>
            </w:pPr>
            <w:r/>
            <w:r>
              <w:rPr>
                <w:rFonts w:ascii="Calibri" w:hAnsi="Calibri"/>
                <w:b w:val="0"/>
                <w:sz w:val="16"/>
              </w:rPr>
              <w:t>Medical Consumables consumption in FY2025-26 reached PKR 34,812,356 against an approved budget of PKR 22,997,000 — an overrun of PKR 11,815,356 (51.4%).</w:t>
            </w:r>
          </w:p>
        </w:tc>
      </w:tr>
      <w:tr>
        <w:tc>
          <w:tcPr>
            <w:tcW w:type="dxa" w:w="1587"/>
            <w:shd w:val="clear" w:fill="F7F9FB"/>
          </w:tcPr>
          <w:p>
            <w:pPr>
              <w:spacing w:after="20" w:before="20" w:line="240" w:lineRule="auto"/>
            </w:pPr>
            <w:r/>
            <w:r>
              <w:rPr>
                <w:rFonts w:ascii="Calibri" w:hAnsi="Calibri"/>
                <w:b w:val="0"/>
                <w:sz w:val="16"/>
              </w:rPr>
              <w:t>Why (tested)</w:t>
            </w:r>
          </w:p>
        </w:tc>
        <w:tc>
          <w:tcPr>
            <w:tcW w:type="dxa" w:w="8164"/>
            <w:shd w:val="clear" w:fill="F7F9FB"/>
          </w:tcPr>
          <w:p>
            <w:pPr>
              <w:spacing w:after="20" w:before="20" w:line="240" w:lineRule="auto"/>
            </w:pPr>
            <w:r/>
            <w:r>
              <w:rPr>
                <w:rFonts w:ascii="Calibri" w:hAnsi="Calibri"/>
                <w:b w:val="0"/>
                <w:sz w:val="16"/>
              </w:rPr>
              <w:t>Price effect was tested first using the per-item price trend: the weighted average unit price of the category's top items rose across the same period, and volume growth alone does not account for the gap. Mis-posting was eliminated by checking project-level postings against service volumes. Cause accepted: price movement on high-value items combined with service volume above the planning assumption.</w:t>
            </w:r>
          </w:p>
        </w:tc>
      </w:tr>
      <w:tr>
        <w:tc>
          <w:tcPr>
            <w:tcW w:type="dxa" w:w="1587"/>
          </w:tcPr>
          <w:p>
            <w:pPr>
              <w:spacing w:after="20" w:before="20" w:line="240" w:lineRule="auto"/>
            </w:pPr>
            <w:r/>
            <w:r>
              <w:rPr>
                <w:rFonts w:ascii="Calibri" w:hAnsi="Calibri"/>
                <w:b w:val="0"/>
                <w:sz w:val="16"/>
              </w:rPr>
              <w:t>So what</w:t>
            </w:r>
          </w:p>
        </w:tc>
        <w:tc>
          <w:tcPr>
            <w:tcW w:type="dxa" w:w="8164"/>
          </w:tcPr>
          <w:p>
            <w:pPr>
              <w:spacing w:after="20" w:before="20" w:line="240" w:lineRule="auto"/>
            </w:pPr>
            <w:r/>
            <w:r>
              <w:rPr>
                <w:rFonts w:ascii="Calibri" w:hAnsi="Calibri"/>
                <w:b w:val="0"/>
                <w:sz w:val="16"/>
              </w:rPr>
              <w:t>The overrun can only be funded from another category or from new money. Left unresolved it becomes a donor-reporting exception for the year and a reason for reduced activity in the final quarter.</w:t>
            </w:r>
          </w:p>
        </w:tc>
      </w:tr>
      <w:tr>
        <w:tc>
          <w:tcPr>
            <w:tcW w:type="dxa" w:w="1587"/>
            <w:shd w:val="clear" w:fill="F7F9FB"/>
          </w:tcPr>
          <w:p>
            <w:pPr>
              <w:spacing w:after="20" w:before="20" w:line="240" w:lineRule="auto"/>
            </w:pPr>
            <w:r/>
            <w:r>
              <w:rPr>
                <w:rFonts w:ascii="Calibri" w:hAnsi="Calibri"/>
                <w:b w:val="0"/>
                <w:sz w:val="16"/>
              </w:rPr>
              <w:t>What to do</w:t>
            </w:r>
          </w:p>
        </w:tc>
        <w:tc>
          <w:tcPr>
            <w:tcW w:type="dxa" w:w="8164"/>
            <w:shd w:val="clear" w:fill="F7F9FB"/>
          </w:tcPr>
          <w:p>
            <w:pPr>
              <w:spacing w:after="20" w:before="20" w:line="240" w:lineRule="auto"/>
            </w:pPr>
            <w:r/>
            <w:r>
              <w:rPr>
                <w:rFonts w:ascii="Calibri" w:hAnsi="Calibri"/>
                <w:b w:val="0"/>
                <w:sz w:val="16"/>
              </w:rPr>
              <w:t>Reallocate from the under-utilised capital line (see Example 3); renegotiate the two highest-value items before the next order; tighten issue authorisation for the category; record the price/volume split in the variance note.</w:t>
            </w:r>
          </w:p>
        </w:tc>
      </w:tr>
      <w:tr>
        <w:tc>
          <w:tcPr>
            <w:tcW w:type="dxa" w:w="1587"/>
          </w:tcPr>
          <w:p>
            <w:pPr>
              <w:spacing w:after="20" w:before="20" w:line="240" w:lineRule="auto"/>
            </w:pPr>
            <w:r/>
            <w:r>
              <w:rPr>
                <w:rFonts w:ascii="Calibri" w:hAnsi="Calibri"/>
                <w:b w:val="0"/>
                <w:sz w:val="16"/>
              </w:rPr>
              <w:t>When</w:t>
            </w:r>
          </w:p>
        </w:tc>
        <w:tc>
          <w:tcPr>
            <w:tcW w:type="dxa" w:w="8164"/>
          </w:tcPr>
          <w:p>
            <w:pPr>
              <w:spacing w:after="20" w:before="20" w:line="240" w:lineRule="auto"/>
            </w:pPr>
            <w:r/>
            <w:r>
              <w:rPr>
                <w:rFonts w:ascii="Calibri" w:hAnsi="Calibri"/>
                <w:b w:val="0"/>
                <w:sz w:val="16"/>
              </w:rPr>
              <w:t>Commentary within 3 working days of the close; reallocation before the fiscal year reaches 75% elapsed.</w:t>
            </w:r>
          </w:p>
        </w:tc>
      </w:tr>
      <w:tr>
        <w:tc>
          <w:tcPr>
            <w:tcW w:type="dxa" w:w="1587"/>
            <w:shd w:val="clear" w:fill="F7F9FB"/>
          </w:tcPr>
          <w:p>
            <w:pPr>
              <w:spacing w:after="20" w:before="20" w:line="240" w:lineRule="auto"/>
            </w:pPr>
            <w:r/>
            <w:r>
              <w:rPr>
                <w:rFonts w:ascii="Calibri" w:hAnsi="Calibri"/>
                <w:b w:val="0"/>
                <w:sz w:val="16"/>
              </w:rPr>
              <w:t>Who</w:t>
            </w:r>
          </w:p>
        </w:tc>
        <w:tc>
          <w:tcPr>
            <w:tcW w:type="dxa" w:w="8164"/>
            <w:shd w:val="clear" w:fill="F7F9FB"/>
          </w:tcPr>
          <w:p>
            <w:pPr>
              <w:spacing w:after="20" w:before="20" w:line="240" w:lineRule="auto"/>
            </w:pPr>
            <w:r/>
            <w:r>
              <w:rPr>
                <w:rFonts w:ascii="Calibri" w:hAnsi="Calibri"/>
                <w:b w:val="0"/>
                <w:sz w:val="16"/>
              </w:rPr>
              <w:t>Manager Finance &amp; Grants, escalating to Director Finance &amp; Operations.</w:t>
            </w:r>
          </w:p>
        </w:tc>
      </w:tr>
    </w:tbl>
    <w:p>
      <w:pPr>
        <w:spacing w:after="20"/>
      </w:pPr>
    </w:p>
    <w:p>
      <w:pPr>
        <w:pStyle w:val="Heading2"/>
      </w:pPr>
      <w:r>
        <w:t>10.2 Example 2 – unattributed consumption</w:t>
      </w:r>
    </w:p>
    <w:tbl>
      <w:tblPr>
        <w:tblStyle w:val="TableGrid"/>
        <w:tblW w:type="auto" w:w="0"/>
        <w:jc w:val="center"/>
        <w:tblLayout w:type="fixed"/>
        <w:tblLook w:firstColumn="1" w:firstRow="1" w:lastColumn="0" w:lastRow="0" w:noHBand="0" w:noVBand="1" w:val="04A0"/>
      </w:tblPr>
      <w:tblGrid>
        <w:gridCol w:w="5043"/>
        <w:gridCol w:w="5043"/>
      </w:tblGrid>
      <w:tr>
        <w:trPr>
          <w:tblHeader/>
        </w:trPr>
        <w:tc>
          <w:tcPr>
            <w:tcW w:type="dxa" w:w="1587"/>
            <w:shd w:val="clear" w:fill="1F3B57"/>
          </w:tcPr>
          <w:p>
            <w:pPr>
              <w:spacing w:after="20" w:before="20" w:line="240" w:lineRule="auto"/>
            </w:pPr>
            <w:r/>
            <w:r>
              <w:rPr>
                <w:rFonts w:ascii="Calibri" w:hAnsi="Calibri"/>
                <w:b/>
                <w:color w:val="FFFFFF"/>
                <w:sz w:val="16"/>
              </w:rPr>
              <w:t>Part</w:t>
            </w:r>
          </w:p>
        </w:tc>
        <w:tc>
          <w:tcPr>
            <w:tcW w:type="dxa" w:w="8164"/>
            <w:shd w:val="clear" w:fill="1F3B57"/>
          </w:tcPr>
          <w:p>
            <w:pPr>
              <w:spacing w:after="20" w:before="20" w:line="240" w:lineRule="auto"/>
            </w:pPr>
            <w:r/>
            <w:r>
              <w:rPr>
                <w:rFonts w:ascii="Calibri" w:hAnsi="Calibri"/>
                <w:b/>
                <w:color w:val="FFFFFF"/>
                <w:sz w:val="16"/>
              </w:rPr>
              <w:t>Commentary</w:t>
            </w:r>
          </w:p>
        </w:tc>
      </w:tr>
      <w:tr>
        <w:tc>
          <w:tcPr>
            <w:tcW w:type="dxa" w:w="1587"/>
          </w:tcPr>
          <w:p>
            <w:pPr>
              <w:spacing w:after="20" w:before="20" w:line="240" w:lineRule="auto"/>
            </w:pPr>
            <w:r/>
            <w:r>
              <w:rPr>
                <w:rFonts w:ascii="Calibri" w:hAnsi="Calibri"/>
                <w:b w:val="0"/>
                <w:sz w:val="16"/>
              </w:rPr>
              <w:t>What happened</w:t>
            </w:r>
          </w:p>
        </w:tc>
        <w:tc>
          <w:tcPr>
            <w:tcW w:type="dxa" w:w="8164"/>
          </w:tcPr>
          <w:p>
            <w:pPr>
              <w:spacing w:after="20" w:before="20" w:line="240" w:lineRule="auto"/>
            </w:pPr>
            <w:r/>
            <w:r>
              <w:rPr>
                <w:rFonts w:ascii="Calibri" w:hAnsi="Calibri"/>
                <w:b w:val="0"/>
                <w:sz w:val="16"/>
              </w:rPr>
              <w:t>PKR 6,271,241 of consumption (468 issue lines, 2.4% of value) is charged to a generic cost centre rather than to a project; the worst month was Jan-2025 at 4.8% of that month's value.</w:t>
            </w:r>
          </w:p>
        </w:tc>
      </w:tr>
      <w:tr>
        <w:tc>
          <w:tcPr>
            <w:tcW w:type="dxa" w:w="1587"/>
            <w:shd w:val="clear" w:fill="F7F9FB"/>
          </w:tcPr>
          <w:p>
            <w:pPr>
              <w:spacing w:after="20" w:before="20" w:line="240" w:lineRule="auto"/>
            </w:pPr>
            <w:r/>
            <w:r>
              <w:rPr>
                <w:rFonts w:ascii="Calibri" w:hAnsi="Calibri"/>
                <w:b w:val="0"/>
                <w:sz w:val="16"/>
              </w:rPr>
              <w:t>Why (tested)</w:t>
            </w:r>
          </w:p>
        </w:tc>
        <w:tc>
          <w:tcPr>
            <w:tcW w:type="dxa" w:w="8164"/>
            <w:shd w:val="clear" w:fill="F7F9FB"/>
          </w:tcPr>
          <w:p>
            <w:pPr>
              <w:spacing w:after="20" w:before="20" w:line="240" w:lineRule="auto"/>
            </w:pPr>
            <w:r/>
            <w:r>
              <w:rPr>
                <w:rFonts w:ascii="Calibri" w:hAnsi="Calibri"/>
                <w:b w:val="0"/>
                <w:sz w:val="16"/>
              </w:rPr>
              <w:t>The exception was cross-tabulated by user, warehouse, service point and month. Concentration in particular warehouses and months rather than across all users eliminated a system-wide defect and pointed to a local working practice: a default code used when the project is not immediately known at the point of issue.</w:t>
            </w:r>
          </w:p>
        </w:tc>
      </w:tr>
      <w:tr>
        <w:tc>
          <w:tcPr>
            <w:tcW w:type="dxa" w:w="1587"/>
          </w:tcPr>
          <w:p>
            <w:pPr>
              <w:spacing w:after="20" w:before="20" w:line="240" w:lineRule="auto"/>
            </w:pPr>
            <w:r/>
            <w:r>
              <w:rPr>
                <w:rFonts w:ascii="Calibri" w:hAnsi="Calibri"/>
                <w:b w:val="0"/>
                <w:sz w:val="16"/>
              </w:rPr>
              <w:t>So what</w:t>
            </w:r>
          </w:p>
        </w:tc>
        <w:tc>
          <w:tcPr>
            <w:tcW w:type="dxa" w:w="8164"/>
          </w:tcPr>
          <w:p>
            <w:pPr>
              <w:spacing w:after="20" w:before="20" w:line="240" w:lineRule="auto"/>
            </w:pPr>
            <w:r/>
            <w:r>
              <w:rPr>
                <w:rFonts w:ascii="Calibri" w:hAnsi="Calibri"/>
                <w:b w:val="0"/>
                <w:sz w:val="16"/>
              </w:rPr>
              <w:t>Project-level consumption, budget utilisation and cost per beneficiary are all understated for the projects that actually consumed the stock. One donor's commodities appear unaccounted for in the project record.</w:t>
            </w:r>
          </w:p>
        </w:tc>
      </w:tr>
      <w:tr>
        <w:tc>
          <w:tcPr>
            <w:tcW w:type="dxa" w:w="1587"/>
            <w:shd w:val="clear" w:fill="F7F9FB"/>
          </w:tcPr>
          <w:p>
            <w:pPr>
              <w:spacing w:after="20" w:before="20" w:line="240" w:lineRule="auto"/>
            </w:pPr>
            <w:r/>
            <w:r>
              <w:rPr>
                <w:rFonts w:ascii="Calibri" w:hAnsi="Calibri"/>
                <w:b w:val="0"/>
                <w:sz w:val="16"/>
              </w:rPr>
              <w:t>What to do</w:t>
            </w:r>
          </w:p>
        </w:tc>
        <w:tc>
          <w:tcPr>
            <w:tcW w:type="dxa" w:w="8164"/>
            <w:shd w:val="clear" w:fill="F7F9FB"/>
          </w:tcPr>
          <w:p>
            <w:pPr>
              <w:spacing w:after="20" w:before="20" w:line="240" w:lineRule="auto"/>
            </w:pPr>
            <w:r/>
            <w:r>
              <w:rPr>
                <w:rFonts w:ascii="Calibri" w:hAnsi="Calibri"/>
                <w:b w:val="0"/>
                <w:sz w:val="16"/>
              </w:rPr>
              <w:t>Correct retroactively where the consuming project is evidenced; make the project field mandatory and validated at issue; retrain the users identified; add this exception to the monthly review agenda until it stays below 1% for three consecutive months.</w:t>
            </w:r>
          </w:p>
        </w:tc>
      </w:tr>
      <w:tr>
        <w:tc>
          <w:tcPr>
            <w:tcW w:type="dxa" w:w="1587"/>
          </w:tcPr>
          <w:p>
            <w:pPr>
              <w:spacing w:after="20" w:before="20" w:line="240" w:lineRule="auto"/>
            </w:pPr>
            <w:r/>
            <w:r>
              <w:rPr>
                <w:rFonts w:ascii="Calibri" w:hAnsi="Calibri"/>
                <w:b w:val="0"/>
                <w:sz w:val="16"/>
              </w:rPr>
              <w:t>When</w:t>
            </w:r>
          </w:p>
        </w:tc>
        <w:tc>
          <w:tcPr>
            <w:tcW w:type="dxa" w:w="8164"/>
          </w:tcPr>
          <w:p>
            <w:pPr>
              <w:spacing w:after="20" w:before="20" w:line="240" w:lineRule="auto"/>
            </w:pPr>
            <w:r/>
            <w:r>
              <w:rPr>
                <w:rFonts w:ascii="Calibri" w:hAnsi="Calibri"/>
                <w:b w:val="0"/>
                <w:sz w:val="16"/>
              </w:rPr>
              <w:t>Correction within the current month; the system control change within the quarter.</w:t>
            </w:r>
          </w:p>
        </w:tc>
      </w:tr>
      <w:tr>
        <w:tc>
          <w:tcPr>
            <w:tcW w:type="dxa" w:w="1587"/>
            <w:shd w:val="clear" w:fill="F7F9FB"/>
          </w:tcPr>
          <w:p>
            <w:pPr>
              <w:spacing w:after="20" w:before="20" w:line="240" w:lineRule="auto"/>
            </w:pPr>
            <w:r/>
            <w:r>
              <w:rPr>
                <w:rFonts w:ascii="Calibri" w:hAnsi="Calibri"/>
                <w:b w:val="0"/>
                <w:sz w:val="16"/>
              </w:rPr>
              <w:t>Who</w:t>
            </w:r>
          </w:p>
        </w:tc>
        <w:tc>
          <w:tcPr>
            <w:tcW w:type="dxa" w:w="8164"/>
            <w:shd w:val="clear" w:fill="F7F9FB"/>
          </w:tcPr>
          <w:p>
            <w:pPr>
              <w:spacing w:after="20" w:before="20" w:line="240" w:lineRule="auto"/>
            </w:pPr>
            <w:r/>
            <w:r>
              <w:rPr>
                <w:rFonts w:ascii="Calibri" w:hAnsi="Calibri"/>
                <w:b w:val="0"/>
                <w:sz w:val="16"/>
              </w:rPr>
              <w:t>Head of Procurement with IT; escalation to Director Finance &amp; Operations if the share remains above 1.5% for two periods.</w:t>
            </w:r>
          </w:p>
        </w:tc>
      </w:tr>
    </w:tbl>
    <w:p>
      <w:pPr>
        <w:spacing w:after="20"/>
      </w:pPr>
    </w:p>
    <w:p>
      <w:pPr>
        <w:pStyle w:val="Heading2"/>
      </w:pPr>
      <w:r>
        <w:t>10.3 Example 3 – expiry and unspent capital budget</w:t>
      </w:r>
    </w:p>
    <w:tbl>
      <w:tblPr>
        <w:tblStyle w:val="TableGrid"/>
        <w:tblW w:type="auto" w:w="0"/>
        <w:jc w:val="center"/>
        <w:tblLayout w:type="fixed"/>
        <w:tblLook w:firstColumn="1" w:firstRow="1" w:lastColumn="0" w:lastRow="0" w:noHBand="0" w:noVBand="1" w:val="04A0"/>
      </w:tblPr>
      <w:tblGrid>
        <w:gridCol w:w="5043"/>
        <w:gridCol w:w="5043"/>
      </w:tblGrid>
      <w:tr>
        <w:trPr>
          <w:tblHeader/>
        </w:trPr>
        <w:tc>
          <w:tcPr>
            <w:tcW w:type="dxa" w:w="1587"/>
            <w:shd w:val="clear" w:fill="1F3B57"/>
          </w:tcPr>
          <w:p>
            <w:pPr>
              <w:spacing w:after="20" w:before="20" w:line="240" w:lineRule="auto"/>
            </w:pPr>
            <w:r/>
            <w:r>
              <w:rPr>
                <w:rFonts w:ascii="Calibri" w:hAnsi="Calibri"/>
                <w:b/>
                <w:color w:val="FFFFFF"/>
                <w:sz w:val="16"/>
              </w:rPr>
              <w:t>Part</w:t>
            </w:r>
          </w:p>
        </w:tc>
        <w:tc>
          <w:tcPr>
            <w:tcW w:type="dxa" w:w="8164"/>
            <w:shd w:val="clear" w:fill="1F3B57"/>
          </w:tcPr>
          <w:p>
            <w:pPr>
              <w:spacing w:after="20" w:before="20" w:line="240" w:lineRule="auto"/>
            </w:pPr>
            <w:r/>
            <w:r>
              <w:rPr>
                <w:rFonts w:ascii="Calibri" w:hAnsi="Calibri"/>
                <w:b/>
                <w:color w:val="FFFFFF"/>
                <w:sz w:val="16"/>
              </w:rPr>
              <w:t>Commentary</w:t>
            </w:r>
          </w:p>
        </w:tc>
      </w:tr>
      <w:tr>
        <w:tc>
          <w:tcPr>
            <w:tcW w:type="dxa" w:w="1587"/>
          </w:tcPr>
          <w:p>
            <w:pPr>
              <w:spacing w:after="20" w:before="20" w:line="240" w:lineRule="auto"/>
            </w:pPr>
            <w:r/>
            <w:r>
              <w:rPr>
                <w:rFonts w:ascii="Calibri" w:hAnsi="Calibri"/>
                <w:b w:val="0"/>
                <w:sz w:val="16"/>
              </w:rPr>
              <w:t>What happened</w:t>
            </w:r>
          </w:p>
        </w:tc>
        <w:tc>
          <w:tcPr>
            <w:tcW w:type="dxa" w:w="8164"/>
          </w:tcPr>
          <w:p>
            <w:pPr>
              <w:spacing w:after="20" w:before="20" w:line="240" w:lineRule="auto"/>
            </w:pPr>
            <w:r/>
            <w:r>
              <w:rPr>
                <w:rFonts w:ascii="Calibri" w:hAnsi="Calibri"/>
                <w:b w:val="0"/>
                <w:sz w:val="16"/>
              </w:rPr>
              <w:t>PKR 783,764 of stock is past expiry and not yet written off (1.9% of stock value), and a further PKR 950,940 expires within 60 days. In the same period, the capital (equipment) budget used only 0.1% of its allocation.</w:t>
            </w:r>
          </w:p>
        </w:tc>
      </w:tr>
      <w:tr>
        <w:tc>
          <w:tcPr>
            <w:tcW w:type="dxa" w:w="1587"/>
            <w:shd w:val="clear" w:fill="F7F9FB"/>
          </w:tcPr>
          <w:p>
            <w:pPr>
              <w:spacing w:after="20" w:before="20" w:line="240" w:lineRule="auto"/>
            </w:pPr>
            <w:r/>
            <w:r>
              <w:rPr>
                <w:rFonts w:ascii="Calibri" w:hAnsi="Calibri"/>
                <w:b w:val="0"/>
                <w:sz w:val="16"/>
              </w:rPr>
              <w:t>Why (tested)</w:t>
            </w:r>
          </w:p>
        </w:tc>
        <w:tc>
          <w:tcPr>
            <w:tcW w:type="dxa" w:w="8164"/>
            <w:shd w:val="clear" w:fill="F7F9FB"/>
          </w:tcPr>
          <w:p>
            <w:pPr>
              <w:spacing w:after="20" w:before="20" w:line="240" w:lineRule="auto"/>
            </w:pPr>
            <w:r/>
            <w:r>
              <w:rPr>
                <w:rFonts w:ascii="Calibri" w:hAnsi="Calibri"/>
                <w:b w:val="0"/>
                <w:sz w:val="16"/>
              </w:rPr>
              <w:t>Batch tracing showed the expiry is concentrated in short-dated receipts and in items ordered above consumption. The capital line is unused because requests are stuck in approval and quotation and because the requirement was overstated at planning. The two are linked: budget sits unused in one line while the consumable line overruns.</w:t>
            </w:r>
          </w:p>
        </w:tc>
      </w:tr>
      <w:tr>
        <w:tc>
          <w:tcPr>
            <w:tcW w:type="dxa" w:w="1587"/>
          </w:tcPr>
          <w:p>
            <w:pPr>
              <w:spacing w:after="20" w:before="20" w:line="240" w:lineRule="auto"/>
            </w:pPr>
            <w:r/>
            <w:r>
              <w:rPr>
                <w:rFonts w:ascii="Calibri" w:hAnsi="Calibri"/>
                <w:b w:val="0"/>
                <w:sz w:val="16"/>
              </w:rPr>
              <w:t>So what</w:t>
            </w:r>
          </w:p>
        </w:tc>
        <w:tc>
          <w:tcPr>
            <w:tcW w:type="dxa" w:w="8164"/>
          </w:tcPr>
          <w:p>
            <w:pPr>
              <w:spacing w:after="20" w:before="20" w:line="240" w:lineRule="auto"/>
            </w:pPr>
            <w:r/>
            <w:r>
              <w:rPr>
                <w:rFonts w:ascii="Calibri" w:hAnsi="Calibri"/>
                <w:b w:val="0"/>
                <w:sz w:val="16"/>
              </w:rPr>
              <w:t>Avoidable loss of PKR 1,734,704 at risk, plus an audit observation on stock management, plus a service-capability gap where equipment was planned but not purchased.</w:t>
            </w:r>
          </w:p>
        </w:tc>
      </w:tr>
      <w:tr>
        <w:tc>
          <w:tcPr>
            <w:tcW w:type="dxa" w:w="1587"/>
            <w:shd w:val="clear" w:fill="F7F9FB"/>
          </w:tcPr>
          <w:p>
            <w:pPr>
              <w:spacing w:after="20" w:before="20" w:line="240" w:lineRule="auto"/>
            </w:pPr>
            <w:r/>
            <w:r>
              <w:rPr>
                <w:rFonts w:ascii="Calibri" w:hAnsi="Calibri"/>
                <w:b w:val="0"/>
                <w:sz w:val="16"/>
              </w:rPr>
              <w:t>What to do</w:t>
            </w:r>
          </w:p>
        </w:tc>
        <w:tc>
          <w:tcPr>
            <w:tcW w:type="dxa" w:w="8164"/>
            <w:shd w:val="clear" w:fill="F7F9FB"/>
          </w:tcPr>
          <w:p>
            <w:pPr>
              <w:spacing w:after="20" w:before="20" w:line="240" w:lineRule="auto"/>
            </w:pPr>
            <w:r/>
            <w:r>
              <w:rPr>
                <w:rFonts w:ascii="Calibri" w:hAnsi="Calibri"/>
                <w:b w:val="0"/>
                <w:sz w:val="16"/>
              </w:rPr>
              <w:t>Write off the expired stock with approval; redistribute the near-expiry balance to a project with demand; reject short-dated deliveries at receipt; review and either approve or cancel the capital pipeline and reallocate the released budget to the over-committed category.</w:t>
            </w:r>
          </w:p>
        </w:tc>
      </w:tr>
      <w:tr>
        <w:tc>
          <w:tcPr>
            <w:tcW w:type="dxa" w:w="1587"/>
          </w:tcPr>
          <w:p>
            <w:pPr>
              <w:spacing w:after="20" w:before="20" w:line="240" w:lineRule="auto"/>
            </w:pPr>
            <w:r/>
            <w:r>
              <w:rPr>
                <w:rFonts w:ascii="Calibri" w:hAnsi="Calibri"/>
                <w:b w:val="0"/>
                <w:sz w:val="16"/>
              </w:rPr>
              <w:t>When</w:t>
            </w:r>
          </w:p>
        </w:tc>
        <w:tc>
          <w:tcPr>
            <w:tcW w:type="dxa" w:w="8164"/>
          </w:tcPr>
          <w:p>
            <w:pPr>
              <w:spacing w:after="20" w:before="20" w:line="240" w:lineRule="auto"/>
            </w:pPr>
            <w:r/>
            <w:r>
              <w:rPr>
                <w:rFonts w:ascii="Calibri" w:hAnsi="Calibri"/>
                <w:b w:val="0"/>
                <w:sz w:val="16"/>
              </w:rPr>
              <w:t>Write-off and redistribution within 5 working days of the flag; capital decision this quarter, before the procurement window closes.</w:t>
            </w:r>
          </w:p>
        </w:tc>
      </w:tr>
      <w:tr>
        <w:tc>
          <w:tcPr>
            <w:tcW w:type="dxa" w:w="1587"/>
            <w:shd w:val="clear" w:fill="F7F9FB"/>
          </w:tcPr>
          <w:p>
            <w:pPr>
              <w:spacing w:after="20" w:before="20" w:line="240" w:lineRule="auto"/>
            </w:pPr>
            <w:r/>
            <w:r>
              <w:rPr>
                <w:rFonts w:ascii="Calibri" w:hAnsi="Calibri"/>
                <w:b w:val="0"/>
                <w:sz w:val="16"/>
              </w:rPr>
              <w:t>Who</w:t>
            </w:r>
          </w:p>
        </w:tc>
        <w:tc>
          <w:tcPr>
            <w:tcW w:type="dxa" w:w="8164"/>
            <w:shd w:val="clear" w:fill="F7F9FB"/>
          </w:tcPr>
          <w:p>
            <w:pPr>
              <w:spacing w:after="20" w:before="20" w:line="240" w:lineRule="auto"/>
            </w:pPr>
            <w:r/>
            <w:r>
              <w:rPr>
                <w:rFonts w:ascii="Calibri" w:hAnsi="Calibri"/>
                <w:b w:val="0"/>
                <w:sz w:val="16"/>
              </w:rPr>
              <w:t>Stores in-charge for the stock action; Head of Procurement for the capital decision; Finance for the write-off and reallocation.</w:t>
            </w:r>
          </w:p>
        </w:tc>
      </w:tr>
    </w:tbl>
    <w:p>
      <w:pPr>
        <w:spacing w:after="20"/>
      </w:pPr>
    </w:p>
    <w:p>
      <w:pPr>
        <w:pStyle w:val="Heading2"/>
      </w:pPr>
      <w:r>
        <w:t>10.4 Example 4 – a projection that requires a decision now</w:t>
      </w:r>
    </w:p>
    <w:tbl>
      <w:tblPr>
        <w:tblStyle w:val="TableGrid"/>
        <w:tblW w:type="auto" w:w="0"/>
        <w:jc w:val="center"/>
        <w:tblLayout w:type="fixed"/>
        <w:tblLook w:firstColumn="1" w:firstRow="1" w:lastColumn="0" w:lastRow="0" w:noHBand="0" w:noVBand="1" w:val="04A0"/>
      </w:tblPr>
      <w:tblGrid>
        <w:gridCol w:w="5043"/>
        <w:gridCol w:w="5043"/>
      </w:tblGrid>
      <w:tr>
        <w:trPr>
          <w:tblHeader/>
        </w:trPr>
        <w:tc>
          <w:tcPr>
            <w:tcW w:type="dxa" w:w="1587"/>
            <w:shd w:val="clear" w:fill="1F3B57"/>
          </w:tcPr>
          <w:p>
            <w:pPr>
              <w:spacing w:after="20" w:before="20" w:line="240" w:lineRule="auto"/>
            </w:pPr>
            <w:r/>
            <w:r>
              <w:rPr>
                <w:rFonts w:ascii="Calibri" w:hAnsi="Calibri"/>
                <w:b/>
                <w:color w:val="FFFFFF"/>
                <w:sz w:val="16"/>
              </w:rPr>
              <w:t>Part</w:t>
            </w:r>
          </w:p>
        </w:tc>
        <w:tc>
          <w:tcPr>
            <w:tcW w:type="dxa" w:w="8164"/>
            <w:shd w:val="clear" w:fill="1F3B57"/>
          </w:tcPr>
          <w:p>
            <w:pPr>
              <w:spacing w:after="20" w:before="20" w:line="240" w:lineRule="auto"/>
            </w:pPr>
            <w:r/>
            <w:r>
              <w:rPr>
                <w:rFonts w:ascii="Calibri" w:hAnsi="Calibri"/>
                <w:b/>
                <w:color w:val="FFFFFF"/>
                <w:sz w:val="16"/>
              </w:rPr>
              <w:t>Commentary</w:t>
            </w:r>
          </w:p>
        </w:tc>
      </w:tr>
      <w:tr>
        <w:tc>
          <w:tcPr>
            <w:tcW w:type="dxa" w:w="1587"/>
          </w:tcPr>
          <w:p>
            <w:pPr>
              <w:spacing w:after="20" w:before="20" w:line="240" w:lineRule="auto"/>
            </w:pPr>
            <w:r/>
            <w:r>
              <w:rPr>
                <w:rFonts w:ascii="Calibri" w:hAnsi="Calibri"/>
                <w:b w:val="0"/>
                <w:sz w:val="16"/>
              </w:rPr>
              <w:t>What happened</w:t>
            </w:r>
          </w:p>
        </w:tc>
        <w:tc>
          <w:tcPr>
            <w:tcW w:type="dxa" w:w="8164"/>
          </w:tcPr>
          <w:p>
            <w:pPr>
              <w:spacing w:after="20" w:before="20" w:line="240" w:lineRule="auto"/>
            </w:pPr>
            <w:r/>
            <w:r>
              <w:rPr>
                <w:rFonts w:ascii="Calibri" w:hAnsi="Calibri"/>
                <w:b w:val="0"/>
                <w:sz w:val="16"/>
              </w:rPr>
              <w:t>With 3 months of FY2026-27 elapsed and PKR 33,768,377 consumed, the burn rate of PKR 11,256,126 per month projects PKR 67,536,754 for the full year against a product budget of PKR 67,078,000.</w:t>
            </w:r>
          </w:p>
        </w:tc>
      </w:tr>
      <w:tr>
        <w:tc>
          <w:tcPr>
            <w:tcW w:type="dxa" w:w="1587"/>
            <w:shd w:val="clear" w:fill="F7F9FB"/>
          </w:tcPr>
          <w:p>
            <w:pPr>
              <w:spacing w:after="20" w:before="20" w:line="240" w:lineRule="auto"/>
            </w:pPr>
            <w:r/>
            <w:r>
              <w:rPr>
                <w:rFonts w:ascii="Calibri" w:hAnsi="Calibri"/>
                <w:b w:val="0"/>
                <w:sz w:val="16"/>
              </w:rPr>
              <w:t>Why (tested)</w:t>
            </w:r>
          </w:p>
        </w:tc>
        <w:tc>
          <w:tcPr>
            <w:tcW w:type="dxa" w:w="8164"/>
            <w:shd w:val="clear" w:fill="F7F9FB"/>
          </w:tcPr>
          <w:p>
            <w:pPr>
              <w:spacing w:after="20" w:before="20" w:line="240" w:lineRule="auto"/>
            </w:pPr>
            <w:r/>
            <w:r>
              <w:rPr>
                <w:rFonts w:ascii="Calibri" w:hAnsi="Calibri"/>
                <w:b w:val="0"/>
                <w:sz w:val="16"/>
              </w:rPr>
              <w:t>Budget phasing was checked first: the full-year budget may simply not yet be loaded. If it is loaded, the cause is either under-budgeting against price inflation or consumption above the planned service volume — tested by comparing unit price trend with service volume trend.</w:t>
            </w:r>
          </w:p>
        </w:tc>
      </w:tr>
      <w:tr>
        <w:tc>
          <w:tcPr>
            <w:tcW w:type="dxa" w:w="1587"/>
          </w:tcPr>
          <w:p>
            <w:pPr>
              <w:spacing w:after="20" w:before="20" w:line="240" w:lineRule="auto"/>
            </w:pPr>
            <w:r/>
            <w:r>
              <w:rPr>
                <w:rFonts w:ascii="Calibri" w:hAnsi="Calibri"/>
                <w:b w:val="0"/>
                <w:sz w:val="16"/>
              </w:rPr>
              <w:t>So what</w:t>
            </w:r>
          </w:p>
        </w:tc>
        <w:tc>
          <w:tcPr>
            <w:tcW w:type="dxa" w:w="8164"/>
          </w:tcPr>
          <w:p>
            <w:pPr>
              <w:spacing w:after="20" w:before="20" w:line="240" w:lineRule="auto"/>
            </w:pPr>
            <w:r/>
            <w:r>
              <w:rPr>
                <w:rFonts w:ascii="Calibri" w:hAnsi="Calibri"/>
                <w:b w:val="0"/>
                <w:sz w:val="16"/>
              </w:rPr>
              <w:t>If the gap is real, service levels cannot be maintained for the full year, and the shortfall will appear unannounced in the last quarter when there is no time to respond.</w:t>
            </w:r>
          </w:p>
        </w:tc>
      </w:tr>
      <w:tr>
        <w:tc>
          <w:tcPr>
            <w:tcW w:type="dxa" w:w="1587"/>
            <w:shd w:val="clear" w:fill="F7F9FB"/>
          </w:tcPr>
          <w:p>
            <w:pPr>
              <w:spacing w:after="20" w:before="20" w:line="240" w:lineRule="auto"/>
            </w:pPr>
            <w:r/>
            <w:r>
              <w:rPr>
                <w:rFonts w:ascii="Calibri" w:hAnsi="Calibri"/>
                <w:b w:val="0"/>
                <w:sz w:val="16"/>
              </w:rPr>
              <w:t>What to do</w:t>
            </w:r>
          </w:p>
        </w:tc>
        <w:tc>
          <w:tcPr>
            <w:tcW w:type="dxa" w:w="8164"/>
            <w:shd w:val="clear" w:fill="F7F9FB"/>
          </w:tcPr>
          <w:p>
            <w:pPr>
              <w:spacing w:after="20" w:before="20" w:line="240" w:lineRule="auto"/>
            </w:pPr>
            <w:r/>
            <w:r>
              <w:rPr>
                <w:rFonts w:ascii="Calibri" w:hAnsi="Calibri"/>
                <w:b w:val="0"/>
                <w:sz w:val="16"/>
              </w:rPr>
              <w:t>Confirm budget phasing with Finance this week. If the gap is real: quantify it by project and category, protect critical medicines first, and prepare a funding request or a documented reprioritisation for the donor.</w:t>
            </w:r>
          </w:p>
        </w:tc>
      </w:tr>
      <w:tr>
        <w:tc>
          <w:tcPr>
            <w:tcW w:type="dxa" w:w="1587"/>
          </w:tcPr>
          <w:p>
            <w:pPr>
              <w:spacing w:after="20" w:before="20" w:line="240" w:lineRule="auto"/>
            </w:pPr>
            <w:r/>
            <w:r>
              <w:rPr>
                <w:rFonts w:ascii="Calibri" w:hAnsi="Calibri"/>
                <w:b w:val="0"/>
                <w:sz w:val="16"/>
              </w:rPr>
              <w:t>When</w:t>
            </w:r>
          </w:p>
        </w:tc>
        <w:tc>
          <w:tcPr>
            <w:tcW w:type="dxa" w:w="8164"/>
          </w:tcPr>
          <w:p>
            <w:pPr>
              <w:spacing w:after="20" w:before="20" w:line="240" w:lineRule="auto"/>
            </w:pPr>
            <w:r/>
            <w:r>
              <w:rPr>
                <w:rFonts w:ascii="Calibri" w:hAnsi="Calibri"/>
                <w:b w:val="0"/>
                <w:sz w:val="16"/>
              </w:rPr>
              <w:t>Now — at the first quarter, not the ninth month.</w:t>
            </w:r>
          </w:p>
        </w:tc>
      </w:tr>
      <w:tr>
        <w:tc>
          <w:tcPr>
            <w:tcW w:type="dxa" w:w="1587"/>
            <w:shd w:val="clear" w:fill="F7F9FB"/>
          </w:tcPr>
          <w:p>
            <w:pPr>
              <w:spacing w:after="20" w:before="20" w:line="240" w:lineRule="auto"/>
            </w:pPr>
            <w:r/>
            <w:r>
              <w:rPr>
                <w:rFonts w:ascii="Calibri" w:hAnsi="Calibri"/>
                <w:b w:val="0"/>
                <w:sz w:val="16"/>
              </w:rPr>
              <w:t>Who</w:t>
            </w:r>
          </w:p>
        </w:tc>
        <w:tc>
          <w:tcPr>
            <w:tcW w:type="dxa" w:w="8164"/>
            <w:shd w:val="clear" w:fill="F7F9FB"/>
          </w:tcPr>
          <w:p>
            <w:pPr>
              <w:spacing w:after="20" w:before="20" w:line="240" w:lineRule="auto"/>
            </w:pPr>
            <w:r/>
            <w:r>
              <w:rPr>
                <w:rFonts w:ascii="Calibri" w:hAnsi="Calibri"/>
                <w:b w:val="0"/>
                <w:sz w:val="16"/>
              </w:rPr>
              <w:t>Manager Finance &amp; Grants, escalating to Director Finance &amp; Operations and the steering group.</w:t>
            </w:r>
          </w:p>
        </w:tc>
      </w:tr>
    </w:tbl>
    <w:p>
      <w:pPr>
        <w:spacing w:after="20"/>
      </w:pPr>
    </w:p>
    <w:p>
      <w:r>
        <w:br w:type="page"/>
      </w:r>
    </w:p>
    <w:p>
      <w:pPr>
        <w:pStyle w:val="Heading1"/>
      </w:pPr>
      <w:r>
        <w:t>11. Cadence, ownership and escalation</w:t>
      </w:r>
    </w:p>
    <w:p>
      <w:pPr>
        <w:pStyle w:val="Heading2"/>
      </w:pPr>
      <w:r>
        <w:t>11.1 Which questions are asked when</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trPr>
        <w:tc>
          <w:tcPr>
            <w:tcW w:type="dxa" w:w="1134"/>
            <w:shd w:val="clear" w:fill="1F3B57"/>
          </w:tcPr>
          <w:p>
            <w:pPr>
              <w:spacing w:after="20" w:before="20" w:line="240" w:lineRule="auto"/>
            </w:pPr>
            <w:r/>
            <w:r>
              <w:rPr>
                <w:rFonts w:ascii="Calibri" w:hAnsi="Calibri"/>
                <w:b/>
                <w:color w:val="FFFFFF"/>
                <w:sz w:val="16"/>
              </w:rPr>
              <w:t>Cadence</w:t>
            </w:r>
          </w:p>
        </w:tc>
        <w:tc>
          <w:tcPr>
            <w:tcW w:type="dxa" w:w="4309"/>
            <w:shd w:val="clear" w:fill="1F3B57"/>
          </w:tcPr>
          <w:p>
            <w:pPr>
              <w:spacing w:after="20" w:before="20" w:line="240" w:lineRule="auto"/>
            </w:pPr>
            <w:r/>
            <w:r>
              <w:rPr>
                <w:rFonts w:ascii="Calibri" w:hAnsi="Calibri"/>
                <w:b/>
                <w:color w:val="FFFFFF"/>
                <w:sz w:val="16"/>
              </w:rPr>
              <w:t>Questions</w:t>
            </w:r>
          </w:p>
        </w:tc>
        <w:tc>
          <w:tcPr>
            <w:tcW w:type="dxa" w:w="2381"/>
            <w:shd w:val="clear" w:fill="1F3B57"/>
          </w:tcPr>
          <w:p>
            <w:pPr>
              <w:spacing w:after="20" w:before="20" w:line="240" w:lineRule="auto"/>
            </w:pPr>
            <w:r/>
            <w:r>
              <w:rPr>
                <w:rFonts w:ascii="Calibri" w:hAnsi="Calibri"/>
                <w:b/>
                <w:color w:val="FFFFFF"/>
                <w:sz w:val="16"/>
              </w:rPr>
              <w:t>Output</w:t>
            </w:r>
          </w:p>
        </w:tc>
        <w:tc>
          <w:tcPr>
            <w:tcW w:type="dxa" w:w="1928"/>
            <w:shd w:val="clear" w:fill="1F3B57"/>
          </w:tcPr>
          <w:p>
            <w:pPr>
              <w:spacing w:after="20" w:before="20" w:line="240" w:lineRule="auto"/>
            </w:pPr>
            <w:r/>
            <w:r>
              <w:rPr>
                <w:rFonts w:ascii="Calibri" w:hAnsi="Calibri"/>
                <w:b/>
                <w:color w:val="FFFFFF"/>
                <w:sz w:val="16"/>
              </w:rPr>
              <w:t>Forum</w:t>
            </w:r>
          </w:p>
        </w:tc>
      </w:tr>
      <w:tr>
        <w:tc>
          <w:tcPr>
            <w:tcW w:type="dxa" w:w="1134"/>
          </w:tcPr>
          <w:p>
            <w:pPr>
              <w:spacing w:after="20" w:before="20" w:line="240" w:lineRule="auto"/>
            </w:pPr>
            <w:r/>
            <w:r>
              <w:rPr>
                <w:rFonts w:ascii="Calibri" w:hAnsi="Calibri"/>
                <w:b w:val="0"/>
                <w:sz w:val="16"/>
              </w:rPr>
              <w:t>Daily</w:t>
            </w:r>
          </w:p>
        </w:tc>
        <w:tc>
          <w:tcPr>
            <w:tcW w:type="dxa" w:w="4309"/>
          </w:tcPr>
          <w:p>
            <w:pPr>
              <w:spacing w:after="20" w:before="20" w:line="240" w:lineRule="auto"/>
            </w:pPr>
            <w:r/>
            <w:r>
              <w:rPr>
                <w:rFonts w:ascii="Calibri" w:hAnsi="Calibri"/>
                <w:b w:val="0"/>
                <w:sz w:val="16"/>
              </w:rPr>
              <w:t>D-22 (data freshness and completeness), G-18 (duplicate posting), R-12 (quality gates), R-05 (critical stock-out)</w:t>
            </w:r>
          </w:p>
        </w:tc>
        <w:tc>
          <w:tcPr>
            <w:tcW w:type="dxa" w:w="2381"/>
          </w:tcPr>
          <w:p>
            <w:pPr>
              <w:spacing w:after="20" w:before="20" w:line="240" w:lineRule="auto"/>
            </w:pPr>
            <w:r/>
            <w:r>
              <w:rPr>
                <w:rFonts w:ascii="Calibri" w:hAnsi="Calibri"/>
                <w:b w:val="0"/>
                <w:sz w:val="16"/>
              </w:rPr>
              <w:t>Load status and any blocking defect</w:t>
            </w:r>
          </w:p>
        </w:tc>
        <w:tc>
          <w:tcPr>
            <w:tcW w:type="dxa" w:w="1928"/>
          </w:tcPr>
          <w:p>
            <w:pPr>
              <w:spacing w:after="20" w:before="20" w:line="240" w:lineRule="auto"/>
            </w:pPr>
            <w:r/>
            <w:r>
              <w:rPr>
                <w:rFonts w:ascii="Calibri" w:hAnsi="Calibri"/>
                <w:b w:val="0"/>
                <w:sz w:val="16"/>
              </w:rPr>
              <w:t>IT / BI and stores in-charge</w:t>
            </w:r>
          </w:p>
        </w:tc>
      </w:tr>
      <w:tr>
        <w:tc>
          <w:tcPr>
            <w:tcW w:type="dxa" w:w="1134"/>
            <w:shd w:val="clear" w:fill="F7F9FB"/>
          </w:tcPr>
          <w:p>
            <w:pPr>
              <w:spacing w:after="20" w:before="20" w:line="240" w:lineRule="auto"/>
            </w:pPr>
            <w:r/>
            <w:r>
              <w:rPr>
                <w:rFonts w:ascii="Calibri" w:hAnsi="Calibri"/>
                <w:b w:val="0"/>
                <w:sz w:val="16"/>
              </w:rPr>
              <w:t>Weekly</w:t>
            </w:r>
          </w:p>
        </w:tc>
        <w:tc>
          <w:tcPr>
            <w:tcW w:type="dxa" w:w="4309"/>
            <w:shd w:val="clear" w:fill="F7F9FB"/>
          </w:tcPr>
          <w:p>
            <w:pPr>
              <w:spacing w:after="20" w:before="20" w:line="240" w:lineRule="auto"/>
            </w:pPr>
            <w:r/>
            <w:r>
              <w:rPr>
                <w:rFonts w:ascii="Calibri" w:hAnsi="Calibri"/>
                <w:b w:val="0"/>
                <w:sz w:val="16"/>
              </w:rPr>
              <w:t>D-11 to D-15 (stock, cover, expiry, slow-moving, commitments), X-02 (projected stock-out), R-01 to R-05 (actions)</w:t>
            </w:r>
          </w:p>
        </w:tc>
        <w:tc>
          <w:tcPr>
            <w:tcW w:type="dxa" w:w="2381"/>
            <w:shd w:val="clear" w:fill="F7F9FB"/>
          </w:tcPr>
          <w:p>
            <w:pPr>
              <w:spacing w:after="20" w:before="20" w:line="240" w:lineRule="auto"/>
            </w:pPr>
            <w:r/>
            <w:r>
              <w:rPr>
                <w:rFonts w:ascii="Calibri" w:hAnsi="Calibri"/>
                <w:b w:val="0"/>
                <w:sz w:val="16"/>
              </w:rPr>
              <w:t>Procurement action list with owners</w:t>
            </w:r>
          </w:p>
        </w:tc>
        <w:tc>
          <w:tcPr>
            <w:tcW w:type="dxa" w:w="1928"/>
            <w:shd w:val="clear" w:fill="F7F9FB"/>
          </w:tcPr>
          <w:p>
            <w:pPr>
              <w:spacing w:after="20" w:before="20" w:line="240" w:lineRule="auto"/>
            </w:pPr>
            <w:r/>
            <w:r>
              <w:rPr>
                <w:rFonts w:ascii="Calibri" w:hAnsi="Calibri"/>
                <w:b w:val="0"/>
                <w:sz w:val="16"/>
              </w:rPr>
              <w:t>Procurement and stores stand-up</w:t>
            </w:r>
          </w:p>
        </w:tc>
      </w:tr>
      <w:tr>
        <w:tc>
          <w:tcPr>
            <w:tcW w:type="dxa" w:w="1134"/>
          </w:tcPr>
          <w:p>
            <w:pPr>
              <w:spacing w:after="20" w:before="20" w:line="240" w:lineRule="auto"/>
            </w:pPr>
            <w:r/>
            <w:r>
              <w:rPr>
                <w:rFonts w:ascii="Calibri" w:hAnsi="Calibri"/>
                <w:b w:val="0"/>
                <w:sz w:val="16"/>
              </w:rPr>
              <w:t>Monthly</w:t>
            </w:r>
          </w:p>
        </w:tc>
        <w:tc>
          <w:tcPr>
            <w:tcW w:type="dxa" w:w="4309"/>
          </w:tcPr>
          <w:p>
            <w:pPr>
              <w:spacing w:after="20" w:before="20" w:line="240" w:lineRule="auto"/>
            </w:pPr>
            <w:r/>
            <w:r>
              <w:rPr>
                <w:rFonts w:ascii="Calibri" w:hAnsi="Calibri"/>
                <w:b w:val="0"/>
                <w:sz w:val="16"/>
              </w:rPr>
              <w:t>D-01 to D-10, D-19 to D-21, D-26 (consumption, ratio, trend, value for money, attribution), G-01 to G-09, G-14, X-01, X-05, X-06, R-06 to R-08, R-22</w:t>
            </w:r>
          </w:p>
        </w:tc>
        <w:tc>
          <w:tcPr>
            <w:tcW w:type="dxa" w:w="2381"/>
          </w:tcPr>
          <w:p>
            <w:pPr>
              <w:spacing w:after="20" w:before="20" w:line="240" w:lineRule="auto"/>
            </w:pPr>
            <w:r/>
            <w:r>
              <w:rPr>
                <w:rFonts w:ascii="Calibri" w:hAnsi="Calibri"/>
                <w:b w:val="0"/>
                <w:sz w:val="16"/>
              </w:rPr>
              <w:t>Monthly consumption commentary pack and action tracker</w:t>
            </w:r>
          </w:p>
        </w:tc>
        <w:tc>
          <w:tcPr>
            <w:tcW w:type="dxa" w:w="1928"/>
          </w:tcPr>
          <w:p>
            <w:pPr>
              <w:spacing w:after="20" w:before="20" w:line="240" w:lineRule="auto"/>
            </w:pPr>
            <w:r/>
            <w:r>
              <w:rPr>
                <w:rFonts w:ascii="Calibri" w:hAnsi="Calibri"/>
                <w:b w:val="0"/>
                <w:sz w:val="16"/>
              </w:rPr>
              <w:t>Consumption review meeting (working day 6)</w:t>
            </w:r>
          </w:p>
        </w:tc>
      </w:tr>
      <w:tr>
        <w:tc>
          <w:tcPr>
            <w:tcW w:type="dxa" w:w="1134"/>
            <w:shd w:val="clear" w:fill="F7F9FB"/>
          </w:tcPr>
          <w:p>
            <w:pPr>
              <w:spacing w:after="20" w:before="20" w:line="240" w:lineRule="auto"/>
            </w:pPr>
            <w:r/>
            <w:r>
              <w:rPr>
                <w:rFonts w:ascii="Calibri" w:hAnsi="Calibri"/>
                <w:b w:val="0"/>
                <w:sz w:val="16"/>
              </w:rPr>
              <w:t>Quarterly</w:t>
            </w:r>
          </w:p>
        </w:tc>
        <w:tc>
          <w:tcPr>
            <w:tcW w:type="dxa" w:w="4309"/>
            <w:shd w:val="clear" w:fill="F7F9FB"/>
          </w:tcPr>
          <w:p>
            <w:pPr>
              <w:spacing w:after="20" w:before="20" w:line="240" w:lineRule="auto"/>
            </w:pPr>
            <w:r/>
            <w:r>
              <w:rPr>
                <w:rFonts w:ascii="Calibri" w:hAnsi="Calibri"/>
                <w:b w:val="0"/>
                <w:sz w:val="16"/>
              </w:rPr>
              <w:t>D-09, D-18, D-27 (seasonality, suppliers, distribution), G-10, G-11, G-20, X-07, X-10, X-13, R-07, R-09, R-10, R-14, R-16, R-21</w:t>
            </w:r>
          </w:p>
        </w:tc>
        <w:tc>
          <w:tcPr>
            <w:tcW w:type="dxa" w:w="2381"/>
            <w:shd w:val="clear" w:fill="F7F9FB"/>
          </w:tcPr>
          <w:p>
            <w:pPr>
              <w:spacing w:after="20" w:before="20" w:line="240" w:lineRule="auto"/>
            </w:pPr>
            <w:r/>
            <w:r>
              <w:rPr>
                <w:rFonts w:ascii="Calibri" w:hAnsi="Calibri"/>
                <w:b w:val="0"/>
                <w:sz w:val="16"/>
              </w:rPr>
              <w:t>Supplier, price and efficiency review; seasonality preparedness</w:t>
            </w:r>
          </w:p>
        </w:tc>
        <w:tc>
          <w:tcPr>
            <w:tcW w:type="dxa" w:w="1928"/>
            <w:shd w:val="clear" w:fill="F7F9FB"/>
          </w:tcPr>
          <w:p>
            <w:pPr>
              <w:spacing w:after="20" w:before="20" w:line="240" w:lineRule="auto"/>
            </w:pPr>
            <w:r/>
            <w:r>
              <w:rPr>
                <w:rFonts w:ascii="Calibri" w:hAnsi="Calibri"/>
                <w:b w:val="0"/>
                <w:sz w:val="16"/>
              </w:rPr>
              <w:t>Steering group</w:t>
            </w:r>
          </w:p>
        </w:tc>
      </w:tr>
      <w:tr>
        <w:tc>
          <w:tcPr>
            <w:tcW w:type="dxa" w:w="1134"/>
          </w:tcPr>
          <w:p>
            <w:pPr>
              <w:spacing w:after="20" w:before="20" w:line="240" w:lineRule="auto"/>
            </w:pPr>
            <w:r/>
            <w:r>
              <w:rPr>
                <w:rFonts w:ascii="Calibri" w:hAnsi="Calibri"/>
                <w:b w:val="0"/>
                <w:sz w:val="16"/>
              </w:rPr>
              <w:t>Annually</w:t>
            </w:r>
          </w:p>
        </w:tc>
        <w:tc>
          <w:tcPr>
            <w:tcW w:type="dxa" w:w="4309"/>
          </w:tcPr>
          <w:p>
            <w:pPr>
              <w:spacing w:after="20" w:before="20" w:line="240" w:lineRule="auto"/>
            </w:pPr>
            <w:r/>
            <w:r>
              <w:rPr>
                <w:rFonts w:ascii="Calibri" w:hAnsi="Calibri"/>
                <w:b w:val="0"/>
                <w:sz w:val="16"/>
              </w:rPr>
              <w:t>R-13 (reorder policy), P-01 to P-15 (threshold review), threshold calibration</w:t>
            </w:r>
          </w:p>
        </w:tc>
        <w:tc>
          <w:tcPr>
            <w:tcW w:type="dxa" w:w="2381"/>
          </w:tcPr>
          <w:p>
            <w:pPr>
              <w:spacing w:after="20" w:before="20" w:line="240" w:lineRule="auto"/>
            </w:pPr>
            <w:r/>
            <w:r>
              <w:rPr>
                <w:rFonts w:ascii="Calibri" w:hAnsi="Calibri"/>
                <w:b w:val="0"/>
                <w:sz w:val="16"/>
              </w:rPr>
              <w:t>Revised parameters and policy</w:t>
            </w:r>
          </w:p>
        </w:tc>
        <w:tc>
          <w:tcPr>
            <w:tcW w:type="dxa" w:w="1928"/>
          </w:tcPr>
          <w:p>
            <w:pPr>
              <w:spacing w:after="20" w:before="20" w:line="240" w:lineRule="auto"/>
            </w:pPr>
            <w:r/>
            <w:r>
              <w:rPr>
                <w:rFonts w:ascii="Calibri" w:hAnsi="Calibri"/>
                <w:b w:val="0"/>
                <w:sz w:val="16"/>
              </w:rPr>
              <w:t>Steering group with Finance</w:t>
            </w:r>
          </w:p>
        </w:tc>
      </w:tr>
    </w:tbl>
    <w:p>
      <w:pPr>
        <w:spacing w:after="20"/>
      </w:pPr>
    </w:p>
    <w:p>
      <w:pPr>
        <w:pStyle w:val="Heading2"/>
      </w:pPr>
      <w:r>
        <w:t>11.2 Ownership and escalation</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trPr>
        <w:tc>
          <w:tcPr>
            <w:tcW w:type="dxa" w:w="2268"/>
            <w:shd w:val="clear" w:fill="1F3B57"/>
          </w:tcPr>
          <w:p>
            <w:pPr>
              <w:spacing w:after="20" w:before="20" w:line="240" w:lineRule="auto"/>
            </w:pPr>
            <w:r/>
            <w:r>
              <w:rPr>
                <w:rFonts w:ascii="Calibri" w:hAnsi="Calibri"/>
                <w:b/>
                <w:color w:val="FFFFFF"/>
                <w:sz w:val="16"/>
              </w:rPr>
              <w:t>Role</w:t>
            </w:r>
          </w:p>
        </w:tc>
        <w:tc>
          <w:tcPr>
            <w:tcW w:type="dxa" w:w="3288"/>
            <w:shd w:val="clear" w:fill="1F3B57"/>
          </w:tcPr>
          <w:p>
            <w:pPr>
              <w:spacing w:after="20" w:before="20" w:line="240" w:lineRule="auto"/>
            </w:pPr>
            <w:r/>
            <w:r>
              <w:rPr>
                <w:rFonts w:ascii="Calibri" w:hAnsi="Calibri"/>
                <w:b/>
                <w:color w:val="FFFFFF"/>
                <w:sz w:val="16"/>
              </w:rPr>
              <w:t>Owns</w:t>
            </w:r>
          </w:p>
        </w:tc>
        <w:tc>
          <w:tcPr>
            <w:tcW w:type="dxa" w:w="2268"/>
            <w:shd w:val="clear" w:fill="1F3B57"/>
          </w:tcPr>
          <w:p>
            <w:pPr>
              <w:spacing w:after="20" w:before="20" w:line="240" w:lineRule="auto"/>
            </w:pPr>
            <w:r/>
            <w:r>
              <w:rPr>
                <w:rFonts w:ascii="Calibri" w:hAnsi="Calibri"/>
                <w:b/>
                <w:color w:val="FFFFFF"/>
                <w:sz w:val="16"/>
              </w:rPr>
              <w:t>Escalates to</w:t>
            </w:r>
          </w:p>
        </w:tc>
        <w:tc>
          <w:tcPr>
            <w:tcW w:type="dxa" w:w="1928"/>
            <w:shd w:val="clear" w:fill="1F3B57"/>
          </w:tcPr>
          <w:p>
            <w:pPr>
              <w:spacing w:after="20" w:before="20" w:line="240" w:lineRule="auto"/>
            </w:pPr>
            <w:r/>
            <w:r>
              <w:rPr>
                <w:rFonts w:ascii="Calibri" w:hAnsi="Calibri"/>
                <w:b/>
                <w:color w:val="FFFFFF"/>
                <w:sz w:val="16"/>
              </w:rPr>
              <w:t>Escalation trigger</w:t>
            </w:r>
          </w:p>
        </w:tc>
      </w:tr>
      <w:tr>
        <w:tc>
          <w:tcPr>
            <w:tcW w:type="dxa" w:w="2268"/>
          </w:tcPr>
          <w:p>
            <w:pPr>
              <w:spacing w:after="20" w:before="20" w:line="240" w:lineRule="auto"/>
            </w:pPr>
            <w:r/>
            <w:r>
              <w:rPr>
                <w:rFonts w:ascii="Calibri" w:hAnsi="Calibri"/>
                <w:b w:val="0"/>
                <w:sz w:val="16"/>
              </w:rPr>
              <w:t>Stores in-charge</w:t>
            </w:r>
          </w:p>
        </w:tc>
        <w:tc>
          <w:tcPr>
            <w:tcW w:type="dxa" w:w="3288"/>
          </w:tcPr>
          <w:p>
            <w:pPr>
              <w:spacing w:after="20" w:before="20" w:line="240" w:lineRule="auto"/>
            </w:pPr>
            <w:r/>
            <w:r>
              <w:rPr>
                <w:rFonts w:ascii="Calibri" w:hAnsi="Calibri"/>
                <w:b w:val="0"/>
                <w:sz w:val="16"/>
              </w:rPr>
              <w:t>Stock accuracy, expiry, issue recording, physical counts</w:t>
            </w:r>
          </w:p>
        </w:tc>
        <w:tc>
          <w:tcPr>
            <w:tcW w:type="dxa" w:w="2268"/>
          </w:tcPr>
          <w:p>
            <w:pPr>
              <w:spacing w:after="20" w:before="20" w:line="240" w:lineRule="auto"/>
            </w:pPr>
            <w:r/>
            <w:r>
              <w:rPr>
                <w:rFonts w:ascii="Calibri" w:hAnsi="Calibri"/>
                <w:b w:val="0"/>
                <w:sz w:val="16"/>
              </w:rPr>
              <w:t>Head of Procurement</w:t>
            </w:r>
          </w:p>
        </w:tc>
        <w:tc>
          <w:tcPr>
            <w:tcW w:type="dxa" w:w="1928"/>
          </w:tcPr>
          <w:p>
            <w:pPr>
              <w:spacing w:after="20" w:before="20" w:line="240" w:lineRule="auto"/>
            </w:pPr>
            <w:r/>
            <w:r>
              <w:rPr>
                <w:rFonts w:ascii="Calibri" w:hAnsi="Calibri"/>
                <w:b w:val="0"/>
                <w:sz w:val="16"/>
              </w:rPr>
              <w:t>Any expired batch; cover below 30 days on a critical item</w:t>
            </w:r>
          </w:p>
        </w:tc>
      </w:tr>
      <w:tr>
        <w:tc>
          <w:tcPr>
            <w:tcW w:type="dxa" w:w="2268"/>
            <w:shd w:val="clear" w:fill="F7F9FB"/>
          </w:tcPr>
          <w:p>
            <w:pPr>
              <w:spacing w:after="20" w:before="20" w:line="240" w:lineRule="auto"/>
            </w:pPr>
            <w:r/>
            <w:r>
              <w:rPr>
                <w:rFonts w:ascii="Calibri" w:hAnsi="Calibri"/>
                <w:b w:val="0"/>
                <w:sz w:val="16"/>
              </w:rPr>
              <w:t>Procurement officer</w:t>
            </w:r>
          </w:p>
        </w:tc>
        <w:tc>
          <w:tcPr>
            <w:tcW w:type="dxa" w:w="3288"/>
            <w:shd w:val="clear" w:fill="F7F9FB"/>
          </w:tcPr>
          <w:p>
            <w:pPr>
              <w:spacing w:after="20" w:before="20" w:line="240" w:lineRule="auto"/>
            </w:pPr>
            <w:r/>
            <w:r>
              <w:rPr>
                <w:rFonts w:ascii="Calibri" w:hAnsi="Calibri"/>
                <w:b w:val="0"/>
                <w:sz w:val="16"/>
              </w:rPr>
              <w:t>Purchase plan, PO release, price negotiation, supplier follow-up</w:t>
            </w:r>
          </w:p>
        </w:tc>
        <w:tc>
          <w:tcPr>
            <w:tcW w:type="dxa" w:w="2268"/>
            <w:shd w:val="clear" w:fill="F7F9FB"/>
          </w:tcPr>
          <w:p>
            <w:pPr>
              <w:spacing w:after="20" w:before="20" w:line="240" w:lineRule="auto"/>
            </w:pPr>
            <w:r/>
            <w:r>
              <w:rPr>
                <w:rFonts w:ascii="Calibri" w:hAnsi="Calibri"/>
                <w:b w:val="0"/>
                <w:sz w:val="16"/>
              </w:rPr>
              <w:t>Head of Procurement</w:t>
            </w:r>
          </w:p>
        </w:tc>
        <w:tc>
          <w:tcPr>
            <w:tcW w:type="dxa" w:w="1928"/>
            <w:shd w:val="clear" w:fill="F7F9FB"/>
          </w:tcPr>
          <w:p>
            <w:pPr>
              <w:spacing w:after="20" w:before="20" w:line="240" w:lineRule="auto"/>
            </w:pPr>
            <w:r/>
            <w:r>
              <w:rPr>
                <w:rFonts w:ascii="Calibri" w:hAnsi="Calibri"/>
                <w:b w:val="0"/>
                <w:sz w:val="16"/>
              </w:rPr>
              <w:t>Lead-time breach beyond 20%; price rise above 10%</w:t>
            </w:r>
          </w:p>
        </w:tc>
      </w:tr>
      <w:tr>
        <w:tc>
          <w:tcPr>
            <w:tcW w:type="dxa" w:w="2268"/>
          </w:tcPr>
          <w:p>
            <w:pPr>
              <w:spacing w:after="20" w:before="20" w:line="240" w:lineRule="auto"/>
            </w:pPr>
            <w:r/>
            <w:r>
              <w:rPr>
                <w:rFonts w:ascii="Calibri" w:hAnsi="Calibri"/>
                <w:b w:val="0"/>
                <w:sz w:val="16"/>
              </w:rPr>
              <w:t>Supply chain officer</w:t>
            </w:r>
          </w:p>
        </w:tc>
        <w:tc>
          <w:tcPr>
            <w:tcW w:type="dxa" w:w="3288"/>
          </w:tcPr>
          <w:p>
            <w:pPr>
              <w:spacing w:after="20" w:before="20" w:line="240" w:lineRule="auto"/>
            </w:pPr>
            <w:r/>
            <w:r>
              <w:rPr>
                <w:rFonts w:ascii="Calibri" w:hAnsi="Calibri"/>
                <w:b w:val="0"/>
                <w:sz w:val="16"/>
              </w:rPr>
              <w:t>Transfers, redistribution, warehouse balance, order policy</w:t>
            </w:r>
          </w:p>
        </w:tc>
        <w:tc>
          <w:tcPr>
            <w:tcW w:type="dxa" w:w="2268"/>
          </w:tcPr>
          <w:p>
            <w:pPr>
              <w:spacing w:after="20" w:before="20" w:line="240" w:lineRule="auto"/>
            </w:pPr>
            <w:r/>
            <w:r>
              <w:rPr>
                <w:rFonts w:ascii="Calibri" w:hAnsi="Calibri"/>
                <w:b w:val="0"/>
                <w:sz w:val="16"/>
              </w:rPr>
              <w:t>Head of Procurement</w:t>
            </w:r>
          </w:p>
        </w:tc>
        <w:tc>
          <w:tcPr>
            <w:tcW w:type="dxa" w:w="1928"/>
          </w:tcPr>
          <w:p>
            <w:pPr>
              <w:spacing w:after="20" w:before="20" w:line="240" w:lineRule="auto"/>
            </w:pPr>
            <w:r/>
            <w:r>
              <w:rPr>
                <w:rFonts w:ascii="Calibri" w:hAnsi="Calibri"/>
                <w:b w:val="0"/>
                <w:sz w:val="16"/>
              </w:rPr>
              <w:t>Surplus and deficit coexisting for the same item</w:t>
            </w:r>
          </w:p>
        </w:tc>
      </w:tr>
      <w:tr>
        <w:tc>
          <w:tcPr>
            <w:tcW w:type="dxa" w:w="2268"/>
            <w:shd w:val="clear" w:fill="F7F9FB"/>
          </w:tcPr>
          <w:p>
            <w:pPr>
              <w:spacing w:after="20" w:before="20" w:line="240" w:lineRule="auto"/>
            </w:pPr>
            <w:r/>
            <w:r>
              <w:rPr>
                <w:rFonts w:ascii="Calibri" w:hAnsi="Calibri"/>
                <w:b w:val="0"/>
                <w:sz w:val="16"/>
              </w:rPr>
              <w:t>Project manager</w:t>
            </w:r>
          </w:p>
        </w:tc>
        <w:tc>
          <w:tcPr>
            <w:tcW w:type="dxa" w:w="3288"/>
            <w:shd w:val="clear" w:fill="F7F9FB"/>
          </w:tcPr>
          <w:p>
            <w:pPr>
              <w:spacing w:after="20" w:before="20" w:line="240" w:lineRule="auto"/>
            </w:pPr>
            <w:r/>
            <w:r>
              <w:rPr>
                <w:rFonts w:ascii="Calibri" w:hAnsi="Calibri"/>
                <w:b w:val="0"/>
                <w:sz w:val="16"/>
              </w:rPr>
              <w:t>Consumption within project, service-point issuing, coding accuracy</w:t>
            </w:r>
          </w:p>
        </w:tc>
        <w:tc>
          <w:tcPr>
            <w:tcW w:type="dxa" w:w="2268"/>
            <w:shd w:val="clear" w:fill="F7F9FB"/>
          </w:tcPr>
          <w:p>
            <w:pPr>
              <w:spacing w:after="20" w:before="20" w:line="240" w:lineRule="auto"/>
            </w:pPr>
            <w:r/>
            <w:r>
              <w:rPr>
                <w:rFonts w:ascii="Calibri" w:hAnsi="Calibri"/>
                <w:b w:val="0"/>
                <w:sz w:val="16"/>
              </w:rPr>
              <w:t>Programme Manager</w:t>
            </w:r>
          </w:p>
        </w:tc>
        <w:tc>
          <w:tcPr>
            <w:tcW w:type="dxa" w:w="1928"/>
            <w:shd w:val="clear" w:fill="F7F9FB"/>
          </w:tcPr>
          <w:p>
            <w:pPr>
              <w:spacing w:after="20" w:before="20" w:line="240" w:lineRule="auto"/>
            </w:pPr>
            <w:r/>
            <w:r>
              <w:rPr>
                <w:rFonts w:ascii="Calibri" w:hAnsi="Calibri"/>
                <w:b w:val="0"/>
                <w:sz w:val="16"/>
              </w:rPr>
              <w:t>Variance above threshold; consumption per visit off norm by 25%</w:t>
            </w:r>
          </w:p>
        </w:tc>
      </w:tr>
      <w:tr>
        <w:tc>
          <w:tcPr>
            <w:tcW w:type="dxa" w:w="2268"/>
          </w:tcPr>
          <w:p>
            <w:pPr>
              <w:spacing w:after="20" w:before="20" w:line="240" w:lineRule="auto"/>
            </w:pPr>
            <w:r/>
            <w:r>
              <w:rPr>
                <w:rFonts w:ascii="Calibri" w:hAnsi="Calibri"/>
                <w:b w:val="0"/>
                <w:sz w:val="16"/>
              </w:rPr>
              <w:t>Finance &amp; Grants</w:t>
            </w:r>
          </w:p>
        </w:tc>
        <w:tc>
          <w:tcPr>
            <w:tcW w:type="dxa" w:w="3288"/>
          </w:tcPr>
          <w:p>
            <w:pPr>
              <w:spacing w:after="20" w:before="20" w:line="240" w:lineRule="auto"/>
            </w:pPr>
            <w:r/>
            <w:r>
              <w:rPr>
                <w:rFonts w:ascii="Calibri" w:hAnsi="Calibri"/>
                <w:b w:val="0"/>
                <w:sz w:val="16"/>
              </w:rPr>
              <w:t>Budget versus consumption, reallocation, donor reporting, write-off</w:t>
            </w:r>
          </w:p>
        </w:tc>
        <w:tc>
          <w:tcPr>
            <w:tcW w:type="dxa" w:w="2268"/>
          </w:tcPr>
          <w:p>
            <w:pPr>
              <w:spacing w:after="20" w:before="20" w:line="240" w:lineRule="auto"/>
            </w:pPr>
            <w:r/>
            <w:r>
              <w:rPr>
                <w:rFonts w:ascii="Calibri" w:hAnsi="Calibri"/>
                <w:b w:val="0"/>
                <w:sz w:val="16"/>
              </w:rPr>
              <w:t>Director Finance &amp; Operations</w:t>
            </w:r>
          </w:p>
        </w:tc>
        <w:tc>
          <w:tcPr>
            <w:tcW w:type="dxa" w:w="1928"/>
          </w:tcPr>
          <w:p>
            <w:pPr>
              <w:spacing w:after="20" w:before="20" w:line="240" w:lineRule="auto"/>
            </w:pPr>
            <w:r/>
            <w:r>
              <w:rPr>
                <w:rFonts w:ascii="Calibri" w:hAnsi="Calibri"/>
                <w:b w:val="0"/>
                <w:sz w:val="16"/>
              </w:rPr>
              <w:t>Category over-utilisation; projected funding gap</w:t>
            </w:r>
          </w:p>
        </w:tc>
      </w:tr>
      <w:tr>
        <w:tc>
          <w:tcPr>
            <w:tcW w:type="dxa" w:w="2268"/>
            <w:shd w:val="clear" w:fill="F7F9FB"/>
          </w:tcPr>
          <w:p>
            <w:pPr>
              <w:spacing w:after="20" w:before="20" w:line="240" w:lineRule="auto"/>
            </w:pPr>
            <w:r/>
            <w:r>
              <w:rPr>
                <w:rFonts w:ascii="Calibri" w:hAnsi="Calibri"/>
                <w:b w:val="0"/>
                <w:sz w:val="16"/>
              </w:rPr>
              <w:t>IT / BI</w:t>
            </w:r>
          </w:p>
        </w:tc>
        <w:tc>
          <w:tcPr>
            <w:tcW w:type="dxa" w:w="3288"/>
            <w:shd w:val="clear" w:fill="F7F9FB"/>
          </w:tcPr>
          <w:p>
            <w:pPr>
              <w:spacing w:after="20" w:before="20" w:line="240" w:lineRule="auto"/>
            </w:pPr>
            <w:r/>
            <w:r>
              <w:rPr>
                <w:rFonts w:ascii="Calibri" w:hAnsi="Calibri"/>
                <w:b w:val="0"/>
                <w:sz w:val="16"/>
              </w:rPr>
              <w:t>Extract, load, data quality gates, security, refresh status</w:t>
            </w:r>
          </w:p>
        </w:tc>
        <w:tc>
          <w:tcPr>
            <w:tcW w:type="dxa" w:w="2268"/>
            <w:shd w:val="clear" w:fill="F7F9FB"/>
          </w:tcPr>
          <w:p>
            <w:pPr>
              <w:spacing w:after="20" w:before="20" w:line="240" w:lineRule="auto"/>
            </w:pPr>
            <w:r/>
            <w:r>
              <w:rPr>
                <w:rFonts w:ascii="Calibri" w:hAnsi="Calibri"/>
                <w:b w:val="0"/>
                <w:sz w:val="16"/>
              </w:rPr>
              <w:t>Head of Procurement (business impact)</w:t>
            </w:r>
          </w:p>
        </w:tc>
        <w:tc>
          <w:tcPr>
            <w:tcW w:type="dxa" w:w="1928"/>
            <w:shd w:val="clear" w:fill="F7F9FB"/>
          </w:tcPr>
          <w:p>
            <w:pPr>
              <w:spacing w:after="20" w:before="20" w:line="240" w:lineRule="auto"/>
            </w:pPr>
            <w:r/>
            <w:r>
              <w:rPr>
                <w:rFonts w:ascii="Calibri" w:hAnsi="Calibri"/>
                <w:b w:val="0"/>
                <w:sz w:val="16"/>
              </w:rPr>
              <w:t>Failed gate; duplicate posting; master-data gap</w:t>
            </w:r>
          </w:p>
        </w:tc>
      </w:tr>
      <w:tr>
        <w:tc>
          <w:tcPr>
            <w:tcW w:type="dxa" w:w="2268"/>
          </w:tcPr>
          <w:p>
            <w:pPr>
              <w:spacing w:after="20" w:before="20" w:line="240" w:lineRule="auto"/>
            </w:pPr>
            <w:r/>
            <w:r>
              <w:rPr>
                <w:rFonts w:ascii="Calibri" w:hAnsi="Calibri"/>
                <w:b w:val="0"/>
                <w:sz w:val="16"/>
              </w:rPr>
              <w:t>Business owner (Head of Procurement)</w:t>
            </w:r>
          </w:p>
        </w:tc>
        <w:tc>
          <w:tcPr>
            <w:tcW w:type="dxa" w:w="3288"/>
          </w:tcPr>
          <w:p>
            <w:pPr>
              <w:spacing w:after="20" w:before="20" w:line="240" w:lineRule="auto"/>
            </w:pPr>
            <w:r/>
            <w:r>
              <w:rPr>
                <w:rFonts w:ascii="Calibri" w:hAnsi="Calibri"/>
                <w:b w:val="0"/>
                <w:sz w:val="16"/>
              </w:rPr>
              <w:t>Overall interpretation, action assignment, adoption</w:t>
            </w:r>
          </w:p>
        </w:tc>
        <w:tc>
          <w:tcPr>
            <w:tcW w:type="dxa" w:w="2268"/>
          </w:tcPr>
          <w:p>
            <w:pPr>
              <w:spacing w:after="20" w:before="20" w:line="240" w:lineRule="auto"/>
            </w:pPr>
            <w:r/>
            <w:r>
              <w:rPr>
                <w:rFonts w:ascii="Calibri" w:hAnsi="Calibri"/>
                <w:b w:val="0"/>
                <w:sz w:val="16"/>
              </w:rPr>
              <w:t>Steering group</w:t>
            </w:r>
          </w:p>
        </w:tc>
        <w:tc>
          <w:tcPr>
            <w:tcW w:type="dxa" w:w="1928"/>
          </w:tcPr>
          <w:p>
            <w:pPr>
              <w:spacing w:after="20" w:before="20" w:line="240" w:lineRule="auto"/>
            </w:pPr>
            <w:r/>
            <w:r>
              <w:rPr>
                <w:rFonts w:ascii="Calibri" w:hAnsi="Calibri"/>
                <w:b w:val="0"/>
                <w:sz w:val="16"/>
              </w:rPr>
              <w:t>Any Red item unresolved beyond 30 days</w:t>
            </w:r>
          </w:p>
        </w:tc>
      </w:tr>
    </w:tbl>
    <w:p>
      <w:pPr>
        <w:spacing w:after="20"/>
      </w:pPr>
    </w:p>
    <w:p>
      <w:pPr>
        <w:pStyle w:val="Heading2"/>
      </w:pPr>
      <w:r>
        <w:t>11.3 Action tracking discipline</w:t>
      </w:r>
    </w:p>
    <w:p>
      <w:pPr>
        <w:pStyle w:val="ListBullet"/>
        <w:spacing w:after="50"/>
        <w:ind w:left="340"/>
      </w:pPr>
      <w:r>
        <w:t>Every Red commentary line creates an action with an owner, a due date and a value at stake.</w:t>
      </w:r>
    </w:p>
    <w:p>
      <w:pPr>
        <w:pStyle w:val="ListBullet"/>
        <w:spacing w:after="50"/>
        <w:ind w:left="340"/>
      </w:pPr>
      <w:r>
        <w:t>An action open beyond 30 days is escalated to the business owner; beyond 60 days to the steering group.</w:t>
      </w:r>
    </w:p>
    <w:p>
      <w:pPr>
        <w:pStyle w:val="ListBullet"/>
        <w:spacing w:after="50"/>
        <w:ind w:left="340"/>
      </w:pPr>
      <w:r>
        <w:t>Actions are closed only with evidence — a GRN number, a corrected issue, an approved write-off, a signed reallocation.</w:t>
      </w:r>
    </w:p>
    <w:p>
      <w:pPr>
        <w:pStyle w:val="ListBullet"/>
        <w:spacing w:after="50"/>
        <w:ind w:left="340"/>
      </w:pPr>
      <w:r>
        <w:t>The same exception recurring for three consecutive periods is converted into a prescriptive process-change question (R-21).</w:t>
      </w:r>
    </w:p>
    <w:p>
      <w:pPr>
        <w:pStyle w:val="Heading1"/>
      </w:pPr>
      <w:r>
        <w:t>12. Refresh governance and thresholds</w:t>
      </w:r>
    </w:p>
    <w:p>
      <w:pPr>
        <w:pStyle w:val="Heading2"/>
      </w:pPr>
      <w:r>
        <w:t>12.1 What changes on a refresh, and what does not</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trPr>
        <w:tc>
          <w:tcPr>
            <w:tcW w:type="dxa" w:w="2608"/>
            <w:shd w:val="clear" w:fill="1F3B57"/>
          </w:tcPr>
          <w:p>
            <w:pPr>
              <w:spacing w:after="20" w:before="20" w:line="240" w:lineRule="auto"/>
            </w:pPr>
            <w:r/>
            <w:r>
              <w:rPr>
                <w:rFonts w:ascii="Calibri" w:hAnsi="Calibri"/>
                <w:b/>
                <w:color w:val="FFFFFF"/>
                <w:sz w:val="16"/>
              </w:rPr>
              <w:t>Element</w:t>
            </w:r>
          </w:p>
        </w:tc>
        <w:tc>
          <w:tcPr>
            <w:tcW w:type="dxa" w:w="3628"/>
            <w:shd w:val="clear" w:fill="1F3B57"/>
          </w:tcPr>
          <w:p>
            <w:pPr>
              <w:spacing w:after="20" w:before="20" w:line="240" w:lineRule="auto"/>
            </w:pPr>
            <w:r/>
            <w:r>
              <w:rPr>
                <w:rFonts w:ascii="Calibri" w:hAnsi="Calibri"/>
                <w:b/>
                <w:color w:val="FFFFFF"/>
                <w:sz w:val="16"/>
              </w:rPr>
              <w:t>Refresh behaviour</w:t>
            </w:r>
          </w:p>
        </w:tc>
        <w:tc>
          <w:tcPr>
            <w:tcW w:type="dxa" w:w="3515"/>
            <w:shd w:val="clear" w:fill="1F3B57"/>
          </w:tcPr>
          <w:p>
            <w:pPr>
              <w:spacing w:after="20" w:before="20" w:line="240" w:lineRule="auto"/>
            </w:pPr>
            <w:r/>
            <w:r>
              <w:rPr>
                <w:rFonts w:ascii="Calibri" w:hAnsi="Calibri"/>
                <w:b/>
                <w:color w:val="FFFFFF"/>
                <w:sz w:val="16"/>
              </w:rPr>
              <w:t>Control</w:t>
            </w:r>
          </w:p>
        </w:tc>
      </w:tr>
      <w:tr>
        <w:tc>
          <w:tcPr>
            <w:tcW w:type="dxa" w:w="2608"/>
          </w:tcPr>
          <w:p>
            <w:pPr>
              <w:spacing w:after="20" w:before="20" w:line="240" w:lineRule="auto"/>
            </w:pPr>
            <w:r/>
            <w:r>
              <w:rPr>
                <w:rFonts w:ascii="Calibri" w:hAnsi="Calibri"/>
                <w:b w:val="0"/>
                <w:sz w:val="16"/>
              </w:rPr>
              <w:t>Data values and all answers</w:t>
            </w:r>
          </w:p>
        </w:tc>
        <w:tc>
          <w:tcPr>
            <w:tcW w:type="dxa" w:w="3628"/>
          </w:tcPr>
          <w:p>
            <w:pPr>
              <w:spacing w:after="20" w:before="20" w:line="240" w:lineRule="auto"/>
            </w:pPr>
            <w:r/>
            <w:r>
              <w:rPr>
                <w:rFonts w:ascii="Calibri" w:hAnsi="Calibri"/>
                <w:b w:val="0"/>
                <w:sz w:val="16"/>
              </w:rPr>
              <w:t>Recomputed from the new extract</w:t>
            </w:r>
          </w:p>
        </w:tc>
        <w:tc>
          <w:tcPr>
            <w:tcW w:type="dxa" w:w="3515"/>
          </w:tcPr>
          <w:p>
            <w:pPr>
              <w:spacing w:after="20" w:before="20" w:line="240" w:lineRule="auto"/>
            </w:pPr>
            <w:r/>
            <w:r>
              <w:rPr>
                <w:rFonts w:ascii="Calibri" w:hAnsi="Calibri"/>
                <w:b w:val="0"/>
                <w:sz w:val="16"/>
              </w:rPr>
              <w:t>Quality gates must pass before publication</w:t>
            </w:r>
          </w:p>
        </w:tc>
      </w:tr>
      <w:tr>
        <w:tc>
          <w:tcPr>
            <w:tcW w:type="dxa" w:w="2608"/>
            <w:shd w:val="clear" w:fill="F7F9FB"/>
          </w:tcPr>
          <w:p>
            <w:pPr>
              <w:spacing w:after="20" w:before="20" w:line="240" w:lineRule="auto"/>
            </w:pPr>
            <w:r/>
            <w:r>
              <w:rPr>
                <w:rFonts w:ascii="Calibri" w:hAnsi="Calibri"/>
                <w:b w:val="0"/>
                <w:sz w:val="16"/>
              </w:rPr>
              <w:t>Status flags (Red/Amber/Green)</w:t>
            </w:r>
          </w:p>
        </w:tc>
        <w:tc>
          <w:tcPr>
            <w:tcW w:type="dxa" w:w="3628"/>
            <w:shd w:val="clear" w:fill="F7F9FB"/>
          </w:tcPr>
          <w:p>
            <w:pPr>
              <w:spacing w:after="20" w:before="20" w:line="240" w:lineRule="auto"/>
            </w:pPr>
            <w:r/>
            <w:r>
              <w:rPr>
                <w:rFonts w:ascii="Calibri" w:hAnsi="Calibri"/>
                <w:b w:val="0"/>
                <w:sz w:val="16"/>
              </w:rPr>
              <w:t>Recalculated against the parameters in force</w:t>
            </w:r>
          </w:p>
        </w:tc>
        <w:tc>
          <w:tcPr>
            <w:tcW w:type="dxa" w:w="3515"/>
            <w:shd w:val="clear" w:fill="F7F9FB"/>
          </w:tcPr>
          <w:p>
            <w:pPr>
              <w:spacing w:after="20" w:before="20" w:line="240" w:lineRule="auto"/>
            </w:pPr>
            <w:r/>
            <w:r>
              <w:rPr>
                <w:rFonts w:ascii="Calibri" w:hAnsi="Calibri"/>
                <w:b w:val="0"/>
                <w:sz w:val="16"/>
              </w:rPr>
              <w:t>Thresholds are version-controlled</w:t>
            </w:r>
          </w:p>
        </w:tc>
      </w:tr>
      <w:tr>
        <w:tc>
          <w:tcPr>
            <w:tcW w:type="dxa" w:w="2608"/>
          </w:tcPr>
          <w:p>
            <w:pPr>
              <w:spacing w:after="20" w:before="20" w:line="240" w:lineRule="auto"/>
            </w:pPr>
            <w:r/>
            <w:r>
              <w:rPr>
                <w:rFonts w:ascii="Calibri" w:hAnsi="Calibri"/>
                <w:b w:val="0"/>
                <w:sz w:val="16"/>
              </w:rPr>
              <w:t>Commentary lines</w:t>
            </w:r>
          </w:p>
        </w:tc>
        <w:tc>
          <w:tcPr>
            <w:tcW w:type="dxa" w:w="3628"/>
          </w:tcPr>
          <w:p>
            <w:pPr>
              <w:spacing w:after="20" w:before="20" w:line="240" w:lineRule="auto"/>
            </w:pPr>
            <w:r/>
            <w:r>
              <w:rPr>
                <w:rFonts w:ascii="Calibri" w:hAnsi="Calibri"/>
                <w:b w:val="0"/>
                <w:sz w:val="16"/>
              </w:rPr>
              <w:t>Regenerated for the metrics that breach tolerance</w:t>
            </w:r>
          </w:p>
        </w:tc>
        <w:tc>
          <w:tcPr>
            <w:tcW w:type="dxa" w:w="3515"/>
          </w:tcPr>
          <w:p>
            <w:pPr>
              <w:spacing w:after="20" w:before="20" w:line="240" w:lineRule="auto"/>
            </w:pPr>
            <w:r/>
            <w:r>
              <w:rPr>
                <w:rFonts w:ascii="Calibri" w:hAnsi="Calibri"/>
                <w:b w:val="0"/>
                <w:sz w:val="16"/>
              </w:rPr>
              <w:t>A human reviewer signs off the monthly pack</w:t>
            </w:r>
          </w:p>
        </w:tc>
      </w:tr>
      <w:tr>
        <w:tc>
          <w:tcPr>
            <w:tcW w:type="dxa" w:w="2608"/>
            <w:shd w:val="clear" w:fill="F7F9FB"/>
          </w:tcPr>
          <w:p>
            <w:pPr>
              <w:spacing w:after="20" w:before="20" w:line="240" w:lineRule="auto"/>
            </w:pPr>
            <w:r/>
            <w:r>
              <w:rPr>
                <w:rFonts w:ascii="Calibri" w:hAnsi="Calibri"/>
                <w:b w:val="0"/>
                <w:sz w:val="16"/>
              </w:rPr>
              <w:t>Questions, logic and owners</w:t>
            </w:r>
          </w:p>
        </w:tc>
        <w:tc>
          <w:tcPr>
            <w:tcW w:type="dxa" w:w="3628"/>
            <w:shd w:val="clear" w:fill="F7F9FB"/>
          </w:tcPr>
          <w:p>
            <w:pPr>
              <w:spacing w:after="20" w:before="20" w:line="240" w:lineRule="auto"/>
            </w:pPr>
            <w:r/>
            <w:r>
              <w:rPr>
                <w:rFonts w:ascii="Calibri" w:hAnsi="Calibri"/>
                <w:b w:val="0"/>
                <w:sz w:val="16"/>
              </w:rPr>
              <w:t>Unchanged</w:t>
            </w:r>
          </w:p>
        </w:tc>
        <w:tc>
          <w:tcPr>
            <w:tcW w:type="dxa" w:w="3515"/>
            <w:shd w:val="clear" w:fill="F7F9FB"/>
          </w:tcPr>
          <w:p>
            <w:pPr>
              <w:spacing w:after="20" w:before="20" w:line="240" w:lineRule="auto"/>
            </w:pPr>
            <w:r/>
            <w:r>
              <w:rPr>
                <w:rFonts w:ascii="Calibri" w:hAnsi="Calibri"/>
                <w:b w:val="0"/>
                <w:sz w:val="16"/>
              </w:rPr>
              <w:t>Change control, as in the BRD</w:t>
            </w:r>
          </w:p>
        </w:tc>
      </w:tr>
      <w:tr>
        <w:tc>
          <w:tcPr>
            <w:tcW w:type="dxa" w:w="2608"/>
          </w:tcPr>
          <w:p>
            <w:pPr>
              <w:spacing w:after="20" w:before="20" w:line="240" w:lineRule="auto"/>
            </w:pPr>
            <w:r/>
            <w:r>
              <w:rPr>
                <w:rFonts w:ascii="Calibri" w:hAnsi="Calibri"/>
                <w:b w:val="0"/>
                <w:sz w:val="16"/>
              </w:rPr>
              <w:t>Previously reported figures</w:t>
            </w:r>
          </w:p>
        </w:tc>
        <w:tc>
          <w:tcPr>
            <w:tcW w:type="dxa" w:w="3628"/>
          </w:tcPr>
          <w:p>
            <w:pPr>
              <w:spacing w:after="20" w:before="20" w:line="240" w:lineRule="auto"/>
            </w:pPr>
            <w:r/>
            <w:r>
              <w:rPr>
                <w:rFonts w:ascii="Calibri" w:hAnsi="Calibri"/>
                <w:b w:val="0"/>
                <w:sz w:val="16"/>
              </w:rPr>
              <w:t>Preserved in the month-end snapshot</w:t>
            </w:r>
          </w:p>
        </w:tc>
        <w:tc>
          <w:tcPr>
            <w:tcW w:type="dxa" w:w="3515"/>
          </w:tcPr>
          <w:p>
            <w:pPr>
              <w:spacing w:after="20" w:before="20" w:line="240" w:lineRule="auto"/>
            </w:pPr>
            <w:r/>
            <w:r>
              <w:rPr>
                <w:rFonts w:ascii="Calibri" w:hAnsi="Calibri"/>
                <w:b w:val="0"/>
                <w:sz w:val="16"/>
              </w:rPr>
              <w:t>Restatements shown separately with the reason</w:t>
            </w:r>
          </w:p>
        </w:tc>
      </w:tr>
    </w:tbl>
    <w:p>
      <w:pPr>
        <w:spacing w:after="20"/>
      </w:pPr>
    </w:p>
    <w:p>
      <w:pPr>
        <w:pStyle w:val="Heading2"/>
      </w:pPr>
      <w:r>
        <w:t>12.2 Threshold change control</w:t>
      </w:r>
    </w:p>
    <w:p>
      <w:pPr>
        <w:pStyle w:val="ListBullet"/>
        <w:spacing w:after="50"/>
        <w:ind w:left="340"/>
      </w:pPr>
      <w:r>
        <w:t>Thresholds are business parameters, not technical settings. Changes require the business owner's approval.</w:t>
      </w:r>
    </w:p>
    <w:p>
      <w:pPr>
        <w:pStyle w:val="ListBullet"/>
        <w:spacing w:after="50"/>
        <w:ind w:left="340"/>
      </w:pPr>
      <w:r>
        <w:t>Every change is recorded with the old value, the new value, the reason and the effective date.</w:t>
      </w:r>
    </w:p>
    <w:p>
      <w:pPr>
        <w:pStyle w:val="ListBullet"/>
        <w:spacing w:after="50"/>
        <w:ind w:left="340"/>
      </w:pPr>
      <w:r>
        <w:t>A threshold change applies from the next refresh; historical statuses are not rewritten retroactively.</w:t>
      </w:r>
    </w:p>
    <w:p>
      <w:pPr>
        <w:pStyle w:val="ListBullet"/>
        <w:spacing w:after="50"/>
        <w:ind w:left="340"/>
      </w:pPr>
      <w:r>
        <w:t>Thresholds are reviewed annually, or sooner if a metric breaches tolerance repeatedly without a credible action.</w:t>
      </w:r>
    </w:p>
    <w:p>
      <w:pPr>
        <w:pStyle w:val="Heading2"/>
      </w:pPr>
      <w:r>
        <w:t>12.3 Publication gate</w:t>
      </w:r>
    </w:p>
    <w:p>
      <w:pPr>
        <w:spacing w:after="100"/>
      </w:pPr>
      <w:r>
        <w:rPr>
          <w:b w:val="0"/>
          <w:i w:val="0"/>
        </w:rPr>
        <w:t>A refresh may be published only when: the extract completed; control totals reconcile to the Oracle registers within tolerance; duplicates and negative quantities are cleared; master-data exceptions are listed; and the workbook has been regenerated (no hand-edited values). If any condition fails, the previous snapshot remains live and the failure is logged with an owner and a reload plan.</w:t>
      </w:r>
    </w:p>
    <w:p>
      <w:r>
        <w:br w:type="page"/>
      </w:r>
    </w:p>
    <w:p>
      <w:pPr>
        <w:pStyle w:val="Heading1"/>
      </w:pPr>
      <w:r>
        <w:t>13. Data gaps and questions to add next</w:t>
      </w:r>
    </w:p>
    <w:p>
      <w:pPr>
        <w:spacing w:after="100"/>
      </w:pPr>
      <w:r>
        <w:rPr>
          <w:b w:val="0"/>
          <w:i w:val="0"/>
        </w:rPr>
        <w:t>Some questions cannot yet be answered fully because the enabling data is not in the extract. They remain in the bank with a gap note, so that the gap is visible and can be closed deliberately rather than forgotten.</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trPr>
        <w:tc>
          <w:tcPr>
            <w:tcW w:type="dxa" w:w="2494"/>
            <w:shd w:val="clear" w:fill="1F3B57"/>
          </w:tcPr>
          <w:p>
            <w:pPr>
              <w:spacing w:after="20" w:before="20" w:line="240" w:lineRule="auto"/>
            </w:pPr>
            <w:r/>
            <w:r>
              <w:rPr>
                <w:rFonts w:ascii="Calibri" w:hAnsi="Calibri"/>
                <w:b/>
                <w:color w:val="FFFFFF"/>
                <w:sz w:val="16"/>
              </w:rPr>
              <w:t>Question</w:t>
            </w:r>
          </w:p>
        </w:tc>
        <w:tc>
          <w:tcPr>
            <w:tcW w:type="dxa" w:w="2494"/>
            <w:shd w:val="clear" w:fill="1F3B57"/>
          </w:tcPr>
          <w:p>
            <w:pPr>
              <w:spacing w:after="20" w:before="20" w:line="240" w:lineRule="auto"/>
            </w:pPr>
            <w:r/>
            <w:r>
              <w:rPr>
                <w:rFonts w:ascii="Calibri" w:hAnsi="Calibri"/>
                <w:b/>
                <w:color w:val="FFFFFF"/>
                <w:sz w:val="16"/>
              </w:rPr>
              <w:t>What is missing</w:t>
            </w:r>
          </w:p>
        </w:tc>
        <w:tc>
          <w:tcPr>
            <w:tcW w:type="dxa" w:w="2381"/>
            <w:shd w:val="clear" w:fill="1F3B57"/>
          </w:tcPr>
          <w:p>
            <w:pPr>
              <w:spacing w:after="20" w:before="20" w:line="240" w:lineRule="auto"/>
            </w:pPr>
            <w:r/>
            <w:r>
              <w:rPr>
                <w:rFonts w:ascii="Calibri" w:hAnsi="Calibri"/>
                <w:b/>
                <w:color w:val="FFFFFF"/>
                <w:sz w:val="16"/>
              </w:rPr>
              <w:t>Workaround for now</w:t>
            </w:r>
          </w:p>
        </w:tc>
        <w:tc>
          <w:tcPr>
            <w:tcW w:type="dxa" w:w="2381"/>
            <w:shd w:val="clear" w:fill="1F3B57"/>
          </w:tcPr>
          <w:p>
            <w:pPr>
              <w:spacing w:after="20" w:before="20" w:line="240" w:lineRule="auto"/>
            </w:pPr>
            <w:r/>
            <w:r>
              <w:rPr>
                <w:rFonts w:ascii="Calibri" w:hAnsi="Calibri"/>
                <w:b/>
                <w:color w:val="FFFFFF"/>
                <w:sz w:val="16"/>
              </w:rPr>
              <w:t>To close the gap</w:t>
            </w:r>
          </w:p>
        </w:tc>
      </w:tr>
      <w:tr>
        <w:tc>
          <w:tcPr>
            <w:tcW w:type="dxa" w:w="2494"/>
          </w:tcPr>
          <w:p>
            <w:pPr>
              <w:spacing w:after="20" w:before="20" w:line="240" w:lineRule="auto"/>
            </w:pPr>
            <w:r/>
            <w:r>
              <w:rPr>
                <w:rFonts w:ascii="Calibri" w:hAnsi="Calibri"/>
                <w:b w:val="0"/>
                <w:sz w:val="16"/>
              </w:rPr>
              <w:t>Stock-out days and duration (D-12, X-02)</w:t>
            </w:r>
          </w:p>
        </w:tc>
        <w:tc>
          <w:tcPr>
            <w:tcW w:type="dxa" w:w="2494"/>
          </w:tcPr>
          <w:p>
            <w:pPr>
              <w:spacing w:after="20" w:before="20" w:line="240" w:lineRule="auto"/>
            </w:pPr>
            <w:r/>
            <w:r>
              <w:rPr>
                <w:rFonts w:ascii="Calibri" w:hAnsi="Calibri"/>
                <w:b w:val="0"/>
                <w:sz w:val="16"/>
              </w:rPr>
              <w:t>A stock-out register or nil-stock transaction log</w:t>
            </w:r>
          </w:p>
        </w:tc>
        <w:tc>
          <w:tcPr>
            <w:tcW w:type="dxa" w:w="2381"/>
          </w:tcPr>
          <w:p>
            <w:pPr>
              <w:spacing w:after="20" w:before="20" w:line="240" w:lineRule="auto"/>
            </w:pPr>
            <w:r/>
            <w:r>
              <w:rPr>
                <w:rFonts w:ascii="Calibri" w:hAnsi="Calibri"/>
                <w:b w:val="0"/>
                <w:sz w:val="16"/>
              </w:rPr>
              <w:t>Inferred from unmet demand and issue gaps</w:t>
            </w:r>
          </w:p>
        </w:tc>
        <w:tc>
          <w:tcPr>
            <w:tcW w:type="dxa" w:w="2381"/>
          </w:tcPr>
          <w:p>
            <w:pPr>
              <w:spacing w:after="20" w:before="20" w:line="240" w:lineRule="auto"/>
            </w:pPr>
            <w:r/>
            <w:r>
              <w:rPr>
                <w:rFonts w:ascii="Calibri" w:hAnsi="Calibri"/>
                <w:b w:val="0"/>
                <w:sz w:val="16"/>
              </w:rPr>
              <w:t>Record nil-stock incidents in Oracle or a simple register at the store</w:t>
            </w:r>
          </w:p>
        </w:tc>
      </w:tr>
      <w:tr>
        <w:tc>
          <w:tcPr>
            <w:tcW w:type="dxa" w:w="2494"/>
            <w:shd w:val="clear" w:fill="F7F9FB"/>
          </w:tcPr>
          <w:p>
            <w:pPr>
              <w:spacing w:after="20" w:before="20" w:line="240" w:lineRule="auto"/>
            </w:pPr>
            <w:r/>
            <w:r>
              <w:rPr>
                <w:rFonts w:ascii="Calibri" w:hAnsi="Calibri"/>
                <w:b w:val="0"/>
                <w:sz w:val="16"/>
              </w:rPr>
              <w:t>Wastage and write-off value (G-07, X-11)</w:t>
            </w:r>
          </w:p>
        </w:tc>
        <w:tc>
          <w:tcPr>
            <w:tcW w:type="dxa" w:w="2494"/>
            <w:shd w:val="clear" w:fill="F7F9FB"/>
          </w:tcPr>
          <w:p>
            <w:pPr>
              <w:spacing w:after="20" w:before="20" w:line="240" w:lineRule="auto"/>
            </w:pPr>
            <w:r/>
            <w:r>
              <w:rPr>
                <w:rFonts w:ascii="Calibri" w:hAnsi="Calibri"/>
                <w:b w:val="0"/>
                <w:sz w:val="16"/>
              </w:rPr>
              <w:t>Approved inventory adjustment documents</w:t>
            </w:r>
          </w:p>
        </w:tc>
        <w:tc>
          <w:tcPr>
            <w:tcW w:type="dxa" w:w="2381"/>
            <w:shd w:val="clear" w:fill="F7F9FB"/>
          </w:tcPr>
          <w:p>
            <w:pPr>
              <w:spacing w:after="20" w:before="20" w:line="240" w:lineRule="auto"/>
            </w:pPr>
            <w:r/>
            <w:r>
              <w:rPr>
                <w:rFonts w:ascii="Calibri" w:hAnsi="Calibri"/>
                <w:b w:val="0"/>
                <w:sz w:val="16"/>
              </w:rPr>
              <w:t>Batch expiry compared with remaining quantity</w:t>
            </w:r>
          </w:p>
        </w:tc>
        <w:tc>
          <w:tcPr>
            <w:tcW w:type="dxa" w:w="2381"/>
            <w:shd w:val="clear" w:fill="F7F9FB"/>
          </w:tcPr>
          <w:p>
            <w:pPr>
              <w:spacing w:after="20" w:before="20" w:line="240" w:lineRule="auto"/>
            </w:pPr>
            <w:r/>
            <w:r>
              <w:rPr>
                <w:rFonts w:ascii="Calibri" w:hAnsi="Calibri"/>
                <w:b w:val="0"/>
                <w:sz w:val="16"/>
              </w:rPr>
              <w:t>Route write-offs through a documented adjustment with a reason code</w:t>
            </w:r>
          </w:p>
        </w:tc>
      </w:tr>
      <w:tr>
        <w:tc>
          <w:tcPr>
            <w:tcW w:type="dxa" w:w="2494"/>
          </w:tcPr>
          <w:p>
            <w:pPr>
              <w:spacing w:after="20" w:before="20" w:line="240" w:lineRule="auto"/>
            </w:pPr>
            <w:r/>
            <w:r>
              <w:rPr>
                <w:rFonts w:ascii="Calibri" w:hAnsi="Calibri"/>
                <w:b w:val="0"/>
                <w:sz w:val="16"/>
              </w:rPr>
              <w:t>Consumption against treatment protocol norms (G-16)</w:t>
            </w:r>
          </w:p>
        </w:tc>
        <w:tc>
          <w:tcPr>
            <w:tcW w:type="dxa" w:w="2494"/>
          </w:tcPr>
          <w:p>
            <w:pPr>
              <w:spacing w:after="20" w:before="20" w:line="240" w:lineRule="auto"/>
            </w:pPr>
            <w:r/>
            <w:r>
              <w:rPr>
                <w:rFonts w:ascii="Calibri" w:hAnsi="Calibri"/>
                <w:b w:val="0"/>
                <w:sz w:val="16"/>
              </w:rPr>
              <w:t>Standard consumption norms per service type</w:t>
            </w:r>
          </w:p>
        </w:tc>
        <w:tc>
          <w:tcPr>
            <w:tcW w:type="dxa" w:w="2381"/>
          </w:tcPr>
          <w:p>
            <w:pPr>
              <w:spacing w:after="20" w:before="20" w:line="240" w:lineRule="auto"/>
            </w:pPr>
            <w:r/>
            <w:r>
              <w:rPr>
                <w:rFonts w:ascii="Calibri" w:hAnsi="Calibri"/>
                <w:b w:val="0"/>
                <w:sz w:val="16"/>
              </w:rPr>
              <w:t>Peer comparison between projects</w:t>
            </w:r>
          </w:p>
        </w:tc>
        <w:tc>
          <w:tcPr>
            <w:tcW w:type="dxa" w:w="2381"/>
          </w:tcPr>
          <w:p>
            <w:pPr>
              <w:spacing w:after="20" w:before="20" w:line="240" w:lineRule="auto"/>
            </w:pPr>
            <w:r/>
            <w:r>
              <w:rPr>
                <w:rFonts w:ascii="Calibri" w:hAnsi="Calibri"/>
                <w:b w:val="0"/>
                <w:sz w:val="16"/>
              </w:rPr>
              <w:t>Agree norms with the clinical lead by service point</w:t>
            </w:r>
          </w:p>
        </w:tc>
      </w:tr>
      <w:tr>
        <w:tc>
          <w:tcPr>
            <w:tcW w:type="dxa" w:w="2494"/>
            <w:shd w:val="clear" w:fill="F7F9FB"/>
          </w:tcPr>
          <w:p>
            <w:pPr>
              <w:spacing w:after="20" w:before="20" w:line="240" w:lineRule="auto"/>
            </w:pPr>
            <w:r/>
            <w:r>
              <w:rPr>
                <w:rFonts w:ascii="Calibri" w:hAnsi="Calibri"/>
                <w:b w:val="0"/>
                <w:sz w:val="16"/>
              </w:rPr>
              <w:t>Split of consumption by age, sex or beneficiary group</w:t>
            </w:r>
          </w:p>
        </w:tc>
        <w:tc>
          <w:tcPr>
            <w:tcW w:type="dxa" w:w="2494"/>
            <w:shd w:val="clear" w:fill="F7F9FB"/>
          </w:tcPr>
          <w:p>
            <w:pPr>
              <w:spacing w:after="20" w:before="20" w:line="240" w:lineRule="auto"/>
            </w:pPr>
            <w:r/>
            <w:r>
              <w:rPr>
                <w:rFonts w:ascii="Calibri" w:hAnsi="Calibri"/>
                <w:b w:val="0"/>
                <w:sz w:val="16"/>
              </w:rPr>
              <w:t>Beneficiary-level dispensing data (not held in ERP)</w:t>
            </w:r>
          </w:p>
        </w:tc>
        <w:tc>
          <w:tcPr>
            <w:tcW w:type="dxa" w:w="2381"/>
            <w:shd w:val="clear" w:fill="F7F9FB"/>
          </w:tcPr>
          <w:p>
            <w:pPr>
              <w:spacing w:after="20" w:before="20" w:line="240" w:lineRule="auto"/>
            </w:pPr>
            <w:r/>
            <w:r>
              <w:rPr>
                <w:rFonts w:ascii="Calibri" w:hAnsi="Calibri"/>
                <w:b w:val="0"/>
                <w:sz w:val="16"/>
              </w:rPr>
              <w:t>Not attempted; kept out of scope</w:t>
            </w:r>
          </w:p>
        </w:tc>
        <w:tc>
          <w:tcPr>
            <w:tcW w:type="dxa" w:w="2381"/>
            <w:shd w:val="clear" w:fill="F7F9FB"/>
          </w:tcPr>
          <w:p>
            <w:pPr>
              <w:spacing w:after="20" w:before="20" w:line="240" w:lineRule="auto"/>
            </w:pPr>
            <w:r/>
            <w:r>
              <w:rPr>
                <w:rFonts w:ascii="Calibri" w:hAnsi="Calibri"/>
                <w:b w:val="0"/>
                <w:sz w:val="16"/>
              </w:rPr>
              <w:t>Only if programme M&amp;E introduces dispensing-level data</w:t>
            </w:r>
          </w:p>
        </w:tc>
      </w:tr>
      <w:tr>
        <w:tc>
          <w:tcPr>
            <w:tcW w:type="dxa" w:w="2494"/>
          </w:tcPr>
          <w:p>
            <w:pPr>
              <w:spacing w:after="20" w:before="20" w:line="240" w:lineRule="auto"/>
            </w:pPr>
            <w:r/>
            <w:r>
              <w:rPr>
                <w:rFonts w:ascii="Calibri" w:hAnsi="Calibri"/>
                <w:b w:val="0"/>
                <w:sz w:val="16"/>
              </w:rPr>
              <w:t>User-level issue behaviour (G-08, R-08)</w:t>
            </w:r>
          </w:p>
        </w:tc>
        <w:tc>
          <w:tcPr>
            <w:tcW w:type="dxa" w:w="2494"/>
          </w:tcPr>
          <w:p>
            <w:pPr>
              <w:spacing w:after="20" w:before="20" w:line="240" w:lineRule="auto"/>
            </w:pPr>
            <w:r/>
            <w:r>
              <w:rPr>
                <w:rFonts w:ascii="Calibri" w:hAnsi="Calibri"/>
                <w:b w:val="0"/>
                <w:sz w:val="16"/>
              </w:rPr>
              <w:t>A user dimension in the extract</w:t>
            </w:r>
          </w:p>
        </w:tc>
        <w:tc>
          <w:tcPr>
            <w:tcW w:type="dxa" w:w="2381"/>
          </w:tcPr>
          <w:p>
            <w:pPr>
              <w:spacing w:after="20" w:before="20" w:line="240" w:lineRule="auto"/>
            </w:pPr>
            <w:r/>
            <w:r>
              <w:rPr>
                <w:rFonts w:ascii="Calibri" w:hAnsi="Calibri"/>
                <w:b w:val="0"/>
                <w:sz w:val="16"/>
              </w:rPr>
              <w:t>Counts by warehouse and service point</w:t>
            </w:r>
          </w:p>
        </w:tc>
        <w:tc>
          <w:tcPr>
            <w:tcW w:type="dxa" w:w="2381"/>
          </w:tcPr>
          <w:p>
            <w:pPr>
              <w:spacing w:after="20" w:before="20" w:line="240" w:lineRule="auto"/>
            </w:pPr>
            <w:r/>
            <w:r>
              <w:rPr>
                <w:rFonts w:ascii="Calibri" w:hAnsi="Calibri"/>
                <w:b w:val="0"/>
                <w:sz w:val="16"/>
              </w:rPr>
              <w:t>Add the issuing user to the extract</w:t>
            </w:r>
          </w:p>
        </w:tc>
      </w:tr>
      <w:tr>
        <w:tc>
          <w:tcPr>
            <w:tcW w:type="dxa" w:w="2494"/>
            <w:shd w:val="clear" w:fill="F7F9FB"/>
          </w:tcPr>
          <w:p>
            <w:pPr>
              <w:spacing w:after="20" w:before="20" w:line="240" w:lineRule="auto"/>
            </w:pPr>
            <w:r/>
            <w:r>
              <w:rPr>
                <w:rFonts w:ascii="Calibri" w:hAnsi="Calibri"/>
                <w:b w:val="0"/>
                <w:sz w:val="16"/>
              </w:rPr>
              <w:t>True budget phasing by month (X-05, X-15)</w:t>
            </w:r>
          </w:p>
        </w:tc>
        <w:tc>
          <w:tcPr>
            <w:tcW w:type="dxa" w:w="2494"/>
            <w:shd w:val="clear" w:fill="F7F9FB"/>
          </w:tcPr>
          <w:p>
            <w:pPr>
              <w:spacing w:after="20" w:before="20" w:line="240" w:lineRule="auto"/>
            </w:pPr>
            <w:r/>
            <w:r>
              <w:rPr>
                <w:rFonts w:ascii="Calibri" w:hAnsi="Calibri"/>
                <w:b w:val="0"/>
                <w:sz w:val="16"/>
              </w:rPr>
              <w:t>Monthly budget profile rather than an annual figure</w:t>
            </w:r>
          </w:p>
        </w:tc>
        <w:tc>
          <w:tcPr>
            <w:tcW w:type="dxa" w:w="2381"/>
            <w:shd w:val="clear" w:fill="F7F9FB"/>
          </w:tcPr>
          <w:p>
            <w:pPr>
              <w:spacing w:after="20" w:before="20" w:line="240" w:lineRule="auto"/>
            </w:pPr>
            <w:r/>
            <w:r>
              <w:rPr>
                <w:rFonts w:ascii="Calibri" w:hAnsi="Calibri"/>
                <w:b w:val="0"/>
                <w:sz w:val="16"/>
              </w:rPr>
              <w:t>Straight-line assumption</w:t>
            </w:r>
          </w:p>
        </w:tc>
        <w:tc>
          <w:tcPr>
            <w:tcW w:type="dxa" w:w="2381"/>
            <w:shd w:val="clear" w:fill="F7F9FB"/>
          </w:tcPr>
          <w:p>
            <w:pPr>
              <w:spacing w:after="20" w:before="20" w:line="240" w:lineRule="auto"/>
            </w:pPr>
            <w:r/>
            <w:r>
              <w:rPr>
                <w:rFonts w:ascii="Calibri" w:hAnsi="Calibri"/>
                <w:b w:val="0"/>
                <w:sz w:val="16"/>
              </w:rPr>
              <w:t>Finance to load the approved phasing profile</w:t>
            </w:r>
          </w:p>
        </w:tc>
      </w:tr>
      <w:tr>
        <w:tc>
          <w:tcPr>
            <w:tcW w:type="dxa" w:w="2494"/>
          </w:tcPr>
          <w:p>
            <w:pPr>
              <w:spacing w:after="20" w:before="20" w:line="240" w:lineRule="auto"/>
            </w:pPr>
            <w:r/>
            <w:r>
              <w:rPr>
                <w:rFonts w:ascii="Calibri" w:hAnsi="Calibri"/>
                <w:b w:val="0"/>
                <w:sz w:val="16"/>
              </w:rPr>
              <w:t>Supplier contract price and validity (G-11, R-10)</w:t>
            </w:r>
          </w:p>
        </w:tc>
        <w:tc>
          <w:tcPr>
            <w:tcW w:type="dxa" w:w="2494"/>
          </w:tcPr>
          <w:p>
            <w:pPr>
              <w:spacing w:after="20" w:before="20" w:line="240" w:lineRule="auto"/>
            </w:pPr>
            <w:r/>
            <w:r>
              <w:rPr>
                <w:rFonts w:ascii="Calibri" w:hAnsi="Calibri"/>
                <w:b w:val="0"/>
                <w:sz w:val="16"/>
              </w:rPr>
              <w:t>Contract reference and price validity dates</w:t>
            </w:r>
          </w:p>
        </w:tc>
        <w:tc>
          <w:tcPr>
            <w:tcW w:type="dxa" w:w="2381"/>
          </w:tcPr>
          <w:p>
            <w:pPr>
              <w:spacing w:after="20" w:before="20" w:line="240" w:lineRule="auto"/>
            </w:pPr>
            <w:r/>
            <w:r>
              <w:rPr>
                <w:rFonts w:ascii="Calibri" w:hAnsi="Calibri"/>
                <w:b w:val="0"/>
                <w:sz w:val="16"/>
              </w:rPr>
              <w:t>Comparison with the previous purchase price</w:t>
            </w:r>
          </w:p>
        </w:tc>
        <w:tc>
          <w:tcPr>
            <w:tcW w:type="dxa" w:w="2381"/>
          </w:tcPr>
          <w:p>
            <w:pPr>
              <w:spacing w:after="20" w:before="20" w:line="240" w:lineRule="auto"/>
            </w:pPr>
            <w:r/>
            <w:r>
              <w:rPr>
                <w:rFonts w:ascii="Calibri" w:hAnsi="Calibri"/>
                <w:b w:val="0"/>
                <w:sz w:val="16"/>
              </w:rPr>
              <w:t>Add contract number and validity to the PO extract</w:t>
            </w:r>
          </w:p>
        </w:tc>
      </w:tr>
    </w:tbl>
    <w:p>
      <w:pPr>
        <w:spacing w:after="20"/>
      </w:pPr>
    </w:p>
    <w:p>
      <w:pPr>
        <w:pStyle w:val="Heading2"/>
      </w:pPr>
      <w:r>
        <w:t>13.1 Questions to add in the next release</w:t>
      </w:r>
    </w:p>
    <w:p>
      <w:pPr>
        <w:pStyle w:val="ListBullet"/>
        <w:spacing w:after="50"/>
        <w:ind w:left="340"/>
      </w:pPr>
      <w:r>
        <w:t xml:space="preserve"> Which items show a structural change in consumption after a protocol or guideline revision?</w:t>
      </w:r>
    </w:p>
    <w:p>
      <w:pPr>
        <w:pStyle w:val="ListBullet"/>
        <w:spacing w:after="50"/>
        <w:ind w:left="340"/>
      </w:pPr>
      <w:r>
        <w:t xml:space="preserve"> What is the consumption elasticity to service volume — how much additional product does a 10% increase in beneficiaries require?</w:t>
      </w:r>
    </w:p>
    <w:p>
      <w:pPr>
        <w:pStyle w:val="ListBullet"/>
        <w:spacing w:after="50"/>
        <w:ind w:left="340"/>
      </w:pPr>
      <w:r>
        <w:t xml:space="preserve"> What is the cost of stock-outs in emergency purchase premium and lost service volume?</w:t>
      </w:r>
    </w:p>
    <w:p>
      <w:pPr>
        <w:pStyle w:val="ListBullet"/>
        <w:spacing w:after="50"/>
        <w:ind w:left="340"/>
      </w:pPr>
      <w:r>
        <w:t xml:space="preserve"> Which projects have the highest consumption per service point per month, and is that a case-mix effect or a control weakness?</w:t>
      </w:r>
    </w:p>
    <w:p>
      <w:pPr>
        <w:pStyle w:val="ListBullet"/>
        <w:spacing w:after="50"/>
        <w:ind w:left="340"/>
      </w:pPr>
      <w:r>
        <w:t xml:space="preserve"> What would be the financial effect of consolidating the top ten items into a single framework contract?</w:t>
      </w:r>
    </w:p>
    <w:p>
      <w:pPr>
        <w:pStyle w:val="ListBullet"/>
        <w:spacing w:after="50"/>
        <w:ind w:left="340"/>
      </w:pPr>
      <w:r>
        <w:t xml:space="preserve"> How does consumption per beneficiary move after a price change, once the volume effect is removed?</w:t>
      </w:r>
    </w:p>
    <w:p>
      <w:pPr>
        <w:pStyle w:val="ListBullet"/>
        <w:spacing w:after="50"/>
        <w:ind w:left="340"/>
      </w:pPr>
      <w:r>
        <w:t xml:space="preserve"> Which batches were received short-dated, and which suppliers delivered them?</w:t>
      </w:r>
    </w:p>
    <w:p>
      <w:r>
        <w:br w:type="page"/>
      </w:r>
    </w:p>
    <w:p>
      <w:pPr>
        <w:pStyle w:val="Heading1"/>
      </w:pPr>
      <w:r>
        <w:t>14. What-if and scenario analysis</w:t>
      </w:r>
    </w:p>
    <w:p>
      <w:pPr>
        <w:spacing w:after="100"/>
      </w:pPr>
      <w:r>
        <w:rPr>
          <w:b w:val="0"/>
          <w:i w:val="0"/>
        </w:rPr>
        <w:t>Descriptive analysis tells us where we are; the what-if engine tells us what happens if a driver moves. Every lever in the model is a parameter, so a scenario is a named set of parameter overrides rather than a separate spreadsheet. The engine is documented in the workbook's Model_Logic sheet and reproduces in a few lines of arithmetic, which is deliberate: a scenario that management cannot follow is a scenario management will not use.</w:t>
      </w:r>
    </w:p>
    <w:p>
      <w:pPr>
        <w:pStyle w:val="Heading2"/>
      </w:pPr>
      <w:r>
        <w:t>14.1 How the model works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trPr>
        <w:tc>
          <w:tcPr>
            <w:tcW w:type="dxa" w:w="1701"/>
            <w:shd w:val="clear" w:fill="1F3B57"/>
          </w:tcPr>
          <w:p>
            <w:pPr>
              <w:spacing w:after="20" w:before="20" w:line="240" w:lineRule="auto"/>
            </w:pPr>
            <w:r/>
            <w:r>
              <w:rPr>
                <w:rFonts w:ascii="Calibri" w:hAnsi="Calibri"/>
                <w:b/>
                <w:color w:val="FFFFFF"/>
                <w:sz w:val="16"/>
              </w:rPr>
              <w:t>Step</w:t>
            </w:r>
          </w:p>
        </w:tc>
        <w:tc>
          <w:tcPr>
            <w:tcW w:type="dxa" w:w="4535"/>
            <w:shd w:val="clear" w:fill="1F3B57"/>
          </w:tcPr>
          <w:p>
            <w:pPr>
              <w:spacing w:after="20" w:before="20" w:line="240" w:lineRule="auto"/>
            </w:pPr>
            <w:r/>
            <w:r>
              <w:rPr>
                <w:rFonts w:ascii="Calibri" w:hAnsi="Calibri"/>
                <w:b/>
                <w:color w:val="FFFFFF"/>
                <w:sz w:val="16"/>
              </w:rPr>
              <w:t>Equation</w:t>
            </w:r>
          </w:p>
        </w:tc>
        <w:tc>
          <w:tcPr>
            <w:tcW w:type="dxa" w:w="3515"/>
            <w:shd w:val="clear" w:fill="1F3B57"/>
          </w:tcPr>
          <w:p>
            <w:pPr>
              <w:spacing w:after="20" w:before="20" w:line="240" w:lineRule="auto"/>
            </w:pPr>
            <w:r/>
            <w:r>
              <w:rPr>
                <w:rFonts w:ascii="Calibri" w:hAnsi="Calibri"/>
                <w:b/>
                <w:color w:val="FFFFFF"/>
                <w:sz w:val="16"/>
              </w:rPr>
              <w:t>What it produces</w:t>
            </w:r>
          </w:p>
        </w:tc>
      </w:tr>
      <w:tr>
        <w:tc>
          <w:tcPr>
            <w:tcW w:type="dxa" w:w="1701"/>
          </w:tcPr>
          <w:p>
            <w:pPr>
              <w:spacing w:after="20" w:before="20" w:line="240" w:lineRule="auto"/>
            </w:pPr>
            <w:r/>
            <w:r>
              <w:rPr>
                <w:rFonts w:ascii="Calibri" w:hAnsi="Calibri"/>
                <w:b w:val="0"/>
                <w:sz w:val="16"/>
              </w:rPr>
              <w:t>Consumption</w:t>
            </w:r>
          </w:p>
        </w:tc>
        <w:tc>
          <w:tcPr>
            <w:tcW w:type="dxa" w:w="4535"/>
          </w:tcPr>
          <w:p>
            <w:pPr>
              <w:spacing w:after="20" w:before="20" w:line="240" w:lineRule="auto"/>
            </w:pPr>
            <w:r/>
            <w:r>
              <w:rPr>
                <w:rFonts w:ascii="Calibri" w:hAnsi="Calibri"/>
                <w:b w:val="0"/>
                <w:sz w:val="16"/>
              </w:rPr>
              <w:t>annualised run rate × (1 + demand growth) × price factor × activity factor</w:t>
            </w:r>
          </w:p>
        </w:tc>
        <w:tc>
          <w:tcPr>
            <w:tcW w:type="dxa" w:w="3515"/>
          </w:tcPr>
          <w:p>
            <w:pPr>
              <w:spacing w:after="20" w:before="20" w:line="240" w:lineRule="auto"/>
            </w:pPr>
            <w:r/>
            <w:r>
              <w:rPr>
                <w:rFonts w:ascii="Calibri" w:hAnsi="Calibri"/>
                <w:b w:val="0"/>
                <w:sz w:val="16"/>
              </w:rPr>
              <w:t>The forward 12-month value of products to be consumed</w:t>
            </w:r>
          </w:p>
        </w:tc>
      </w:tr>
      <w:tr>
        <w:tc>
          <w:tcPr>
            <w:tcW w:type="dxa" w:w="1701"/>
            <w:shd w:val="clear" w:fill="F7F9FB"/>
          </w:tcPr>
          <w:p>
            <w:pPr>
              <w:spacing w:after="20" w:before="20" w:line="240" w:lineRule="auto"/>
            </w:pPr>
            <w:r/>
            <w:r>
              <w:rPr>
                <w:rFonts w:ascii="Calibri" w:hAnsi="Calibri"/>
                <w:b w:val="0"/>
                <w:sz w:val="16"/>
              </w:rPr>
              <w:t>Price factor</w:t>
            </w:r>
          </w:p>
        </w:tc>
        <w:tc>
          <w:tcPr>
            <w:tcW w:type="dxa" w:w="4535"/>
            <w:shd w:val="clear" w:fill="F7F9FB"/>
          </w:tcPr>
          <w:p>
            <w:pPr>
              <w:spacing w:after="20" w:before="20" w:line="240" w:lineRule="auto"/>
            </w:pPr>
            <w:r/>
            <w:r>
              <w:rPr>
                <w:rFonts w:ascii="Calibri" w:hAnsi="Calibri"/>
                <w:b w:val="0"/>
                <w:sz w:val="16"/>
              </w:rPr>
              <w:t>(1 + inflation) × (1 + one-off shock) × (1 − framework discount)</w:t>
            </w:r>
          </w:p>
        </w:tc>
        <w:tc>
          <w:tcPr>
            <w:tcW w:type="dxa" w:w="3515"/>
            <w:shd w:val="clear" w:fill="F7F9FB"/>
          </w:tcPr>
          <w:p>
            <w:pPr>
              <w:spacing w:after="20" w:before="20" w:line="240" w:lineRule="auto"/>
            </w:pPr>
            <w:r/>
            <w:r>
              <w:rPr>
                <w:rFonts w:ascii="Calibri" w:hAnsi="Calibri"/>
                <w:b w:val="0"/>
                <w:sz w:val="16"/>
              </w:rPr>
              <w:t>The price effect, isolated from volume</w:t>
            </w:r>
          </w:p>
        </w:tc>
      </w:tr>
      <w:tr>
        <w:tc>
          <w:tcPr>
            <w:tcW w:type="dxa" w:w="1701"/>
          </w:tcPr>
          <w:p>
            <w:pPr>
              <w:spacing w:after="20" w:before="20" w:line="240" w:lineRule="auto"/>
            </w:pPr>
            <w:r/>
            <w:r>
              <w:rPr>
                <w:rFonts w:ascii="Calibri" w:hAnsi="Calibri"/>
                <w:b w:val="0"/>
                <w:sz w:val="16"/>
              </w:rPr>
              <w:t>Target stock</w:t>
            </w:r>
          </w:p>
        </w:tc>
        <w:tc>
          <w:tcPr>
            <w:tcW w:type="dxa" w:w="4535"/>
          </w:tcPr>
          <w:p>
            <w:pPr>
              <w:spacing w:after="20" w:before="20" w:line="240" w:lineRule="auto"/>
            </w:pPr>
            <w:r/>
            <w:r>
              <w:rPr>
                <w:rFonts w:ascii="Calibri" w:hAnsi="Calibri"/>
                <w:b w:val="0"/>
                <w:sz w:val="16"/>
              </w:rPr>
              <w:t>consumption × (cover days + safety days) / 365</w:t>
            </w:r>
          </w:p>
        </w:tc>
        <w:tc>
          <w:tcPr>
            <w:tcW w:type="dxa" w:w="3515"/>
          </w:tcPr>
          <w:p>
            <w:pPr>
              <w:spacing w:after="20" w:before="20" w:line="240" w:lineRule="auto"/>
            </w:pPr>
            <w:r/>
            <w:r>
              <w:rPr>
                <w:rFonts w:ascii="Calibri" w:hAnsi="Calibri"/>
                <w:b w:val="0"/>
                <w:sz w:val="16"/>
              </w:rPr>
              <w:t>The stock position that must be funded</w:t>
            </w:r>
          </w:p>
        </w:tc>
      </w:tr>
      <w:tr>
        <w:tc>
          <w:tcPr>
            <w:tcW w:type="dxa" w:w="1701"/>
            <w:shd w:val="clear" w:fill="F7F9FB"/>
          </w:tcPr>
          <w:p>
            <w:pPr>
              <w:spacing w:after="20" w:before="20" w:line="240" w:lineRule="auto"/>
            </w:pPr>
            <w:r/>
            <w:r>
              <w:rPr>
                <w:rFonts w:ascii="Calibri" w:hAnsi="Calibri"/>
                <w:b w:val="0"/>
                <w:sz w:val="16"/>
              </w:rPr>
              <w:t>Purchase requirement</w:t>
            </w:r>
          </w:p>
        </w:tc>
        <w:tc>
          <w:tcPr>
            <w:tcW w:type="dxa" w:w="4535"/>
            <w:shd w:val="clear" w:fill="F7F9FB"/>
          </w:tcPr>
          <w:p>
            <w:pPr>
              <w:spacing w:after="20" w:before="20" w:line="240" w:lineRule="auto"/>
            </w:pPr>
            <w:r/>
            <w:r>
              <w:rPr>
                <w:rFonts w:ascii="Calibri" w:hAnsi="Calibri"/>
                <w:b w:val="0"/>
                <w:sz w:val="16"/>
              </w:rPr>
              <w:t>consumption + top-up − released excess stock + wastage replacement</w:t>
            </w:r>
          </w:p>
        </w:tc>
        <w:tc>
          <w:tcPr>
            <w:tcW w:type="dxa" w:w="3515"/>
            <w:shd w:val="clear" w:fill="F7F9FB"/>
          </w:tcPr>
          <w:p>
            <w:pPr>
              <w:spacing w:after="20" w:before="20" w:line="240" w:lineRule="auto"/>
            </w:pPr>
            <w:r/>
            <w:r>
              <w:rPr>
                <w:rFonts w:ascii="Calibri" w:hAnsi="Calibri"/>
                <w:b w:val="0"/>
                <w:sz w:val="16"/>
              </w:rPr>
              <w:t>The buying and cash requirement</w:t>
            </w:r>
          </w:p>
        </w:tc>
      </w:tr>
      <w:tr>
        <w:tc>
          <w:tcPr>
            <w:tcW w:type="dxa" w:w="1701"/>
          </w:tcPr>
          <w:p>
            <w:pPr>
              <w:spacing w:after="20" w:before="20" w:line="240" w:lineRule="auto"/>
            </w:pPr>
            <w:r/>
            <w:r>
              <w:rPr>
                <w:rFonts w:ascii="Calibri" w:hAnsi="Calibri"/>
                <w:b w:val="0"/>
                <w:sz w:val="16"/>
              </w:rPr>
              <w:t>Budget available</w:t>
            </w:r>
          </w:p>
        </w:tc>
        <w:tc>
          <w:tcPr>
            <w:tcW w:type="dxa" w:w="4535"/>
          </w:tcPr>
          <w:p>
            <w:pPr>
              <w:spacing w:after="20" w:before="20" w:line="240" w:lineRule="auto"/>
            </w:pPr>
            <w:r/>
            <w:r>
              <w:rPr>
                <w:rFonts w:ascii="Calibri" w:hAnsi="Calibri"/>
                <w:b w:val="0"/>
                <w:sz w:val="16"/>
              </w:rPr>
              <w:t>annual budget × (1 − funding cut) × (1 + budget growth)</w:t>
            </w:r>
          </w:p>
        </w:tc>
        <w:tc>
          <w:tcPr>
            <w:tcW w:type="dxa" w:w="3515"/>
          </w:tcPr>
          <w:p>
            <w:pPr>
              <w:spacing w:after="20" w:before="20" w:line="240" w:lineRule="auto"/>
            </w:pPr>
            <w:r/>
            <w:r>
              <w:rPr>
                <w:rFonts w:ascii="Calibri" w:hAnsi="Calibri"/>
                <w:b w:val="0"/>
                <w:sz w:val="16"/>
              </w:rPr>
              <w:t>The envelope the plan must fit inside</w:t>
            </w:r>
          </w:p>
        </w:tc>
      </w:tr>
      <w:tr>
        <w:tc>
          <w:tcPr>
            <w:tcW w:type="dxa" w:w="1701"/>
            <w:shd w:val="clear" w:fill="F7F9FB"/>
          </w:tcPr>
          <w:p>
            <w:pPr>
              <w:spacing w:after="20" w:before="20" w:line="240" w:lineRule="auto"/>
            </w:pPr>
            <w:r/>
            <w:r>
              <w:rPr>
                <w:rFonts w:ascii="Calibri" w:hAnsi="Calibri"/>
                <w:b w:val="0"/>
                <w:sz w:val="16"/>
              </w:rPr>
              <w:t>Funding gap</w:t>
            </w:r>
          </w:p>
        </w:tc>
        <w:tc>
          <w:tcPr>
            <w:tcW w:type="dxa" w:w="4535"/>
            <w:shd w:val="clear" w:fill="F7F9FB"/>
          </w:tcPr>
          <w:p>
            <w:pPr>
              <w:spacing w:after="20" w:before="20" w:line="240" w:lineRule="auto"/>
            </w:pPr>
            <w:r/>
            <w:r>
              <w:rPr>
                <w:rFonts w:ascii="Calibri" w:hAnsi="Calibri"/>
                <w:b w:val="0"/>
                <w:sz w:val="16"/>
              </w:rPr>
              <w:t>max(0, consumption − budget available)</w:t>
            </w:r>
          </w:p>
        </w:tc>
        <w:tc>
          <w:tcPr>
            <w:tcW w:type="dxa" w:w="3515"/>
            <w:shd w:val="clear" w:fill="F7F9FB"/>
          </w:tcPr>
          <w:p>
            <w:pPr>
              <w:spacing w:after="20" w:before="20" w:line="240" w:lineRule="auto"/>
            </w:pPr>
            <w:r/>
            <w:r>
              <w:rPr>
                <w:rFonts w:ascii="Calibri" w:hAnsi="Calibri"/>
                <w:b w:val="0"/>
                <w:sz w:val="16"/>
              </w:rPr>
              <w:t>The decision trigger</w:t>
            </w:r>
          </w:p>
        </w:tc>
      </w:tr>
      <w:tr>
        <w:tc>
          <w:tcPr>
            <w:tcW w:type="dxa" w:w="1701"/>
          </w:tcPr>
          <w:p>
            <w:pPr>
              <w:spacing w:after="20" w:before="20" w:line="240" w:lineRule="auto"/>
            </w:pPr>
            <w:r/>
            <w:r>
              <w:rPr>
                <w:rFonts w:ascii="Calibri" w:hAnsi="Calibri"/>
                <w:b w:val="0"/>
                <w:sz w:val="16"/>
              </w:rPr>
              <w:t>Expiry risk</w:t>
            </w:r>
          </w:p>
        </w:tc>
        <w:tc>
          <w:tcPr>
            <w:tcW w:type="dxa" w:w="4535"/>
          </w:tcPr>
          <w:p>
            <w:pPr>
              <w:spacing w:after="20" w:before="20" w:line="240" w:lineRule="auto"/>
            </w:pPr>
            <w:r/>
            <w:r>
              <w:rPr>
                <w:rFonts w:ascii="Calibri" w:hAnsi="Calibri"/>
                <w:b w:val="0"/>
                <w:sz w:val="16"/>
              </w:rPr>
              <w:t>near-expiry share × stock + wastage × consumption + excess stock × (1 − redistribution)</w:t>
            </w:r>
          </w:p>
        </w:tc>
        <w:tc>
          <w:tcPr>
            <w:tcW w:type="dxa" w:w="3515"/>
          </w:tcPr>
          <w:p>
            <w:pPr>
              <w:spacing w:after="20" w:before="20" w:line="240" w:lineRule="auto"/>
            </w:pPr>
            <w:r/>
            <w:r>
              <w:rPr>
                <w:rFonts w:ascii="Calibri" w:hAnsi="Calibri"/>
                <w:b w:val="0"/>
                <w:sz w:val="16"/>
              </w:rPr>
              <w:t>Write-off exposure the policy creates</w:t>
            </w:r>
          </w:p>
        </w:tc>
      </w:tr>
      <w:tr>
        <w:tc>
          <w:tcPr>
            <w:tcW w:type="dxa" w:w="1701"/>
            <w:shd w:val="clear" w:fill="F7F9FB"/>
          </w:tcPr>
          <w:p>
            <w:pPr>
              <w:spacing w:after="20" w:before="20" w:line="240" w:lineRule="auto"/>
            </w:pPr>
            <w:r/>
            <w:r>
              <w:rPr>
                <w:rFonts w:ascii="Calibri" w:hAnsi="Calibri"/>
                <w:b w:val="0"/>
                <w:sz w:val="16"/>
              </w:rPr>
              <w:t>Stock-out risk</w:t>
            </w:r>
          </w:p>
        </w:tc>
        <w:tc>
          <w:tcPr>
            <w:tcW w:type="dxa" w:w="4535"/>
            <w:shd w:val="clear" w:fill="F7F9FB"/>
          </w:tcPr>
          <w:p>
            <w:pPr>
              <w:spacing w:after="20" w:before="20" w:line="240" w:lineRule="auto"/>
            </w:pPr>
            <w:r/>
            <w:r>
              <w:rPr>
                <w:rFonts w:ascii="Calibri" w:hAnsi="Calibri"/>
                <w:b w:val="0"/>
                <w:sz w:val="16"/>
              </w:rPr>
              <w:t>items whose projected cover is below lead time + safety stock</w:t>
            </w:r>
          </w:p>
        </w:tc>
        <w:tc>
          <w:tcPr>
            <w:tcW w:type="dxa" w:w="3515"/>
            <w:shd w:val="clear" w:fill="F7F9FB"/>
          </w:tcPr>
          <w:p>
            <w:pPr>
              <w:spacing w:after="20" w:before="20" w:line="240" w:lineRule="auto"/>
            </w:pPr>
            <w:r/>
            <w:r>
              <w:rPr>
                <w:rFonts w:ascii="Calibri" w:hAnsi="Calibri"/>
                <w:b w:val="0"/>
                <w:sz w:val="16"/>
              </w:rPr>
              <w:t>Service risk by item</w:t>
            </w:r>
          </w:p>
        </w:tc>
      </w:tr>
      <w:tr>
        <w:tc>
          <w:tcPr>
            <w:tcW w:type="dxa" w:w="1701"/>
          </w:tcPr>
          <w:p>
            <w:pPr>
              <w:spacing w:after="20" w:before="20" w:line="240" w:lineRule="auto"/>
            </w:pPr>
            <w:r/>
            <w:r>
              <w:rPr>
                <w:rFonts w:ascii="Calibri" w:hAnsi="Calibri"/>
                <w:b w:val="0"/>
                <w:sz w:val="16"/>
              </w:rPr>
              <w:t>Cost per beneficiary</w:t>
            </w:r>
          </w:p>
        </w:tc>
        <w:tc>
          <w:tcPr>
            <w:tcW w:type="dxa" w:w="4535"/>
          </w:tcPr>
          <w:p>
            <w:pPr>
              <w:spacing w:after="20" w:before="20" w:line="240" w:lineRule="auto"/>
            </w:pPr>
            <w:r/>
            <w:r>
              <w:rPr>
                <w:rFonts w:ascii="Calibri" w:hAnsi="Calibri"/>
                <w:b w:val="0"/>
                <w:sz w:val="16"/>
              </w:rPr>
              <w:t>consumption ÷ beneficiaries</w:t>
            </w:r>
          </w:p>
        </w:tc>
        <w:tc>
          <w:tcPr>
            <w:tcW w:type="dxa" w:w="3515"/>
          </w:tcPr>
          <w:p>
            <w:pPr>
              <w:spacing w:after="20" w:before="20" w:line="240" w:lineRule="auto"/>
            </w:pPr>
            <w:r/>
            <w:r>
              <w:rPr>
                <w:rFonts w:ascii="Calibri" w:hAnsi="Calibri"/>
                <w:b w:val="0"/>
                <w:sz w:val="16"/>
              </w:rPr>
              <w:t>Value for money</w:t>
            </w:r>
          </w:p>
        </w:tc>
      </w:tr>
    </w:tbl>
    <w:p>
      <w:pPr>
        <w:spacing w:after="20"/>
      </w:pPr>
    </w:p>
    <w:p>
      <w:pPr>
        <w:spacing w:after="100"/>
      </w:pPr>
      <w:r>
        <w:rPr>
          <w:b w:val="0"/>
          <w:i/>
          <w:color w:val="595959"/>
          <w:sz w:val="17"/>
        </w:rPr>
        <w:t>All parameters live in one configuration file (parameter set v1.1). The baseline facts — run rate, stock, commitment, budget, beneficiaries, lead time — are recomputed from the data at every refresh; only the assumptions and the scenarios are entered by a person.</w:t>
      </w:r>
    </w:p>
    <w:p>
      <w:pPr>
        <w:pStyle w:val="Heading2"/>
      </w:pPr>
      <w:r>
        <w:t>14.2 The what-if question set</w:t>
      </w:r>
    </w:p>
    <w:p>
      <w:pPr>
        <w:spacing w:after="100"/>
      </w:pPr>
      <w:r>
        <w:rPr>
          <w:b w:val="0"/>
          <w:i w:val="0"/>
        </w:rPr>
        <w:t>Fourteen standing what-if questions sit alongside the descriptive, diagnostic, predictive and prescriptive banks (sheet 06 of the workbook). They are the questions management actually asks when a driver moves.</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trPr>
        <w:tc>
          <w:tcPr>
            <w:tcW w:type="dxa" w:w="737"/>
            <w:shd w:val="clear" w:fill="1F3B57"/>
          </w:tcPr>
          <w:p>
            <w:pPr>
              <w:spacing w:after="20" w:before="20" w:line="240" w:lineRule="auto"/>
            </w:pPr>
            <w:r/>
            <w:r>
              <w:rPr>
                <w:rFonts w:ascii="Calibri" w:hAnsi="Calibri"/>
                <w:b/>
                <w:color w:val="FFFFFF"/>
                <w:sz w:val="15"/>
              </w:rPr>
              <w:t>ID</w:t>
            </w:r>
          </w:p>
        </w:tc>
        <w:tc>
          <w:tcPr>
            <w:tcW w:type="dxa" w:w="3402"/>
            <w:shd w:val="clear" w:fill="1F3B57"/>
          </w:tcPr>
          <w:p>
            <w:pPr>
              <w:spacing w:after="20" w:before="20" w:line="240" w:lineRule="auto"/>
            </w:pPr>
            <w:r/>
            <w:r>
              <w:rPr>
                <w:rFonts w:ascii="Calibri" w:hAnsi="Calibri"/>
                <w:b/>
                <w:color w:val="FFFFFF"/>
                <w:sz w:val="15"/>
              </w:rPr>
              <w:t>What-if question</w:t>
            </w:r>
          </w:p>
        </w:tc>
        <w:tc>
          <w:tcPr>
            <w:tcW w:type="dxa" w:w="2041"/>
            <w:shd w:val="clear" w:fill="1F3B57"/>
          </w:tcPr>
          <w:p>
            <w:pPr>
              <w:spacing w:after="20" w:before="20" w:line="240" w:lineRule="auto"/>
            </w:pPr>
            <w:r/>
            <w:r>
              <w:rPr>
                <w:rFonts w:ascii="Calibri" w:hAnsi="Calibri"/>
                <w:b/>
                <w:color w:val="FFFFFF"/>
                <w:sz w:val="15"/>
              </w:rPr>
              <w:t>Levers used</w:t>
            </w:r>
          </w:p>
        </w:tc>
        <w:tc>
          <w:tcPr>
            <w:tcW w:type="dxa" w:w="2381"/>
            <w:shd w:val="clear" w:fill="1F3B57"/>
          </w:tcPr>
          <w:p>
            <w:pPr>
              <w:spacing w:after="20" w:before="20" w:line="240" w:lineRule="auto"/>
            </w:pPr>
            <w:r/>
            <w:r>
              <w:rPr>
                <w:rFonts w:ascii="Calibri" w:hAnsi="Calibri"/>
                <w:b/>
                <w:color w:val="FFFFFF"/>
                <w:sz w:val="15"/>
              </w:rPr>
              <w:t>Decision it supports</w:t>
            </w:r>
          </w:p>
        </w:tc>
        <w:tc>
          <w:tcPr>
            <w:tcW w:type="dxa" w:w="1191"/>
            <w:shd w:val="clear" w:fill="1F3B57"/>
          </w:tcPr>
          <w:p>
            <w:pPr>
              <w:spacing w:after="20" w:before="20" w:line="240" w:lineRule="auto"/>
            </w:pPr>
            <w:r/>
            <w:r>
              <w:rPr>
                <w:rFonts w:ascii="Calibri" w:hAnsi="Calibri"/>
                <w:b/>
                <w:color w:val="FFFFFF"/>
                <w:sz w:val="15"/>
              </w:rPr>
              <w:t>Owner</w:t>
            </w:r>
          </w:p>
        </w:tc>
      </w:tr>
      <w:tr>
        <w:tc>
          <w:tcPr>
            <w:tcW w:type="dxa" w:w="737"/>
          </w:tcPr>
          <w:p>
            <w:pPr>
              <w:spacing w:after="20" w:before="20" w:line="240" w:lineRule="auto"/>
              <w:jc w:val="center"/>
            </w:pPr>
            <w:r/>
            <w:r>
              <w:rPr>
                <w:rFonts w:ascii="Calibri" w:hAnsi="Calibri"/>
                <w:b w:val="0"/>
                <w:sz w:val="15"/>
              </w:rPr>
              <w:t>WF-01</w:t>
            </w:r>
          </w:p>
        </w:tc>
        <w:tc>
          <w:tcPr>
            <w:tcW w:type="dxa" w:w="3402"/>
          </w:tcPr>
          <w:p>
            <w:pPr>
              <w:spacing w:after="20" w:before="20" w:line="240" w:lineRule="auto"/>
            </w:pPr>
            <w:r/>
            <w:r>
              <w:rPr>
                <w:rFonts w:ascii="Calibri" w:hAnsi="Calibri"/>
                <w:b w:val="0"/>
                <w:sz w:val="15"/>
              </w:rPr>
              <w:t>What happens to consumption, purchasing and the funding gap if demand rises 20%?</w:t>
            </w:r>
          </w:p>
        </w:tc>
        <w:tc>
          <w:tcPr>
            <w:tcW w:type="dxa" w:w="2041"/>
          </w:tcPr>
          <w:p>
            <w:pPr>
              <w:spacing w:after="20" w:before="20" w:line="240" w:lineRule="auto"/>
            </w:pPr>
            <w:r/>
            <w:r>
              <w:rPr>
                <w:rFonts w:ascii="Calibri" w:hAnsi="Calibri"/>
                <w:b w:val="0"/>
                <w:sz w:val="15"/>
              </w:rPr>
              <w:t>Demand growth; run-rate; price and policy parameters</w:t>
            </w:r>
          </w:p>
        </w:tc>
        <w:tc>
          <w:tcPr>
            <w:tcW w:type="dxa" w:w="2381"/>
          </w:tcPr>
          <w:p>
            <w:pPr>
              <w:spacing w:after="20" w:before="20" w:line="240" w:lineRule="auto"/>
            </w:pPr>
            <w:r/>
            <w:r>
              <w:rPr>
                <w:rFonts w:ascii="Calibri" w:hAnsi="Calibri"/>
                <w:b w:val="0"/>
                <w:sz w:val="15"/>
              </w:rPr>
              <w:t>Tests whether the budget and the supply chain can absorb a surge before it happens.</w:t>
            </w:r>
          </w:p>
        </w:tc>
        <w:tc>
          <w:tcPr>
            <w:tcW w:type="dxa" w:w="1191"/>
          </w:tcPr>
          <w:p>
            <w:pPr>
              <w:spacing w:after="20" w:before="20" w:line="240" w:lineRule="auto"/>
            </w:pPr>
            <w:r/>
            <w:r>
              <w:rPr>
                <w:rFonts w:ascii="Calibri" w:hAnsi="Calibri"/>
                <w:b w:val="0"/>
                <w:sz w:val="15"/>
              </w:rPr>
              <w:t>Head of Procurement</w:t>
            </w:r>
          </w:p>
        </w:tc>
      </w:tr>
      <w:tr>
        <w:tc>
          <w:tcPr>
            <w:tcW w:type="dxa" w:w="737"/>
            <w:shd w:val="clear" w:fill="F7F9FB"/>
          </w:tcPr>
          <w:p>
            <w:pPr>
              <w:spacing w:after="20" w:before="20" w:line="240" w:lineRule="auto"/>
              <w:jc w:val="center"/>
            </w:pPr>
            <w:r/>
            <w:r>
              <w:rPr>
                <w:rFonts w:ascii="Calibri" w:hAnsi="Calibri"/>
                <w:b w:val="0"/>
                <w:sz w:val="15"/>
              </w:rPr>
              <w:t>WF-02</w:t>
            </w:r>
          </w:p>
        </w:tc>
        <w:tc>
          <w:tcPr>
            <w:tcW w:type="dxa" w:w="3402"/>
            <w:shd w:val="clear" w:fill="F7F9FB"/>
          </w:tcPr>
          <w:p>
            <w:pPr>
              <w:spacing w:after="20" w:before="20" w:line="240" w:lineRule="auto"/>
            </w:pPr>
            <w:r/>
            <w:r>
              <w:rPr>
                <w:rFonts w:ascii="Calibri" w:hAnsi="Calibri"/>
                <w:b w:val="0"/>
                <w:sz w:val="15"/>
              </w:rPr>
              <w:t>Can the budget absorb a 15% price shock on medicines and consumables?</w:t>
            </w:r>
          </w:p>
        </w:tc>
        <w:tc>
          <w:tcPr>
            <w:tcW w:type="dxa" w:w="2041"/>
            <w:shd w:val="clear" w:fill="F7F9FB"/>
          </w:tcPr>
          <w:p>
            <w:pPr>
              <w:spacing w:after="20" w:before="20" w:line="240" w:lineRule="auto"/>
            </w:pPr>
            <w:r/>
            <w:r>
              <w:rPr>
                <w:rFonts w:ascii="Calibri" w:hAnsi="Calibri"/>
                <w:b w:val="0"/>
                <w:sz w:val="15"/>
              </w:rPr>
              <w:t>Price inflation and shock levers; category weights</w:t>
            </w:r>
          </w:p>
        </w:tc>
        <w:tc>
          <w:tcPr>
            <w:tcW w:type="dxa" w:w="2381"/>
            <w:shd w:val="clear" w:fill="F7F9FB"/>
          </w:tcPr>
          <w:p>
            <w:pPr>
              <w:spacing w:after="20" w:before="20" w:line="240" w:lineRule="auto"/>
            </w:pPr>
            <w:r/>
            <w:r>
              <w:rPr>
                <w:rFonts w:ascii="Calibri" w:hAnsi="Calibri"/>
                <w:b w:val="0"/>
                <w:sz w:val="15"/>
              </w:rPr>
              <w:t>Price is the second-largest driver of the gap and is outside VPT's control.</w:t>
            </w:r>
          </w:p>
        </w:tc>
        <w:tc>
          <w:tcPr>
            <w:tcW w:type="dxa" w:w="1191"/>
            <w:shd w:val="clear" w:fill="F7F9FB"/>
          </w:tcPr>
          <w:p>
            <w:pPr>
              <w:spacing w:after="20" w:before="20" w:line="240" w:lineRule="auto"/>
            </w:pPr>
            <w:r/>
            <w:r>
              <w:rPr>
                <w:rFonts w:ascii="Calibri" w:hAnsi="Calibri"/>
                <w:b w:val="0"/>
                <w:sz w:val="15"/>
              </w:rPr>
              <w:t>Finance &amp; Grants</w:t>
            </w:r>
          </w:p>
        </w:tc>
      </w:tr>
      <w:tr>
        <w:tc>
          <w:tcPr>
            <w:tcW w:type="dxa" w:w="737"/>
          </w:tcPr>
          <w:p>
            <w:pPr>
              <w:spacing w:after="20" w:before="20" w:line="240" w:lineRule="auto"/>
              <w:jc w:val="center"/>
            </w:pPr>
            <w:r/>
            <w:r>
              <w:rPr>
                <w:rFonts w:ascii="Calibri" w:hAnsi="Calibri"/>
                <w:b w:val="0"/>
                <w:sz w:val="15"/>
              </w:rPr>
              <w:t>WF-03</w:t>
            </w:r>
          </w:p>
        </w:tc>
        <w:tc>
          <w:tcPr>
            <w:tcW w:type="dxa" w:w="3402"/>
          </w:tcPr>
          <w:p>
            <w:pPr>
              <w:spacing w:after="20" w:before="20" w:line="240" w:lineRule="auto"/>
            </w:pPr>
            <w:r/>
            <w:r>
              <w:rPr>
                <w:rFonts w:ascii="Calibri" w:hAnsi="Calibri"/>
                <w:b w:val="0"/>
                <w:sz w:val="15"/>
              </w:rPr>
              <w:t>How many items would run out if lead times rose 60% and reliability fell to 70%?</w:t>
            </w:r>
          </w:p>
        </w:tc>
        <w:tc>
          <w:tcPr>
            <w:tcW w:type="dxa" w:w="2041"/>
          </w:tcPr>
          <w:p>
            <w:pPr>
              <w:spacing w:after="20" w:before="20" w:line="240" w:lineRule="auto"/>
            </w:pPr>
            <w:r/>
            <w:r>
              <w:rPr>
                <w:rFonts w:ascii="Calibri" w:hAnsi="Calibri"/>
                <w:b w:val="0"/>
                <w:sz w:val="15"/>
              </w:rPr>
              <w:t>Lead-time multiplier; supplier reliability; per-item cover</w:t>
            </w:r>
          </w:p>
        </w:tc>
        <w:tc>
          <w:tcPr>
            <w:tcW w:type="dxa" w:w="2381"/>
          </w:tcPr>
          <w:p>
            <w:pPr>
              <w:spacing w:after="20" w:before="20" w:line="240" w:lineRule="auto"/>
            </w:pPr>
            <w:r/>
            <w:r>
              <w:rPr>
                <w:rFonts w:ascii="Calibri" w:hAnsi="Calibri"/>
                <w:b w:val="0"/>
                <w:sz w:val="15"/>
              </w:rPr>
              <w:t>Supply disruption is the fastest route from a good plan to a clinical stock-out.</w:t>
            </w:r>
          </w:p>
        </w:tc>
        <w:tc>
          <w:tcPr>
            <w:tcW w:type="dxa" w:w="1191"/>
          </w:tcPr>
          <w:p>
            <w:pPr>
              <w:spacing w:after="20" w:before="20" w:line="240" w:lineRule="auto"/>
            </w:pPr>
            <w:r/>
            <w:r>
              <w:rPr>
                <w:rFonts w:ascii="Calibri" w:hAnsi="Calibri"/>
                <w:b w:val="0"/>
                <w:sz w:val="15"/>
              </w:rPr>
              <w:t>Procurement</w:t>
            </w:r>
          </w:p>
        </w:tc>
      </w:tr>
      <w:tr>
        <w:tc>
          <w:tcPr>
            <w:tcW w:type="dxa" w:w="737"/>
            <w:shd w:val="clear" w:fill="F7F9FB"/>
          </w:tcPr>
          <w:p>
            <w:pPr>
              <w:spacing w:after="20" w:before="20" w:line="240" w:lineRule="auto"/>
              <w:jc w:val="center"/>
            </w:pPr>
            <w:r/>
            <w:r>
              <w:rPr>
                <w:rFonts w:ascii="Calibri" w:hAnsi="Calibri"/>
                <w:b w:val="0"/>
                <w:sz w:val="15"/>
              </w:rPr>
              <w:t>WF-04</w:t>
            </w:r>
          </w:p>
        </w:tc>
        <w:tc>
          <w:tcPr>
            <w:tcW w:type="dxa" w:w="3402"/>
            <w:shd w:val="clear" w:fill="F7F9FB"/>
          </w:tcPr>
          <w:p>
            <w:pPr>
              <w:spacing w:after="20" w:before="20" w:line="240" w:lineRule="auto"/>
            </w:pPr>
            <w:r/>
            <w:r>
              <w:rPr>
                <w:rFonts w:ascii="Calibri" w:hAnsi="Calibri"/>
                <w:b w:val="0"/>
                <w:sz w:val="15"/>
              </w:rPr>
              <w:t>What is the exposure if a grant instalment is cut by 20%?</w:t>
            </w:r>
          </w:p>
        </w:tc>
        <w:tc>
          <w:tcPr>
            <w:tcW w:type="dxa" w:w="2041"/>
            <w:shd w:val="clear" w:fill="F7F9FB"/>
          </w:tcPr>
          <w:p>
            <w:pPr>
              <w:spacing w:after="20" w:before="20" w:line="240" w:lineRule="auto"/>
            </w:pPr>
            <w:r/>
            <w:r>
              <w:rPr>
                <w:rFonts w:ascii="Calibri" w:hAnsi="Calibri"/>
                <w:b w:val="0"/>
                <w:sz w:val="15"/>
              </w:rPr>
              <w:t>Funding cut lever; consumption and budget</w:t>
            </w:r>
          </w:p>
        </w:tc>
        <w:tc>
          <w:tcPr>
            <w:tcW w:type="dxa" w:w="2381"/>
            <w:shd w:val="clear" w:fill="F7F9FB"/>
          </w:tcPr>
          <w:p>
            <w:pPr>
              <w:spacing w:after="20" w:before="20" w:line="240" w:lineRule="auto"/>
            </w:pPr>
            <w:r/>
            <w:r>
              <w:rPr>
                <w:rFonts w:ascii="Calibri" w:hAnsi="Calibri"/>
                <w:b w:val="0"/>
                <w:sz w:val="15"/>
              </w:rPr>
              <w:t>Funding shocks are decided elsewhere but must be planned for here.</w:t>
            </w:r>
          </w:p>
        </w:tc>
        <w:tc>
          <w:tcPr>
            <w:tcW w:type="dxa" w:w="1191"/>
            <w:shd w:val="clear" w:fill="F7F9FB"/>
          </w:tcPr>
          <w:p>
            <w:pPr>
              <w:spacing w:after="20" w:before="20" w:line="240" w:lineRule="auto"/>
            </w:pPr>
            <w:r/>
            <w:r>
              <w:rPr>
                <w:rFonts w:ascii="Calibri" w:hAnsi="Calibri"/>
                <w:b w:val="0"/>
                <w:sz w:val="15"/>
              </w:rPr>
              <w:t>Finance &amp; Grants</w:t>
            </w:r>
          </w:p>
        </w:tc>
      </w:tr>
      <w:tr>
        <w:tc>
          <w:tcPr>
            <w:tcW w:type="dxa" w:w="737"/>
          </w:tcPr>
          <w:p>
            <w:pPr>
              <w:spacing w:after="20" w:before="20" w:line="240" w:lineRule="auto"/>
              <w:jc w:val="center"/>
            </w:pPr>
            <w:r/>
            <w:r>
              <w:rPr>
                <w:rFonts w:ascii="Calibri" w:hAnsi="Calibri"/>
                <w:b w:val="0"/>
                <w:sz w:val="15"/>
              </w:rPr>
              <w:t>WF-05</w:t>
            </w:r>
          </w:p>
        </w:tc>
        <w:tc>
          <w:tcPr>
            <w:tcW w:type="dxa" w:w="3402"/>
          </w:tcPr>
          <w:p>
            <w:pPr>
              <w:spacing w:after="20" w:before="20" w:line="240" w:lineRule="auto"/>
            </w:pPr>
            <w:r/>
            <w:r>
              <w:rPr>
                <w:rFonts w:ascii="Calibri" w:hAnsi="Calibri"/>
                <w:b w:val="0"/>
                <w:sz w:val="15"/>
              </w:rPr>
              <w:t>How much cash is released if we move from 90 to 60 days of cover?</w:t>
            </w:r>
          </w:p>
        </w:tc>
        <w:tc>
          <w:tcPr>
            <w:tcW w:type="dxa" w:w="2041"/>
          </w:tcPr>
          <w:p>
            <w:pPr>
              <w:spacing w:after="20" w:before="20" w:line="240" w:lineRule="auto"/>
            </w:pPr>
            <w:r/>
            <w:r>
              <w:rPr>
                <w:rFonts w:ascii="Calibri" w:hAnsi="Calibri"/>
                <w:b w:val="0"/>
                <w:sz w:val="15"/>
              </w:rPr>
              <w:t>Target cover; safety stock; excess stock release</w:t>
            </w:r>
          </w:p>
        </w:tc>
        <w:tc>
          <w:tcPr>
            <w:tcW w:type="dxa" w:w="2381"/>
          </w:tcPr>
          <w:p>
            <w:pPr>
              <w:spacing w:after="20" w:before="20" w:line="240" w:lineRule="auto"/>
            </w:pPr>
            <w:r/>
            <w:r>
              <w:rPr>
                <w:rFonts w:ascii="Calibri" w:hAnsi="Calibri"/>
                <w:b w:val="0"/>
                <w:sz w:val="15"/>
              </w:rPr>
              <w:t>Cover policy is the most direct lever management controls.</w:t>
            </w:r>
          </w:p>
        </w:tc>
        <w:tc>
          <w:tcPr>
            <w:tcW w:type="dxa" w:w="1191"/>
          </w:tcPr>
          <w:p>
            <w:pPr>
              <w:spacing w:after="20" w:before="20" w:line="240" w:lineRule="auto"/>
            </w:pPr>
            <w:r/>
            <w:r>
              <w:rPr>
                <w:rFonts w:ascii="Calibri" w:hAnsi="Calibri"/>
                <w:b w:val="0"/>
                <w:sz w:val="15"/>
              </w:rPr>
              <w:t>Head of Procurement</w:t>
            </w:r>
          </w:p>
        </w:tc>
      </w:tr>
      <w:tr>
        <w:tc>
          <w:tcPr>
            <w:tcW w:type="dxa" w:w="737"/>
            <w:shd w:val="clear" w:fill="F7F9FB"/>
          </w:tcPr>
          <w:p>
            <w:pPr>
              <w:spacing w:after="20" w:before="20" w:line="240" w:lineRule="auto"/>
              <w:jc w:val="center"/>
            </w:pPr>
            <w:r/>
            <w:r>
              <w:rPr>
                <w:rFonts w:ascii="Calibri" w:hAnsi="Calibri"/>
                <w:b w:val="0"/>
                <w:sz w:val="15"/>
              </w:rPr>
              <w:t>WF-06</w:t>
            </w:r>
          </w:p>
        </w:tc>
        <w:tc>
          <w:tcPr>
            <w:tcW w:type="dxa" w:w="3402"/>
            <w:shd w:val="clear" w:fill="F7F9FB"/>
          </w:tcPr>
          <w:p>
            <w:pPr>
              <w:spacing w:after="20" w:before="20" w:line="240" w:lineRule="auto"/>
            </w:pPr>
            <w:r/>
            <w:r>
              <w:rPr>
                <w:rFonts w:ascii="Calibri" w:hAnsi="Calibri"/>
                <w:b w:val="0"/>
                <w:sz w:val="15"/>
              </w:rPr>
              <w:t>What is the effect of a framework contract at 8% below current prices?</w:t>
            </w:r>
          </w:p>
        </w:tc>
        <w:tc>
          <w:tcPr>
            <w:tcW w:type="dxa" w:w="2041"/>
            <w:shd w:val="clear" w:fill="F7F9FB"/>
          </w:tcPr>
          <w:p>
            <w:pPr>
              <w:spacing w:after="20" w:before="20" w:line="240" w:lineRule="auto"/>
            </w:pPr>
            <w:r/>
            <w:r>
              <w:rPr>
                <w:rFonts w:ascii="Calibri" w:hAnsi="Calibri"/>
                <w:b w:val="0"/>
                <w:sz w:val="15"/>
              </w:rPr>
              <w:t>Bulk discount; lead time; supplier reliability</w:t>
            </w:r>
          </w:p>
        </w:tc>
        <w:tc>
          <w:tcPr>
            <w:tcW w:type="dxa" w:w="2381"/>
            <w:shd w:val="clear" w:fill="F7F9FB"/>
          </w:tcPr>
          <w:p>
            <w:pPr>
              <w:spacing w:after="20" w:before="20" w:line="240" w:lineRule="auto"/>
            </w:pPr>
            <w:r/>
            <w:r>
              <w:rPr>
                <w:rFonts w:ascii="Calibri" w:hAnsi="Calibri"/>
                <w:b w:val="0"/>
                <w:sz w:val="15"/>
              </w:rPr>
              <w:t>Tests whether commercial action alone can close the gap.</w:t>
            </w:r>
          </w:p>
        </w:tc>
        <w:tc>
          <w:tcPr>
            <w:tcW w:type="dxa" w:w="1191"/>
            <w:shd w:val="clear" w:fill="F7F9FB"/>
          </w:tcPr>
          <w:p>
            <w:pPr>
              <w:spacing w:after="20" w:before="20" w:line="240" w:lineRule="auto"/>
            </w:pPr>
            <w:r/>
            <w:r>
              <w:rPr>
                <w:rFonts w:ascii="Calibri" w:hAnsi="Calibri"/>
                <w:b w:val="0"/>
                <w:sz w:val="15"/>
              </w:rPr>
              <w:t>Procurement</w:t>
            </w:r>
          </w:p>
        </w:tc>
      </w:tr>
      <w:tr>
        <w:tc>
          <w:tcPr>
            <w:tcW w:type="dxa" w:w="737"/>
          </w:tcPr>
          <w:p>
            <w:pPr>
              <w:spacing w:after="20" w:before="20" w:line="240" w:lineRule="auto"/>
              <w:jc w:val="center"/>
            </w:pPr>
            <w:r/>
            <w:r>
              <w:rPr>
                <w:rFonts w:ascii="Calibri" w:hAnsi="Calibri"/>
                <w:b w:val="0"/>
                <w:sz w:val="15"/>
              </w:rPr>
              <w:t>WF-07</w:t>
            </w:r>
          </w:p>
        </w:tc>
        <w:tc>
          <w:tcPr>
            <w:tcW w:type="dxa" w:w="3402"/>
          </w:tcPr>
          <w:p>
            <w:pPr>
              <w:spacing w:after="20" w:before="20" w:line="240" w:lineRule="auto"/>
            </w:pPr>
            <w:r/>
            <w:r>
              <w:rPr>
                <w:rFonts w:ascii="Calibri" w:hAnsi="Calibri"/>
                <w:b w:val="0"/>
                <w:sz w:val="15"/>
              </w:rPr>
              <w:t>What is the combined downside if everything moves against us at once?</w:t>
            </w:r>
          </w:p>
        </w:tc>
        <w:tc>
          <w:tcPr>
            <w:tcW w:type="dxa" w:w="2041"/>
          </w:tcPr>
          <w:p>
            <w:pPr>
              <w:spacing w:after="20" w:before="20" w:line="240" w:lineRule="auto"/>
            </w:pPr>
            <w:r/>
            <w:r>
              <w:rPr>
                <w:rFonts w:ascii="Calibri" w:hAnsi="Calibri"/>
                <w:b w:val="0"/>
                <w:sz w:val="15"/>
              </w:rPr>
              <w:t>Demand, price, lead time, reliability and funding levers together</w:t>
            </w:r>
          </w:p>
        </w:tc>
        <w:tc>
          <w:tcPr>
            <w:tcW w:type="dxa" w:w="2381"/>
          </w:tcPr>
          <w:p>
            <w:pPr>
              <w:spacing w:after="20" w:before="20" w:line="240" w:lineRule="auto"/>
            </w:pPr>
            <w:r/>
            <w:r>
              <w:rPr>
                <w:rFonts w:ascii="Calibri" w:hAnsi="Calibri"/>
                <w:b w:val="0"/>
                <w:sz w:val="15"/>
              </w:rPr>
              <w:t>Single shocks are survivable; correlated shocks are not.</w:t>
            </w:r>
          </w:p>
        </w:tc>
        <w:tc>
          <w:tcPr>
            <w:tcW w:type="dxa" w:w="1191"/>
          </w:tcPr>
          <w:p>
            <w:pPr>
              <w:spacing w:after="20" w:before="20" w:line="240" w:lineRule="auto"/>
            </w:pPr>
            <w:r/>
            <w:r>
              <w:rPr>
                <w:rFonts w:ascii="Calibri" w:hAnsi="Calibri"/>
                <w:b w:val="0"/>
                <w:sz w:val="15"/>
              </w:rPr>
              <w:t>Business owner</w:t>
            </w:r>
          </w:p>
        </w:tc>
      </w:tr>
      <w:tr>
        <w:tc>
          <w:tcPr>
            <w:tcW w:type="dxa" w:w="737"/>
            <w:shd w:val="clear" w:fill="F7F9FB"/>
          </w:tcPr>
          <w:p>
            <w:pPr>
              <w:spacing w:after="20" w:before="20" w:line="240" w:lineRule="auto"/>
              <w:jc w:val="center"/>
            </w:pPr>
            <w:r/>
            <w:r>
              <w:rPr>
                <w:rFonts w:ascii="Calibri" w:hAnsi="Calibri"/>
                <w:b w:val="0"/>
                <w:sz w:val="15"/>
              </w:rPr>
              <w:t>WF-08</w:t>
            </w:r>
          </w:p>
        </w:tc>
        <w:tc>
          <w:tcPr>
            <w:tcW w:type="dxa" w:w="3402"/>
            <w:shd w:val="clear" w:fill="F7F9FB"/>
          </w:tcPr>
          <w:p>
            <w:pPr>
              <w:spacing w:after="20" w:before="20" w:line="240" w:lineRule="auto"/>
            </w:pPr>
            <w:r/>
            <w:r>
              <w:rPr>
                <w:rFonts w:ascii="Calibri" w:hAnsi="Calibri"/>
                <w:b w:val="0"/>
                <w:sz w:val="15"/>
              </w:rPr>
              <w:t>How much of that downside can we absorb with the levers we control?</w:t>
            </w:r>
          </w:p>
        </w:tc>
        <w:tc>
          <w:tcPr>
            <w:tcW w:type="dxa" w:w="2041"/>
            <w:shd w:val="clear" w:fill="F7F9FB"/>
          </w:tcPr>
          <w:p>
            <w:pPr>
              <w:spacing w:after="20" w:before="20" w:line="240" w:lineRule="auto"/>
            </w:pPr>
            <w:r/>
            <w:r>
              <w:rPr>
                <w:rFonts w:ascii="Calibri" w:hAnsi="Calibri"/>
                <w:b w:val="0"/>
                <w:sz w:val="15"/>
              </w:rPr>
              <w:t>Policy and commercial levers applied on top of the downside</w:t>
            </w:r>
          </w:p>
        </w:tc>
        <w:tc>
          <w:tcPr>
            <w:tcW w:type="dxa" w:w="2381"/>
            <w:shd w:val="clear" w:fill="F7F9FB"/>
          </w:tcPr>
          <w:p>
            <w:pPr>
              <w:spacing w:after="20" w:before="20" w:line="240" w:lineRule="auto"/>
            </w:pPr>
            <w:r/>
            <w:r>
              <w:rPr>
                <w:rFonts w:ascii="Calibri" w:hAnsi="Calibri"/>
                <w:b w:val="0"/>
                <w:sz w:val="15"/>
              </w:rPr>
              <w:t>Separates the unavoidable part of a shock from the part management can manage.</w:t>
            </w:r>
          </w:p>
        </w:tc>
        <w:tc>
          <w:tcPr>
            <w:tcW w:type="dxa" w:w="1191"/>
            <w:shd w:val="clear" w:fill="F7F9FB"/>
          </w:tcPr>
          <w:p>
            <w:pPr>
              <w:spacing w:after="20" w:before="20" w:line="240" w:lineRule="auto"/>
            </w:pPr>
            <w:r/>
            <w:r>
              <w:rPr>
                <w:rFonts w:ascii="Calibri" w:hAnsi="Calibri"/>
                <w:b w:val="0"/>
                <w:sz w:val="15"/>
              </w:rPr>
              <w:t>Business owner</w:t>
            </w:r>
          </w:p>
        </w:tc>
      </w:tr>
      <w:tr>
        <w:tc>
          <w:tcPr>
            <w:tcW w:type="dxa" w:w="737"/>
          </w:tcPr>
          <w:p>
            <w:pPr>
              <w:spacing w:after="20" w:before="20" w:line="240" w:lineRule="auto"/>
              <w:jc w:val="center"/>
            </w:pPr>
            <w:r/>
            <w:r>
              <w:rPr>
                <w:rFonts w:ascii="Calibri" w:hAnsi="Calibri"/>
                <w:b w:val="0"/>
                <w:sz w:val="15"/>
              </w:rPr>
              <w:t>WF-09</w:t>
            </w:r>
          </w:p>
        </w:tc>
        <w:tc>
          <w:tcPr>
            <w:tcW w:type="dxa" w:w="3402"/>
          </w:tcPr>
          <w:p>
            <w:pPr>
              <w:spacing w:after="20" w:before="20" w:line="240" w:lineRule="auto"/>
            </w:pPr>
            <w:r/>
            <w:r>
              <w:rPr>
                <w:rFonts w:ascii="Calibri" w:hAnsi="Calibri"/>
                <w:b w:val="0"/>
                <w:sz w:val="15"/>
              </w:rPr>
              <w:t>Which parameter should we watch most closely?</w:t>
            </w:r>
          </w:p>
        </w:tc>
        <w:tc>
          <w:tcPr>
            <w:tcW w:type="dxa" w:w="2041"/>
          </w:tcPr>
          <w:p>
            <w:pPr>
              <w:spacing w:after="20" w:before="20" w:line="240" w:lineRule="auto"/>
            </w:pPr>
            <w:r/>
            <w:r>
              <w:rPr>
                <w:rFonts w:ascii="Calibri" w:hAnsi="Calibri"/>
                <w:b w:val="0"/>
                <w:sz w:val="15"/>
              </w:rPr>
              <w:t>Sensitivity ranges and all model outputs</w:t>
            </w:r>
          </w:p>
        </w:tc>
        <w:tc>
          <w:tcPr>
            <w:tcW w:type="dxa" w:w="2381"/>
          </w:tcPr>
          <w:p>
            <w:pPr>
              <w:spacing w:after="20" w:before="20" w:line="240" w:lineRule="auto"/>
            </w:pPr>
            <w:r/>
            <w:r>
              <w:rPr>
                <w:rFonts w:ascii="Calibri" w:hAnsi="Calibri"/>
                <w:b w:val="0"/>
                <w:sz w:val="15"/>
              </w:rPr>
              <w:t>Monitoring effort should follow the size of the effect, not the ease of measurement.</w:t>
            </w:r>
          </w:p>
        </w:tc>
        <w:tc>
          <w:tcPr>
            <w:tcW w:type="dxa" w:w="1191"/>
          </w:tcPr>
          <w:p>
            <w:pPr>
              <w:spacing w:after="20" w:before="20" w:line="240" w:lineRule="auto"/>
            </w:pPr>
            <w:r/>
            <w:r>
              <w:rPr>
                <w:rFonts w:ascii="Calibri" w:hAnsi="Calibri"/>
                <w:b w:val="0"/>
                <w:sz w:val="15"/>
              </w:rPr>
              <w:t>Business analyst</w:t>
            </w:r>
          </w:p>
        </w:tc>
      </w:tr>
      <w:tr>
        <w:tc>
          <w:tcPr>
            <w:tcW w:type="dxa" w:w="737"/>
            <w:shd w:val="clear" w:fill="F7F9FB"/>
          </w:tcPr>
          <w:p>
            <w:pPr>
              <w:spacing w:after="20" w:before="20" w:line="240" w:lineRule="auto"/>
              <w:jc w:val="center"/>
            </w:pPr>
            <w:r/>
            <w:r>
              <w:rPr>
                <w:rFonts w:ascii="Calibri" w:hAnsi="Calibri"/>
                <w:b w:val="0"/>
                <w:sz w:val="15"/>
              </w:rPr>
              <w:t>WF-10</w:t>
            </w:r>
          </w:p>
        </w:tc>
        <w:tc>
          <w:tcPr>
            <w:tcW w:type="dxa" w:w="3402"/>
            <w:shd w:val="clear" w:fill="F7F9FB"/>
          </w:tcPr>
          <w:p>
            <w:pPr>
              <w:spacing w:after="20" w:before="20" w:line="240" w:lineRule="auto"/>
            </w:pPr>
            <w:r/>
            <w:r>
              <w:rPr>
                <w:rFonts w:ascii="Calibri" w:hAnsi="Calibri"/>
                <w:b w:val="0"/>
                <w:sz w:val="15"/>
              </w:rPr>
              <w:t>How far can price or demand move before the budget breaks?</w:t>
            </w:r>
          </w:p>
        </w:tc>
        <w:tc>
          <w:tcPr>
            <w:tcW w:type="dxa" w:w="2041"/>
            <w:shd w:val="clear" w:fill="F7F9FB"/>
          </w:tcPr>
          <w:p>
            <w:pPr>
              <w:spacing w:after="20" w:before="20" w:line="240" w:lineRule="auto"/>
            </w:pPr>
            <w:r/>
            <w:r>
              <w:rPr>
                <w:rFonts w:ascii="Calibri" w:hAnsi="Calibri"/>
                <w:b w:val="0"/>
                <w:sz w:val="15"/>
              </w:rPr>
              <w:t>Break-even solve on price inflation and demand growth</w:t>
            </w:r>
          </w:p>
        </w:tc>
        <w:tc>
          <w:tcPr>
            <w:tcW w:type="dxa" w:w="2381"/>
            <w:shd w:val="clear" w:fill="F7F9FB"/>
          </w:tcPr>
          <w:p>
            <w:pPr>
              <w:spacing w:after="20" w:before="20" w:line="240" w:lineRule="auto"/>
            </w:pPr>
            <w:r/>
            <w:r>
              <w:rPr>
                <w:rFonts w:ascii="Calibri" w:hAnsi="Calibri"/>
                <w:b w:val="0"/>
                <w:sz w:val="15"/>
              </w:rPr>
              <w:t>Converts the budget position into a tolerance the business can watch.</w:t>
            </w:r>
          </w:p>
        </w:tc>
        <w:tc>
          <w:tcPr>
            <w:tcW w:type="dxa" w:w="1191"/>
            <w:shd w:val="clear" w:fill="F7F9FB"/>
          </w:tcPr>
          <w:p>
            <w:pPr>
              <w:spacing w:after="20" w:before="20" w:line="240" w:lineRule="auto"/>
            </w:pPr>
            <w:r/>
            <w:r>
              <w:rPr>
                <w:rFonts w:ascii="Calibri" w:hAnsi="Calibri"/>
                <w:b w:val="0"/>
                <w:sz w:val="15"/>
              </w:rPr>
              <w:t>Finance &amp; Grants</w:t>
            </w:r>
          </w:p>
        </w:tc>
      </w:tr>
      <w:tr>
        <w:tc>
          <w:tcPr>
            <w:tcW w:type="dxa" w:w="737"/>
          </w:tcPr>
          <w:p>
            <w:pPr>
              <w:spacing w:after="20" w:before="20" w:line="240" w:lineRule="auto"/>
              <w:jc w:val="center"/>
            </w:pPr>
            <w:r/>
            <w:r>
              <w:rPr>
                <w:rFonts w:ascii="Calibri" w:hAnsi="Calibri"/>
                <w:b w:val="0"/>
                <w:sz w:val="15"/>
              </w:rPr>
              <w:t>WF-11</w:t>
            </w:r>
          </w:p>
        </w:tc>
        <w:tc>
          <w:tcPr>
            <w:tcW w:type="dxa" w:w="3402"/>
          </w:tcPr>
          <w:p>
            <w:pPr>
              <w:spacing w:after="20" w:before="20" w:line="240" w:lineRule="auto"/>
            </w:pPr>
            <w:r/>
            <w:r>
              <w:rPr>
                <w:rFonts w:ascii="Calibri" w:hAnsi="Calibri"/>
                <w:b w:val="0"/>
                <w:sz w:val="15"/>
              </w:rPr>
              <w:t>What is the right stock-cover policy?</w:t>
            </w:r>
          </w:p>
        </w:tc>
        <w:tc>
          <w:tcPr>
            <w:tcW w:type="dxa" w:w="2041"/>
          </w:tcPr>
          <w:p>
            <w:pPr>
              <w:spacing w:after="20" w:before="20" w:line="240" w:lineRule="auto"/>
            </w:pPr>
            <w:r/>
            <w:r>
              <w:rPr>
                <w:rFonts w:ascii="Calibri" w:hAnsi="Calibri"/>
                <w:b w:val="0"/>
                <w:sz w:val="15"/>
              </w:rPr>
              <w:t>Cover trade-off curve (30–210 days)</w:t>
            </w:r>
          </w:p>
        </w:tc>
        <w:tc>
          <w:tcPr>
            <w:tcW w:type="dxa" w:w="2381"/>
          </w:tcPr>
          <w:p>
            <w:pPr>
              <w:spacing w:after="20" w:before="20" w:line="240" w:lineRule="auto"/>
            </w:pPr>
            <w:r/>
            <w:r>
              <w:rPr>
                <w:rFonts w:ascii="Calibri" w:hAnsi="Calibri"/>
                <w:b w:val="0"/>
                <w:sz w:val="15"/>
              </w:rPr>
              <w:t>Cover is a trade-off between working capital, purchase cost and stock-out risk.</w:t>
            </w:r>
          </w:p>
        </w:tc>
        <w:tc>
          <w:tcPr>
            <w:tcW w:type="dxa" w:w="1191"/>
          </w:tcPr>
          <w:p>
            <w:pPr>
              <w:spacing w:after="20" w:before="20" w:line="240" w:lineRule="auto"/>
            </w:pPr>
            <w:r/>
            <w:r>
              <w:rPr>
                <w:rFonts w:ascii="Calibri" w:hAnsi="Calibri"/>
                <w:b w:val="0"/>
                <w:sz w:val="15"/>
              </w:rPr>
              <w:t>Head of Procurement</w:t>
            </w:r>
          </w:p>
        </w:tc>
      </w:tr>
      <w:tr>
        <w:tc>
          <w:tcPr>
            <w:tcW w:type="dxa" w:w="737"/>
            <w:shd w:val="clear" w:fill="F7F9FB"/>
          </w:tcPr>
          <w:p>
            <w:pPr>
              <w:spacing w:after="20" w:before="20" w:line="240" w:lineRule="auto"/>
              <w:jc w:val="center"/>
            </w:pPr>
            <w:r/>
            <w:r>
              <w:rPr>
                <w:rFonts w:ascii="Calibri" w:hAnsi="Calibri"/>
                <w:b w:val="0"/>
                <w:sz w:val="15"/>
              </w:rPr>
              <w:t>WF-12</w:t>
            </w:r>
          </w:p>
        </w:tc>
        <w:tc>
          <w:tcPr>
            <w:tcW w:type="dxa" w:w="3402"/>
            <w:shd w:val="clear" w:fill="F7F9FB"/>
          </w:tcPr>
          <w:p>
            <w:pPr>
              <w:spacing w:after="20" w:before="20" w:line="240" w:lineRule="auto"/>
            </w:pPr>
            <w:r/>
            <w:r>
              <w:rPr>
                <w:rFonts w:ascii="Calibri" w:hAnsi="Calibri"/>
                <w:b w:val="0"/>
                <w:sz w:val="15"/>
              </w:rPr>
              <w:t>Which combination of demand growth and inflation puts us over budget?</w:t>
            </w:r>
          </w:p>
        </w:tc>
        <w:tc>
          <w:tcPr>
            <w:tcW w:type="dxa" w:w="2041"/>
            <w:shd w:val="clear" w:fill="F7F9FB"/>
          </w:tcPr>
          <w:p>
            <w:pPr>
              <w:spacing w:after="20" w:before="20" w:line="240" w:lineRule="auto"/>
            </w:pPr>
            <w:r/>
            <w:r>
              <w:rPr>
                <w:rFonts w:ascii="Calibri" w:hAnsi="Calibri"/>
                <w:b w:val="0"/>
                <w:sz w:val="15"/>
              </w:rPr>
              <w:t>Two-way table over demand and price</w:t>
            </w:r>
          </w:p>
        </w:tc>
        <w:tc>
          <w:tcPr>
            <w:tcW w:type="dxa" w:w="2381"/>
            <w:shd w:val="clear" w:fill="F7F9FB"/>
          </w:tcPr>
          <w:p>
            <w:pPr>
              <w:spacing w:after="20" w:before="20" w:line="240" w:lineRule="auto"/>
            </w:pPr>
            <w:r/>
            <w:r>
              <w:rPr>
                <w:rFonts w:ascii="Calibri" w:hAnsi="Calibri"/>
                <w:b w:val="0"/>
                <w:sz w:val="15"/>
              </w:rPr>
              <w:t>Gives a map rather than a single point, so unplanned combinations are visible.</w:t>
            </w:r>
          </w:p>
        </w:tc>
        <w:tc>
          <w:tcPr>
            <w:tcW w:type="dxa" w:w="1191"/>
            <w:shd w:val="clear" w:fill="F7F9FB"/>
          </w:tcPr>
          <w:p>
            <w:pPr>
              <w:spacing w:after="20" w:before="20" w:line="240" w:lineRule="auto"/>
            </w:pPr>
            <w:r/>
            <w:r>
              <w:rPr>
                <w:rFonts w:ascii="Calibri" w:hAnsi="Calibri"/>
                <w:b w:val="0"/>
                <w:sz w:val="15"/>
              </w:rPr>
              <w:t>Finance &amp; Grants</w:t>
            </w:r>
          </w:p>
        </w:tc>
      </w:tr>
      <w:tr>
        <w:tc>
          <w:tcPr>
            <w:tcW w:type="dxa" w:w="737"/>
          </w:tcPr>
          <w:p>
            <w:pPr>
              <w:spacing w:after="20" w:before="20" w:line="240" w:lineRule="auto"/>
              <w:jc w:val="center"/>
            </w:pPr>
            <w:r/>
            <w:r>
              <w:rPr>
                <w:rFonts w:ascii="Calibri" w:hAnsi="Calibri"/>
                <w:b w:val="0"/>
                <w:sz w:val="15"/>
              </w:rPr>
              <w:t>WF-13</w:t>
            </w:r>
          </w:p>
        </w:tc>
        <w:tc>
          <w:tcPr>
            <w:tcW w:type="dxa" w:w="3402"/>
          </w:tcPr>
          <w:p>
            <w:pPr>
              <w:spacing w:after="20" w:before="20" w:line="240" w:lineRule="auto"/>
            </w:pPr>
            <w:r/>
            <w:r>
              <w:rPr>
                <w:rFonts w:ascii="Calibri" w:hAnsi="Calibri"/>
                <w:b w:val="0"/>
                <w:sz w:val="15"/>
              </w:rPr>
              <w:t>What if a project ends earlier than planned, or a new project starts mid-year?</w:t>
            </w:r>
          </w:p>
        </w:tc>
        <w:tc>
          <w:tcPr>
            <w:tcW w:type="dxa" w:w="2041"/>
          </w:tcPr>
          <w:p>
            <w:pPr>
              <w:spacing w:after="20" w:before="20" w:line="240" w:lineRule="auto"/>
            </w:pPr>
            <w:r/>
            <w:r>
              <w:rPr>
                <w:rFonts w:ascii="Calibri" w:hAnsi="Calibri"/>
                <w:b w:val="0"/>
                <w:sz w:val="15"/>
              </w:rPr>
              <w:t>Activity factor; project start and end dates</w:t>
            </w:r>
          </w:p>
        </w:tc>
        <w:tc>
          <w:tcPr>
            <w:tcW w:type="dxa" w:w="2381"/>
          </w:tcPr>
          <w:p>
            <w:pPr>
              <w:spacing w:after="20" w:before="20" w:line="240" w:lineRule="auto"/>
            </w:pPr>
            <w:r/>
            <w:r>
              <w:rPr>
                <w:rFonts w:ascii="Calibri" w:hAnsi="Calibri"/>
                <w:b w:val="0"/>
                <w:sz w:val="15"/>
              </w:rPr>
              <w:t>Portfolio changes move every projection; they are not gradual.</w:t>
            </w:r>
          </w:p>
        </w:tc>
        <w:tc>
          <w:tcPr>
            <w:tcW w:type="dxa" w:w="1191"/>
          </w:tcPr>
          <w:p>
            <w:pPr>
              <w:spacing w:after="20" w:before="20" w:line="240" w:lineRule="auto"/>
            </w:pPr>
            <w:r/>
            <w:r>
              <w:rPr>
                <w:rFonts w:ascii="Calibri" w:hAnsi="Calibri"/>
                <w:b w:val="0"/>
                <w:sz w:val="15"/>
              </w:rPr>
              <w:t>Programme</w:t>
            </w:r>
          </w:p>
        </w:tc>
      </w:tr>
      <w:tr>
        <w:tc>
          <w:tcPr>
            <w:tcW w:type="dxa" w:w="737"/>
            <w:shd w:val="clear" w:fill="F7F9FB"/>
          </w:tcPr>
          <w:p>
            <w:pPr>
              <w:spacing w:after="20" w:before="20" w:line="240" w:lineRule="auto"/>
              <w:jc w:val="center"/>
            </w:pPr>
            <w:r/>
            <w:r>
              <w:rPr>
                <w:rFonts w:ascii="Calibri" w:hAnsi="Calibri"/>
                <w:b w:val="0"/>
                <w:sz w:val="15"/>
              </w:rPr>
              <w:t>WF-14</w:t>
            </w:r>
          </w:p>
        </w:tc>
        <w:tc>
          <w:tcPr>
            <w:tcW w:type="dxa" w:w="3402"/>
            <w:shd w:val="clear" w:fill="F7F9FB"/>
          </w:tcPr>
          <w:p>
            <w:pPr>
              <w:spacing w:after="20" w:before="20" w:line="240" w:lineRule="auto"/>
            </w:pPr>
            <w:r/>
            <w:r>
              <w:rPr>
                <w:rFonts w:ascii="Calibri" w:hAnsi="Calibri"/>
                <w:b w:val="0"/>
                <w:sz w:val="15"/>
              </w:rPr>
              <w:t>What should we change now so that the downside scenario does not become the baseline?</w:t>
            </w:r>
          </w:p>
        </w:tc>
        <w:tc>
          <w:tcPr>
            <w:tcW w:type="dxa" w:w="2041"/>
            <w:shd w:val="clear" w:fill="F7F9FB"/>
          </w:tcPr>
          <w:p>
            <w:pPr>
              <w:spacing w:after="20" w:before="20" w:line="240" w:lineRule="auto"/>
            </w:pPr>
            <w:r/>
            <w:r>
              <w:rPr>
                <w:rFonts w:ascii="Calibri" w:hAnsi="Calibri"/>
                <w:b w:val="0"/>
                <w:sz w:val="15"/>
              </w:rPr>
              <w:t>All levers, compared across scenarios</w:t>
            </w:r>
          </w:p>
        </w:tc>
        <w:tc>
          <w:tcPr>
            <w:tcW w:type="dxa" w:w="2381"/>
            <w:shd w:val="clear" w:fill="F7F9FB"/>
          </w:tcPr>
          <w:p>
            <w:pPr>
              <w:spacing w:after="20" w:before="20" w:line="240" w:lineRule="auto"/>
            </w:pPr>
            <w:r/>
            <w:r>
              <w:rPr>
                <w:rFonts w:ascii="Calibri" w:hAnsi="Calibri"/>
                <w:b w:val="0"/>
                <w:sz w:val="15"/>
              </w:rPr>
              <w:t>The purpose of all of the above: a decision, not a projection.</w:t>
            </w:r>
          </w:p>
        </w:tc>
        <w:tc>
          <w:tcPr>
            <w:tcW w:type="dxa" w:w="1191"/>
            <w:shd w:val="clear" w:fill="F7F9FB"/>
          </w:tcPr>
          <w:p>
            <w:pPr>
              <w:spacing w:after="20" w:before="20" w:line="240" w:lineRule="auto"/>
            </w:pPr>
            <w:r/>
            <w:r>
              <w:rPr>
                <w:rFonts w:ascii="Calibri" w:hAnsi="Calibri"/>
                <w:b w:val="0"/>
                <w:sz w:val="15"/>
              </w:rPr>
              <w:t>Business owner</w:t>
            </w:r>
          </w:p>
        </w:tc>
      </w:tr>
    </w:tbl>
    <w:p>
      <w:pPr>
        <w:spacing w:after="20"/>
      </w:pPr>
    </w:p>
    <w:p>
      <w:pPr>
        <w:pStyle w:val="Heading2"/>
      </w:pPr>
      <w:r>
        <w:t>14.3 Scenario results at this refresh</w:t>
      </w:r>
    </w:p>
    <w:p>
      <w:pPr>
        <w:spacing w:after="100"/>
      </w:pPr>
      <w:r>
        <w:rPr>
          <w:b w:val="0"/>
          <w:i w:val="0"/>
        </w:rPr>
        <w:t>Forward 12 months, measured against the baseline. Data as at 2026-09-30. These figures recalculate on refresh; the scenario definitions do not.</w:t>
      </w:r>
    </w:p>
    <w:tbl>
      <w:tblPr>
        <w:tblStyle w:val="TableGrid"/>
        <w:tblW w:type="auto" w:w="0"/>
        <w:jc w:val="center"/>
        <w:tblLayout w:type="fixed"/>
        <w:tblLook w:firstColumn="1" w:firstRow="1" w:lastColumn="0" w:lastRow="0" w:noHBand="0" w:noVBand="1" w:val="04A0"/>
      </w:tblPr>
      <w:tblGrid>
        <w:gridCol w:w="1121"/>
        <w:gridCol w:w="1121"/>
        <w:gridCol w:w="1121"/>
        <w:gridCol w:w="1121"/>
        <w:gridCol w:w="1121"/>
        <w:gridCol w:w="1121"/>
        <w:gridCol w:w="1121"/>
        <w:gridCol w:w="1121"/>
        <w:gridCol w:w="1121"/>
      </w:tblGrid>
      <w:tr>
        <w:trPr>
          <w:tblHeader/>
        </w:trPr>
        <w:tc>
          <w:tcPr>
            <w:tcW w:type="dxa" w:w="680"/>
            <w:shd w:val="clear" w:fill="1F3B57"/>
          </w:tcPr>
          <w:p>
            <w:pPr>
              <w:spacing w:after="20" w:before="20" w:line="240" w:lineRule="auto"/>
            </w:pPr>
            <w:r/>
            <w:r>
              <w:rPr>
                <w:rFonts w:ascii="Calibri" w:hAnsi="Calibri"/>
                <w:b/>
                <w:color w:val="FFFFFF"/>
                <w:sz w:val="15"/>
              </w:rPr>
              <w:t>ID</w:t>
            </w:r>
          </w:p>
        </w:tc>
        <w:tc>
          <w:tcPr>
            <w:tcW w:type="dxa" w:w="3061"/>
            <w:shd w:val="clear" w:fill="1F3B57"/>
          </w:tcPr>
          <w:p>
            <w:pPr>
              <w:spacing w:after="20" w:before="20" w:line="240" w:lineRule="auto"/>
            </w:pPr>
            <w:r/>
            <w:r>
              <w:rPr>
                <w:rFonts w:ascii="Calibri" w:hAnsi="Calibri"/>
                <w:b/>
                <w:color w:val="FFFFFF"/>
                <w:sz w:val="15"/>
              </w:rPr>
              <w:t>Scenario</w:t>
            </w:r>
          </w:p>
        </w:tc>
        <w:tc>
          <w:tcPr>
            <w:tcW w:type="dxa" w:w="1134"/>
            <w:shd w:val="clear" w:fill="1F3B57"/>
          </w:tcPr>
          <w:p>
            <w:pPr>
              <w:spacing w:after="20" w:before="20" w:line="240" w:lineRule="auto"/>
            </w:pPr>
            <w:r/>
            <w:r>
              <w:rPr>
                <w:rFonts w:ascii="Calibri" w:hAnsi="Calibri"/>
                <w:b/>
                <w:color w:val="FFFFFF"/>
                <w:sz w:val="15"/>
              </w:rPr>
              <w:t>Consumption (PKR m)</w:t>
            </w:r>
          </w:p>
        </w:tc>
        <w:tc>
          <w:tcPr>
            <w:tcW w:type="dxa" w:w="1077"/>
            <w:shd w:val="clear" w:fill="1F3B57"/>
          </w:tcPr>
          <w:p>
            <w:pPr>
              <w:spacing w:after="20" w:before="20" w:line="240" w:lineRule="auto"/>
            </w:pPr>
            <w:r/>
            <w:r>
              <w:rPr>
                <w:rFonts w:ascii="Calibri" w:hAnsi="Calibri"/>
                <w:b/>
                <w:color w:val="FFFFFF"/>
                <w:sz w:val="15"/>
              </w:rPr>
              <w:t>Purchase (PKR m)</w:t>
            </w:r>
          </w:p>
        </w:tc>
        <w:tc>
          <w:tcPr>
            <w:tcW w:type="dxa" w:w="1077"/>
            <w:shd w:val="clear" w:fill="1F3B57"/>
          </w:tcPr>
          <w:p>
            <w:pPr>
              <w:spacing w:after="20" w:before="20" w:line="240" w:lineRule="auto"/>
            </w:pPr>
            <w:r/>
            <w:r>
              <w:rPr>
                <w:rFonts w:ascii="Calibri" w:hAnsi="Calibri"/>
                <w:b/>
                <w:color w:val="FFFFFF"/>
                <w:sz w:val="15"/>
              </w:rPr>
              <w:t>Funding gap (PKR m)</w:t>
            </w:r>
          </w:p>
        </w:tc>
        <w:tc>
          <w:tcPr>
            <w:tcW w:type="dxa" w:w="907"/>
            <w:shd w:val="clear" w:fill="1F3B57"/>
          </w:tcPr>
          <w:p>
            <w:pPr>
              <w:spacing w:after="20" w:before="20" w:line="240" w:lineRule="auto"/>
            </w:pPr>
            <w:r/>
            <w:r>
              <w:rPr>
                <w:rFonts w:ascii="Calibri" w:hAnsi="Calibri"/>
                <w:b/>
                <w:color w:val="FFFFFF"/>
                <w:sz w:val="15"/>
              </w:rPr>
              <w:t>Utilisation</w:t>
            </w:r>
          </w:p>
        </w:tc>
        <w:tc>
          <w:tcPr>
            <w:tcW w:type="dxa" w:w="850"/>
            <w:shd w:val="clear" w:fill="1F3B57"/>
          </w:tcPr>
          <w:p>
            <w:pPr>
              <w:spacing w:after="20" w:before="20" w:line="240" w:lineRule="auto"/>
            </w:pPr>
            <w:r/>
            <w:r>
              <w:rPr>
                <w:rFonts w:ascii="Calibri" w:hAnsi="Calibri"/>
                <w:b/>
                <w:color w:val="FFFFFF"/>
                <w:sz w:val="15"/>
              </w:rPr>
              <w:t>Stock-out items</w:t>
            </w:r>
          </w:p>
        </w:tc>
        <w:tc>
          <w:tcPr>
            <w:tcW w:type="dxa" w:w="1020"/>
            <w:shd w:val="clear" w:fill="1F3B57"/>
          </w:tcPr>
          <w:p>
            <w:pPr>
              <w:spacing w:after="20" w:before="20" w:line="240" w:lineRule="auto"/>
            </w:pPr>
            <w:r/>
            <w:r>
              <w:rPr>
                <w:rFonts w:ascii="Calibri" w:hAnsi="Calibri"/>
                <w:b/>
                <w:color w:val="FFFFFF"/>
                <w:sz w:val="15"/>
              </w:rPr>
              <w:t>Expiry risk (PKR m)</w:t>
            </w:r>
          </w:p>
        </w:tc>
        <w:tc>
          <w:tcPr>
            <w:tcW w:type="dxa" w:w="1077"/>
            <w:shd w:val="clear" w:fill="1F3B57"/>
          </w:tcPr>
          <w:p>
            <w:pPr>
              <w:spacing w:after="20" w:before="20" w:line="240" w:lineRule="auto"/>
            </w:pPr>
            <w:r/>
            <w:r>
              <w:rPr>
                <w:rFonts w:ascii="Calibri" w:hAnsi="Calibri"/>
                <w:b/>
                <w:color w:val="FFFFFF"/>
                <w:sz w:val="15"/>
              </w:rPr>
              <w:t>Working capital (PKR m)</w:t>
            </w:r>
          </w:p>
        </w:tc>
      </w:tr>
      <w:tr>
        <w:tc>
          <w:tcPr>
            <w:tcW w:type="dxa" w:w="680"/>
          </w:tcPr>
          <w:p>
            <w:pPr>
              <w:spacing w:after="20" w:before="20" w:line="240" w:lineRule="auto"/>
              <w:jc w:val="center"/>
            </w:pPr>
            <w:r/>
            <w:r>
              <w:rPr>
                <w:rFonts w:ascii="Calibri" w:hAnsi="Calibri"/>
                <w:b w:val="0"/>
                <w:sz w:val="15"/>
              </w:rPr>
              <w:t>S0</w:t>
            </w:r>
          </w:p>
        </w:tc>
        <w:tc>
          <w:tcPr>
            <w:tcW w:type="dxa" w:w="3061"/>
          </w:tcPr>
          <w:p>
            <w:pPr>
              <w:spacing w:after="20" w:before="20" w:line="240" w:lineRule="auto"/>
            </w:pPr>
            <w:r/>
            <w:r>
              <w:rPr>
                <w:rFonts w:ascii="Calibri" w:hAnsi="Calibri"/>
                <w:b w:val="0"/>
                <w:sz w:val="15"/>
              </w:rPr>
              <w:t>Baseline (current parameters)</w:t>
            </w:r>
          </w:p>
        </w:tc>
        <w:tc>
          <w:tcPr>
            <w:tcW w:type="dxa" w:w="1134"/>
          </w:tcPr>
          <w:p>
            <w:pPr>
              <w:spacing w:after="20" w:before="20" w:line="240" w:lineRule="auto"/>
              <w:jc w:val="center"/>
            </w:pPr>
            <w:r/>
            <w:r>
              <w:rPr>
                <w:rFonts w:ascii="Calibri" w:hAnsi="Calibri"/>
                <w:b w:val="0"/>
                <w:sz w:val="15"/>
              </w:rPr>
              <w:t>154.6</w:t>
            </w:r>
          </w:p>
        </w:tc>
        <w:tc>
          <w:tcPr>
            <w:tcW w:type="dxa" w:w="1077"/>
          </w:tcPr>
          <w:p>
            <w:pPr>
              <w:spacing w:after="20" w:before="20" w:line="240" w:lineRule="auto"/>
              <w:jc w:val="center"/>
            </w:pPr>
            <w:r/>
            <w:r>
              <w:rPr>
                <w:rFonts w:ascii="Calibri" w:hAnsi="Calibri"/>
                <w:b w:val="0"/>
                <w:sz w:val="15"/>
              </w:rPr>
              <w:t>157.2</w:t>
            </w:r>
          </w:p>
        </w:tc>
        <w:tc>
          <w:tcPr>
            <w:tcW w:type="dxa" w:w="1077"/>
          </w:tcPr>
          <w:p>
            <w:pPr>
              <w:spacing w:after="20" w:before="20" w:line="240" w:lineRule="auto"/>
              <w:jc w:val="center"/>
            </w:pPr>
            <w:r/>
            <w:r>
              <w:rPr>
                <w:rFonts w:ascii="Calibri" w:hAnsi="Calibri"/>
                <w:b w:val="0"/>
                <w:sz w:val="15"/>
              </w:rPr>
              <w:t>2.5</w:t>
            </w:r>
          </w:p>
        </w:tc>
        <w:tc>
          <w:tcPr>
            <w:tcW w:type="dxa" w:w="907"/>
          </w:tcPr>
          <w:p>
            <w:pPr>
              <w:spacing w:after="20" w:before="20" w:line="240" w:lineRule="auto"/>
              <w:jc w:val="center"/>
            </w:pPr>
            <w:r/>
            <w:r>
              <w:rPr>
                <w:rFonts w:ascii="Calibri" w:hAnsi="Calibri"/>
                <w:b w:val="0"/>
                <w:sz w:val="15"/>
              </w:rPr>
              <w:t>101.6%</w:t>
            </w:r>
          </w:p>
        </w:tc>
        <w:tc>
          <w:tcPr>
            <w:tcW w:type="dxa" w:w="850"/>
          </w:tcPr>
          <w:p>
            <w:pPr>
              <w:spacing w:after="20" w:before="20" w:line="240" w:lineRule="auto"/>
              <w:jc w:val="center"/>
            </w:pPr>
            <w:r/>
            <w:r>
              <w:rPr>
                <w:rFonts w:ascii="Calibri" w:hAnsi="Calibri"/>
                <w:b w:val="0"/>
                <w:sz w:val="15"/>
              </w:rPr>
              <w:t>2</w:t>
            </w:r>
          </w:p>
        </w:tc>
        <w:tc>
          <w:tcPr>
            <w:tcW w:type="dxa" w:w="1020"/>
          </w:tcPr>
          <w:p>
            <w:pPr>
              <w:spacing w:after="20" w:before="20" w:line="240" w:lineRule="auto"/>
              <w:jc w:val="center"/>
            </w:pPr>
            <w:r/>
            <w:r>
              <w:rPr>
                <w:rFonts w:ascii="Calibri" w:hAnsi="Calibri"/>
                <w:b w:val="0"/>
                <w:sz w:val="15"/>
              </w:rPr>
              <w:t>3.94</w:t>
            </w:r>
          </w:p>
        </w:tc>
        <w:tc>
          <w:tcPr>
            <w:tcW w:type="dxa" w:w="1077"/>
          </w:tcPr>
          <w:p>
            <w:pPr>
              <w:spacing w:after="20" w:before="20" w:line="240" w:lineRule="auto"/>
              <w:jc w:val="center"/>
            </w:pPr>
            <w:r/>
            <w:r>
              <w:rPr>
                <w:rFonts w:ascii="Calibri" w:hAnsi="Calibri"/>
                <w:b w:val="0"/>
                <w:sz w:val="15"/>
              </w:rPr>
              <w:t>45.8</w:t>
            </w:r>
          </w:p>
        </w:tc>
      </w:tr>
      <w:tr>
        <w:tc>
          <w:tcPr>
            <w:tcW w:type="dxa" w:w="680"/>
            <w:shd w:val="clear" w:fill="F7F9FB"/>
          </w:tcPr>
          <w:p>
            <w:pPr>
              <w:spacing w:after="20" w:before="20" w:line="240" w:lineRule="auto"/>
              <w:jc w:val="center"/>
            </w:pPr>
            <w:r/>
            <w:r>
              <w:rPr>
                <w:rFonts w:ascii="Calibri" w:hAnsi="Calibri"/>
                <w:b w:val="0"/>
                <w:sz w:val="15"/>
              </w:rPr>
              <w:t>S1</w:t>
            </w:r>
          </w:p>
        </w:tc>
        <w:tc>
          <w:tcPr>
            <w:tcW w:type="dxa" w:w="3061"/>
            <w:shd w:val="clear" w:fill="F7F9FB"/>
          </w:tcPr>
          <w:p>
            <w:pPr>
              <w:spacing w:after="20" w:before="20" w:line="240" w:lineRule="auto"/>
            </w:pPr>
            <w:r/>
            <w:r>
              <w:rPr>
                <w:rFonts w:ascii="Calibri" w:hAnsi="Calibri"/>
                <w:b w:val="0"/>
                <w:sz w:val="15"/>
              </w:rPr>
              <w:t>Demand surge +20%</w:t>
            </w:r>
          </w:p>
        </w:tc>
        <w:tc>
          <w:tcPr>
            <w:tcW w:type="dxa" w:w="1134"/>
            <w:shd w:val="clear" w:fill="F7F9FB"/>
          </w:tcPr>
          <w:p>
            <w:pPr>
              <w:spacing w:after="20" w:before="20" w:line="240" w:lineRule="auto"/>
              <w:jc w:val="center"/>
            </w:pPr>
            <w:r/>
            <w:r>
              <w:rPr>
                <w:rFonts w:ascii="Calibri" w:hAnsi="Calibri"/>
                <w:b w:val="0"/>
                <w:sz w:val="15"/>
              </w:rPr>
              <w:t>176.7</w:t>
            </w:r>
          </w:p>
        </w:tc>
        <w:tc>
          <w:tcPr>
            <w:tcW w:type="dxa" w:w="1077"/>
            <w:shd w:val="clear" w:fill="F7F9FB"/>
          </w:tcPr>
          <w:p>
            <w:pPr>
              <w:spacing w:after="20" w:before="20" w:line="240" w:lineRule="auto"/>
              <w:jc w:val="center"/>
            </w:pPr>
            <w:r/>
            <w:r>
              <w:rPr>
                <w:rFonts w:ascii="Calibri" w:hAnsi="Calibri"/>
                <w:b w:val="0"/>
                <w:sz w:val="15"/>
              </w:rPr>
              <w:t>186.1</w:t>
            </w:r>
          </w:p>
        </w:tc>
        <w:tc>
          <w:tcPr>
            <w:tcW w:type="dxa" w:w="1077"/>
            <w:shd w:val="clear" w:fill="F7F9FB"/>
          </w:tcPr>
          <w:p>
            <w:pPr>
              <w:spacing w:after="20" w:before="20" w:line="240" w:lineRule="auto"/>
              <w:jc w:val="center"/>
            </w:pPr>
            <w:r/>
            <w:r>
              <w:rPr>
                <w:rFonts w:ascii="Calibri" w:hAnsi="Calibri"/>
                <w:b w:val="0"/>
                <w:sz w:val="15"/>
              </w:rPr>
              <w:t>24.6</w:t>
            </w:r>
          </w:p>
        </w:tc>
        <w:tc>
          <w:tcPr>
            <w:tcW w:type="dxa" w:w="907"/>
            <w:shd w:val="clear" w:fill="F7F9FB"/>
          </w:tcPr>
          <w:p>
            <w:pPr>
              <w:spacing w:after="20" w:before="20" w:line="240" w:lineRule="auto"/>
              <w:jc w:val="center"/>
            </w:pPr>
            <w:r/>
            <w:r>
              <w:rPr>
                <w:rFonts w:ascii="Calibri" w:hAnsi="Calibri"/>
                <w:b w:val="0"/>
                <w:sz w:val="15"/>
              </w:rPr>
              <w:t>116.2%</w:t>
            </w:r>
          </w:p>
        </w:tc>
        <w:tc>
          <w:tcPr>
            <w:tcW w:type="dxa" w:w="850"/>
            <w:shd w:val="clear" w:fill="F7F9FB"/>
          </w:tcPr>
          <w:p>
            <w:pPr>
              <w:spacing w:after="20" w:before="20" w:line="240" w:lineRule="auto"/>
              <w:jc w:val="center"/>
            </w:pPr>
            <w:r/>
            <w:r>
              <w:rPr>
                <w:rFonts w:ascii="Calibri" w:hAnsi="Calibri"/>
                <w:b w:val="0"/>
                <w:sz w:val="15"/>
              </w:rPr>
              <w:t>3</w:t>
            </w:r>
          </w:p>
        </w:tc>
        <w:tc>
          <w:tcPr>
            <w:tcW w:type="dxa" w:w="1020"/>
            <w:shd w:val="clear" w:fill="F7F9FB"/>
          </w:tcPr>
          <w:p>
            <w:pPr>
              <w:spacing w:after="20" w:before="20" w:line="240" w:lineRule="auto"/>
              <w:jc w:val="center"/>
            </w:pPr>
            <w:r/>
            <w:r>
              <w:rPr>
                <w:rFonts w:ascii="Calibri" w:hAnsi="Calibri"/>
                <w:b w:val="0"/>
                <w:sz w:val="15"/>
              </w:rPr>
              <w:t>4.25</w:t>
            </w:r>
          </w:p>
        </w:tc>
        <w:tc>
          <w:tcPr>
            <w:tcW w:type="dxa" w:w="1077"/>
            <w:shd w:val="clear" w:fill="F7F9FB"/>
          </w:tcPr>
          <w:p>
            <w:pPr>
              <w:spacing w:after="20" w:before="20" w:line="240" w:lineRule="auto"/>
              <w:jc w:val="center"/>
            </w:pPr>
            <w:r/>
            <w:r>
              <w:rPr>
                <w:rFonts w:ascii="Calibri" w:hAnsi="Calibri"/>
                <w:b w:val="0"/>
                <w:sz w:val="15"/>
              </w:rPr>
              <w:t>52.4</w:t>
            </w:r>
          </w:p>
        </w:tc>
      </w:tr>
      <w:tr>
        <w:tc>
          <w:tcPr>
            <w:tcW w:type="dxa" w:w="680"/>
          </w:tcPr>
          <w:p>
            <w:pPr>
              <w:spacing w:after="20" w:before="20" w:line="240" w:lineRule="auto"/>
              <w:jc w:val="center"/>
            </w:pPr>
            <w:r/>
            <w:r>
              <w:rPr>
                <w:rFonts w:ascii="Calibri" w:hAnsi="Calibri"/>
                <w:b w:val="0"/>
                <w:sz w:val="15"/>
              </w:rPr>
              <w:t>S2</w:t>
            </w:r>
          </w:p>
        </w:tc>
        <w:tc>
          <w:tcPr>
            <w:tcW w:type="dxa" w:w="3061"/>
          </w:tcPr>
          <w:p>
            <w:pPr>
              <w:spacing w:after="20" w:before="20" w:line="240" w:lineRule="auto"/>
            </w:pPr>
            <w:r/>
            <w:r>
              <w:rPr>
                <w:rFonts w:ascii="Calibri" w:hAnsi="Calibri"/>
                <w:b w:val="0"/>
                <w:sz w:val="15"/>
              </w:rPr>
              <w:t>Price shock +15%</w:t>
            </w:r>
          </w:p>
        </w:tc>
        <w:tc>
          <w:tcPr>
            <w:tcW w:type="dxa" w:w="1134"/>
          </w:tcPr>
          <w:p>
            <w:pPr>
              <w:spacing w:after="20" w:before="20" w:line="240" w:lineRule="auto"/>
              <w:jc w:val="center"/>
            </w:pPr>
            <w:r/>
            <w:r>
              <w:rPr>
                <w:rFonts w:ascii="Calibri" w:hAnsi="Calibri"/>
                <w:b w:val="0"/>
                <w:sz w:val="15"/>
              </w:rPr>
              <w:t>177.8</w:t>
            </w:r>
          </w:p>
        </w:tc>
        <w:tc>
          <w:tcPr>
            <w:tcW w:type="dxa" w:w="1077"/>
          </w:tcPr>
          <w:p>
            <w:pPr>
              <w:spacing w:after="20" w:before="20" w:line="240" w:lineRule="auto"/>
              <w:jc w:val="center"/>
            </w:pPr>
            <w:r/>
            <w:r>
              <w:rPr>
                <w:rFonts w:ascii="Calibri" w:hAnsi="Calibri"/>
                <w:b w:val="0"/>
                <w:sz w:val="15"/>
              </w:rPr>
              <w:t>187.6</w:t>
            </w:r>
          </w:p>
        </w:tc>
        <w:tc>
          <w:tcPr>
            <w:tcW w:type="dxa" w:w="1077"/>
          </w:tcPr>
          <w:p>
            <w:pPr>
              <w:spacing w:after="20" w:before="20" w:line="240" w:lineRule="auto"/>
              <w:jc w:val="center"/>
            </w:pPr>
            <w:r/>
            <w:r>
              <w:rPr>
                <w:rFonts w:ascii="Calibri" w:hAnsi="Calibri"/>
                <w:b w:val="0"/>
                <w:sz w:val="15"/>
              </w:rPr>
              <w:t>25.7</w:t>
            </w:r>
          </w:p>
        </w:tc>
        <w:tc>
          <w:tcPr>
            <w:tcW w:type="dxa" w:w="907"/>
          </w:tcPr>
          <w:p>
            <w:pPr>
              <w:spacing w:after="20" w:before="20" w:line="240" w:lineRule="auto"/>
              <w:jc w:val="center"/>
            </w:pPr>
            <w:r/>
            <w:r>
              <w:rPr>
                <w:rFonts w:ascii="Calibri" w:hAnsi="Calibri"/>
                <w:b w:val="0"/>
                <w:sz w:val="15"/>
              </w:rPr>
              <w:t>116.9%</w:t>
            </w:r>
          </w:p>
        </w:tc>
        <w:tc>
          <w:tcPr>
            <w:tcW w:type="dxa" w:w="850"/>
          </w:tcPr>
          <w:p>
            <w:pPr>
              <w:spacing w:after="20" w:before="20" w:line="240" w:lineRule="auto"/>
              <w:jc w:val="center"/>
            </w:pPr>
            <w:r/>
            <w:r>
              <w:rPr>
                <w:rFonts w:ascii="Calibri" w:hAnsi="Calibri"/>
                <w:b w:val="0"/>
                <w:sz w:val="15"/>
              </w:rPr>
              <w:t>2</w:t>
            </w:r>
          </w:p>
        </w:tc>
        <w:tc>
          <w:tcPr>
            <w:tcW w:type="dxa" w:w="1020"/>
          </w:tcPr>
          <w:p>
            <w:pPr>
              <w:spacing w:after="20" w:before="20" w:line="240" w:lineRule="auto"/>
              <w:jc w:val="center"/>
            </w:pPr>
            <w:r/>
            <w:r>
              <w:rPr>
                <w:rFonts w:ascii="Calibri" w:hAnsi="Calibri"/>
                <w:b w:val="0"/>
                <w:sz w:val="15"/>
              </w:rPr>
              <w:t>4.29</w:t>
            </w:r>
          </w:p>
        </w:tc>
        <w:tc>
          <w:tcPr>
            <w:tcW w:type="dxa" w:w="1077"/>
          </w:tcPr>
          <w:p>
            <w:pPr>
              <w:spacing w:after="20" w:before="20" w:line="240" w:lineRule="auto"/>
              <w:jc w:val="center"/>
            </w:pPr>
            <w:r/>
            <w:r>
              <w:rPr>
                <w:rFonts w:ascii="Calibri" w:hAnsi="Calibri"/>
                <w:b w:val="0"/>
                <w:sz w:val="15"/>
              </w:rPr>
              <w:t>52.7</w:t>
            </w:r>
          </w:p>
        </w:tc>
      </w:tr>
      <w:tr>
        <w:tc>
          <w:tcPr>
            <w:tcW w:type="dxa" w:w="680"/>
            <w:shd w:val="clear" w:fill="F7F9FB"/>
          </w:tcPr>
          <w:p>
            <w:pPr>
              <w:spacing w:after="20" w:before="20" w:line="240" w:lineRule="auto"/>
              <w:jc w:val="center"/>
            </w:pPr>
            <w:r/>
            <w:r>
              <w:rPr>
                <w:rFonts w:ascii="Calibri" w:hAnsi="Calibri"/>
                <w:b w:val="0"/>
                <w:sz w:val="15"/>
              </w:rPr>
              <w:t>S3</w:t>
            </w:r>
          </w:p>
        </w:tc>
        <w:tc>
          <w:tcPr>
            <w:tcW w:type="dxa" w:w="3061"/>
            <w:shd w:val="clear" w:fill="F7F9FB"/>
          </w:tcPr>
          <w:p>
            <w:pPr>
              <w:spacing w:after="20" w:before="20" w:line="240" w:lineRule="auto"/>
            </w:pPr>
            <w:r/>
            <w:r>
              <w:rPr>
                <w:rFonts w:ascii="Calibri" w:hAnsi="Calibri"/>
                <w:b w:val="0"/>
                <w:sz w:val="15"/>
              </w:rPr>
              <w:t>Supply disruption (lead time x1.6, reliability 70%)</w:t>
            </w:r>
          </w:p>
        </w:tc>
        <w:tc>
          <w:tcPr>
            <w:tcW w:type="dxa" w:w="1134"/>
            <w:shd w:val="clear" w:fill="F7F9FB"/>
          </w:tcPr>
          <w:p>
            <w:pPr>
              <w:spacing w:after="20" w:before="20" w:line="240" w:lineRule="auto"/>
              <w:jc w:val="center"/>
            </w:pPr>
            <w:r/>
            <w:r>
              <w:rPr>
                <w:rFonts w:ascii="Calibri" w:hAnsi="Calibri"/>
                <w:b w:val="0"/>
                <w:sz w:val="15"/>
              </w:rPr>
              <w:t>154.6</w:t>
            </w:r>
          </w:p>
        </w:tc>
        <w:tc>
          <w:tcPr>
            <w:tcW w:type="dxa" w:w="1077"/>
            <w:shd w:val="clear" w:fill="F7F9FB"/>
          </w:tcPr>
          <w:p>
            <w:pPr>
              <w:spacing w:after="20" w:before="20" w:line="240" w:lineRule="auto"/>
              <w:jc w:val="center"/>
            </w:pPr>
            <w:r/>
            <w:r>
              <w:rPr>
                <w:rFonts w:ascii="Calibri" w:hAnsi="Calibri"/>
                <w:b w:val="0"/>
                <w:sz w:val="15"/>
              </w:rPr>
              <w:t>162.3</w:t>
            </w:r>
          </w:p>
        </w:tc>
        <w:tc>
          <w:tcPr>
            <w:tcW w:type="dxa" w:w="1077"/>
            <w:shd w:val="clear" w:fill="F7F9FB"/>
          </w:tcPr>
          <w:p>
            <w:pPr>
              <w:spacing w:after="20" w:before="20" w:line="240" w:lineRule="auto"/>
              <w:jc w:val="center"/>
            </w:pPr>
            <w:r/>
            <w:r>
              <w:rPr>
                <w:rFonts w:ascii="Calibri" w:hAnsi="Calibri"/>
                <w:b w:val="0"/>
                <w:sz w:val="15"/>
              </w:rPr>
              <w:t>2.5</w:t>
            </w:r>
          </w:p>
        </w:tc>
        <w:tc>
          <w:tcPr>
            <w:tcW w:type="dxa" w:w="907"/>
            <w:shd w:val="clear" w:fill="F7F9FB"/>
          </w:tcPr>
          <w:p>
            <w:pPr>
              <w:spacing w:after="20" w:before="20" w:line="240" w:lineRule="auto"/>
              <w:jc w:val="center"/>
            </w:pPr>
            <w:r/>
            <w:r>
              <w:rPr>
                <w:rFonts w:ascii="Calibri" w:hAnsi="Calibri"/>
                <w:b w:val="0"/>
                <w:sz w:val="15"/>
              </w:rPr>
              <w:t>101.6%</w:t>
            </w:r>
          </w:p>
        </w:tc>
        <w:tc>
          <w:tcPr>
            <w:tcW w:type="dxa" w:w="850"/>
            <w:shd w:val="clear" w:fill="F7F9FB"/>
          </w:tcPr>
          <w:p>
            <w:pPr>
              <w:spacing w:after="20" w:before="20" w:line="240" w:lineRule="auto"/>
              <w:jc w:val="center"/>
            </w:pPr>
            <w:r/>
            <w:r>
              <w:rPr>
                <w:rFonts w:ascii="Calibri" w:hAnsi="Calibri"/>
                <w:b w:val="0"/>
                <w:sz w:val="15"/>
              </w:rPr>
              <w:t>18</w:t>
            </w:r>
          </w:p>
        </w:tc>
        <w:tc>
          <w:tcPr>
            <w:tcW w:type="dxa" w:w="1020"/>
            <w:shd w:val="clear" w:fill="F7F9FB"/>
          </w:tcPr>
          <w:p>
            <w:pPr>
              <w:spacing w:after="20" w:before="20" w:line="240" w:lineRule="auto"/>
              <w:jc w:val="center"/>
            </w:pPr>
            <w:r/>
            <w:r>
              <w:rPr>
                <w:rFonts w:ascii="Calibri" w:hAnsi="Calibri"/>
                <w:b w:val="0"/>
                <w:sz w:val="15"/>
              </w:rPr>
              <w:t>3.94</w:t>
            </w:r>
          </w:p>
        </w:tc>
        <w:tc>
          <w:tcPr>
            <w:tcW w:type="dxa" w:w="1077"/>
            <w:shd w:val="clear" w:fill="F7F9FB"/>
          </w:tcPr>
          <w:p>
            <w:pPr>
              <w:spacing w:after="20" w:before="20" w:line="240" w:lineRule="auto"/>
              <w:jc w:val="center"/>
            </w:pPr>
            <w:r/>
            <w:r>
              <w:rPr>
                <w:rFonts w:ascii="Calibri" w:hAnsi="Calibri"/>
                <w:b w:val="0"/>
                <w:sz w:val="15"/>
              </w:rPr>
              <w:t>51.0</w:t>
            </w:r>
          </w:p>
        </w:tc>
      </w:tr>
      <w:tr>
        <w:tc>
          <w:tcPr>
            <w:tcW w:type="dxa" w:w="680"/>
          </w:tcPr>
          <w:p>
            <w:pPr>
              <w:spacing w:after="20" w:before="20" w:line="240" w:lineRule="auto"/>
              <w:jc w:val="center"/>
            </w:pPr>
            <w:r/>
            <w:r>
              <w:rPr>
                <w:rFonts w:ascii="Calibri" w:hAnsi="Calibri"/>
                <w:b w:val="0"/>
                <w:sz w:val="15"/>
              </w:rPr>
              <w:t>S4</w:t>
            </w:r>
          </w:p>
        </w:tc>
        <w:tc>
          <w:tcPr>
            <w:tcW w:type="dxa" w:w="3061"/>
          </w:tcPr>
          <w:p>
            <w:pPr>
              <w:spacing w:after="20" w:before="20" w:line="240" w:lineRule="auto"/>
            </w:pPr>
            <w:r/>
            <w:r>
              <w:rPr>
                <w:rFonts w:ascii="Calibri" w:hAnsi="Calibri"/>
                <w:b w:val="0"/>
                <w:sz w:val="15"/>
              </w:rPr>
              <w:t>Funding cut -20%</w:t>
            </w:r>
          </w:p>
        </w:tc>
        <w:tc>
          <w:tcPr>
            <w:tcW w:type="dxa" w:w="1134"/>
          </w:tcPr>
          <w:p>
            <w:pPr>
              <w:spacing w:after="20" w:before="20" w:line="240" w:lineRule="auto"/>
              <w:jc w:val="center"/>
            </w:pPr>
            <w:r/>
            <w:r>
              <w:rPr>
                <w:rFonts w:ascii="Calibri" w:hAnsi="Calibri"/>
                <w:b w:val="0"/>
                <w:sz w:val="15"/>
              </w:rPr>
              <w:t>154.6</w:t>
            </w:r>
          </w:p>
        </w:tc>
        <w:tc>
          <w:tcPr>
            <w:tcW w:type="dxa" w:w="1077"/>
          </w:tcPr>
          <w:p>
            <w:pPr>
              <w:spacing w:after="20" w:before="20" w:line="240" w:lineRule="auto"/>
              <w:jc w:val="center"/>
            </w:pPr>
            <w:r/>
            <w:r>
              <w:rPr>
                <w:rFonts w:ascii="Calibri" w:hAnsi="Calibri"/>
                <w:b w:val="0"/>
                <w:sz w:val="15"/>
              </w:rPr>
              <w:t>157.2</w:t>
            </w:r>
          </w:p>
        </w:tc>
        <w:tc>
          <w:tcPr>
            <w:tcW w:type="dxa" w:w="1077"/>
          </w:tcPr>
          <w:p>
            <w:pPr>
              <w:spacing w:after="20" w:before="20" w:line="240" w:lineRule="auto"/>
              <w:jc w:val="center"/>
            </w:pPr>
            <w:r/>
            <w:r>
              <w:rPr>
                <w:rFonts w:ascii="Calibri" w:hAnsi="Calibri"/>
                <w:b w:val="0"/>
                <w:sz w:val="15"/>
              </w:rPr>
              <w:t>32.9</w:t>
            </w:r>
          </w:p>
        </w:tc>
        <w:tc>
          <w:tcPr>
            <w:tcW w:type="dxa" w:w="907"/>
          </w:tcPr>
          <w:p>
            <w:pPr>
              <w:spacing w:after="20" w:before="20" w:line="240" w:lineRule="auto"/>
              <w:jc w:val="center"/>
            </w:pPr>
            <w:r/>
            <w:r>
              <w:rPr>
                <w:rFonts w:ascii="Calibri" w:hAnsi="Calibri"/>
                <w:b w:val="0"/>
                <w:sz w:val="15"/>
              </w:rPr>
              <w:t>127.0%</w:t>
            </w:r>
          </w:p>
        </w:tc>
        <w:tc>
          <w:tcPr>
            <w:tcW w:type="dxa" w:w="850"/>
          </w:tcPr>
          <w:p>
            <w:pPr>
              <w:spacing w:after="20" w:before="20" w:line="240" w:lineRule="auto"/>
              <w:jc w:val="center"/>
            </w:pPr>
            <w:r/>
            <w:r>
              <w:rPr>
                <w:rFonts w:ascii="Calibri" w:hAnsi="Calibri"/>
                <w:b w:val="0"/>
                <w:sz w:val="15"/>
              </w:rPr>
              <w:t>2</w:t>
            </w:r>
          </w:p>
        </w:tc>
        <w:tc>
          <w:tcPr>
            <w:tcW w:type="dxa" w:w="1020"/>
          </w:tcPr>
          <w:p>
            <w:pPr>
              <w:spacing w:after="20" w:before="20" w:line="240" w:lineRule="auto"/>
              <w:jc w:val="center"/>
            </w:pPr>
            <w:r/>
            <w:r>
              <w:rPr>
                <w:rFonts w:ascii="Calibri" w:hAnsi="Calibri"/>
                <w:b w:val="0"/>
                <w:sz w:val="15"/>
              </w:rPr>
              <w:t>3.94</w:t>
            </w:r>
          </w:p>
        </w:tc>
        <w:tc>
          <w:tcPr>
            <w:tcW w:type="dxa" w:w="1077"/>
          </w:tcPr>
          <w:p>
            <w:pPr>
              <w:spacing w:after="20" w:before="20" w:line="240" w:lineRule="auto"/>
              <w:jc w:val="center"/>
            </w:pPr>
            <w:r/>
            <w:r>
              <w:rPr>
                <w:rFonts w:ascii="Calibri" w:hAnsi="Calibri"/>
                <w:b w:val="0"/>
                <w:sz w:val="15"/>
              </w:rPr>
              <w:t>45.8</w:t>
            </w:r>
          </w:p>
        </w:tc>
      </w:tr>
      <w:tr>
        <w:tc>
          <w:tcPr>
            <w:tcW w:type="dxa" w:w="680"/>
            <w:shd w:val="clear" w:fill="F7F9FB"/>
          </w:tcPr>
          <w:p>
            <w:pPr>
              <w:spacing w:after="20" w:before="20" w:line="240" w:lineRule="auto"/>
              <w:jc w:val="center"/>
            </w:pPr>
            <w:r/>
            <w:r>
              <w:rPr>
                <w:rFonts w:ascii="Calibri" w:hAnsi="Calibri"/>
                <w:b w:val="0"/>
                <w:sz w:val="15"/>
              </w:rPr>
              <w:t>S5</w:t>
            </w:r>
          </w:p>
        </w:tc>
        <w:tc>
          <w:tcPr>
            <w:tcW w:type="dxa" w:w="3061"/>
            <w:shd w:val="clear" w:fill="F7F9FB"/>
          </w:tcPr>
          <w:p>
            <w:pPr>
              <w:spacing w:after="20" w:before="20" w:line="240" w:lineRule="auto"/>
            </w:pPr>
            <w:r/>
            <w:r>
              <w:rPr>
                <w:rFonts w:ascii="Calibri" w:hAnsi="Calibri"/>
                <w:b w:val="0"/>
                <w:sz w:val="15"/>
              </w:rPr>
              <w:t>Optimised policy (cover 60, safety 10, redistribute 60%)</w:t>
            </w:r>
          </w:p>
        </w:tc>
        <w:tc>
          <w:tcPr>
            <w:tcW w:type="dxa" w:w="1134"/>
            <w:shd w:val="clear" w:fill="F7F9FB"/>
          </w:tcPr>
          <w:p>
            <w:pPr>
              <w:spacing w:after="20" w:before="20" w:line="240" w:lineRule="auto"/>
              <w:jc w:val="center"/>
            </w:pPr>
            <w:r/>
            <w:r>
              <w:rPr>
                <w:rFonts w:ascii="Calibri" w:hAnsi="Calibri"/>
                <w:b w:val="0"/>
                <w:sz w:val="15"/>
              </w:rPr>
              <w:t>154.6</w:t>
            </w:r>
          </w:p>
        </w:tc>
        <w:tc>
          <w:tcPr>
            <w:tcW w:type="dxa" w:w="1077"/>
            <w:shd w:val="clear" w:fill="F7F9FB"/>
          </w:tcPr>
          <w:p>
            <w:pPr>
              <w:spacing w:after="20" w:before="20" w:line="240" w:lineRule="auto"/>
              <w:jc w:val="center"/>
            </w:pPr>
            <w:r/>
            <w:r>
              <w:rPr>
                <w:rFonts w:ascii="Calibri" w:hAnsi="Calibri"/>
                <w:b w:val="0"/>
                <w:sz w:val="15"/>
              </w:rPr>
              <w:t>143.8</w:t>
            </w:r>
          </w:p>
        </w:tc>
        <w:tc>
          <w:tcPr>
            <w:tcW w:type="dxa" w:w="1077"/>
            <w:shd w:val="clear" w:fill="F7F9FB"/>
          </w:tcPr>
          <w:p>
            <w:pPr>
              <w:spacing w:after="20" w:before="20" w:line="240" w:lineRule="auto"/>
              <w:jc w:val="center"/>
            </w:pPr>
            <w:r/>
            <w:r>
              <w:rPr>
                <w:rFonts w:ascii="Calibri" w:hAnsi="Calibri"/>
                <w:b w:val="0"/>
                <w:sz w:val="15"/>
              </w:rPr>
              <w:t>2.5</w:t>
            </w:r>
          </w:p>
        </w:tc>
        <w:tc>
          <w:tcPr>
            <w:tcW w:type="dxa" w:w="907"/>
            <w:shd w:val="clear" w:fill="F7F9FB"/>
          </w:tcPr>
          <w:p>
            <w:pPr>
              <w:spacing w:after="20" w:before="20" w:line="240" w:lineRule="auto"/>
              <w:jc w:val="center"/>
            </w:pPr>
            <w:r/>
            <w:r>
              <w:rPr>
                <w:rFonts w:ascii="Calibri" w:hAnsi="Calibri"/>
                <w:b w:val="0"/>
                <w:sz w:val="15"/>
              </w:rPr>
              <w:t>101.6%</w:t>
            </w:r>
          </w:p>
        </w:tc>
        <w:tc>
          <w:tcPr>
            <w:tcW w:type="dxa" w:w="850"/>
            <w:shd w:val="clear" w:fill="F7F9FB"/>
          </w:tcPr>
          <w:p>
            <w:pPr>
              <w:spacing w:after="20" w:before="20" w:line="240" w:lineRule="auto"/>
              <w:jc w:val="center"/>
            </w:pPr>
            <w:r/>
            <w:r>
              <w:rPr>
                <w:rFonts w:ascii="Calibri" w:hAnsi="Calibri"/>
                <w:b w:val="0"/>
                <w:sz w:val="15"/>
              </w:rPr>
              <w:t>2</w:t>
            </w:r>
          </w:p>
        </w:tc>
        <w:tc>
          <w:tcPr>
            <w:tcW w:type="dxa" w:w="1020"/>
            <w:shd w:val="clear" w:fill="F7F9FB"/>
          </w:tcPr>
          <w:p>
            <w:pPr>
              <w:spacing w:after="20" w:before="20" w:line="240" w:lineRule="auto"/>
              <w:jc w:val="center"/>
            </w:pPr>
            <w:r/>
            <w:r>
              <w:rPr>
                <w:rFonts w:ascii="Calibri" w:hAnsi="Calibri"/>
                <w:b w:val="0"/>
                <w:sz w:val="15"/>
              </w:rPr>
              <w:t>3.92</w:t>
            </w:r>
          </w:p>
        </w:tc>
        <w:tc>
          <w:tcPr>
            <w:tcW w:type="dxa" w:w="1077"/>
            <w:shd w:val="clear" w:fill="F7F9FB"/>
          </w:tcPr>
          <w:p>
            <w:pPr>
              <w:spacing w:after="20" w:before="20" w:line="240" w:lineRule="auto"/>
              <w:jc w:val="center"/>
            </w:pPr>
            <w:r/>
            <w:r>
              <w:rPr>
                <w:rFonts w:ascii="Calibri" w:hAnsi="Calibri"/>
                <w:b w:val="0"/>
                <w:sz w:val="15"/>
              </w:rPr>
              <w:t>31.0</w:t>
            </w:r>
          </w:p>
        </w:tc>
      </w:tr>
      <w:tr>
        <w:tc>
          <w:tcPr>
            <w:tcW w:type="dxa" w:w="680"/>
          </w:tcPr>
          <w:p>
            <w:pPr>
              <w:spacing w:after="20" w:before="20" w:line="240" w:lineRule="auto"/>
              <w:jc w:val="center"/>
            </w:pPr>
            <w:r/>
            <w:r>
              <w:rPr>
                <w:rFonts w:ascii="Calibri" w:hAnsi="Calibri"/>
                <w:b w:val="0"/>
                <w:sz w:val="15"/>
              </w:rPr>
              <w:t>S6</w:t>
            </w:r>
          </w:p>
        </w:tc>
        <w:tc>
          <w:tcPr>
            <w:tcW w:type="dxa" w:w="3061"/>
          </w:tcPr>
          <w:p>
            <w:pPr>
              <w:spacing w:after="20" w:before="20" w:line="240" w:lineRule="auto"/>
            </w:pPr>
            <w:r/>
            <w:r>
              <w:rPr>
                <w:rFonts w:ascii="Calibri" w:hAnsi="Calibri"/>
                <w:b w:val="0"/>
                <w:sz w:val="15"/>
              </w:rPr>
              <w:t>Framework contracting (-8% price, lead time x0.8)</w:t>
            </w:r>
          </w:p>
        </w:tc>
        <w:tc>
          <w:tcPr>
            <w:tcW w:type="dxa" w:w="1134"/>
          </w:tcPr>
          <w:p>
            <w:pPr>
              <w:spacing w:after="20" w:before="20" w:line="240" w:lineRule="auto"/>
              <w:jc w:val="center"/>
            </w:pPr>
            <w:r/>
            <w:r>
              <w:rPr>
                <w:rFonts w:ascii="Calibri" w:hAnsi="Calibri"/>
                <w:b w:val="0"/>
                <w:sz w:val="15"/>
              </w:rPr>
              <w:t>142.2</w:t>
            </w:r>
          </w:p>
        </w:tc>
        <w:tc>
          <w:tcPr>
            <w:tcW w:type="dxa" w:w="1077"/>
          </w:tcPr>
          <w:p>
            <w:pPr>
              <w:spacing w:after="20" w:before="20" w:line="240" w:lineRule="auto"/>
              <w:jc w:val="center"/>
            </w:pPr>
            <w:r/>
            <w:r>
              <w:rPr>
                <w:rFonts w:ascii="Calibri" w:hAnsi="Calibri"/>
                <w:b w:val="0"/>
                <w:sz w:val="15"/>
              </w:rPr>
              <w:t>141.0</w:t>
            </w:r>
          </w:p>
        </w:tc>
        <w:tc>
          <w:tcPr>
            <w:tcW w:type="dxa" w:w="1077"/>
          </w:tcPr>
          <w:p>
            <w:pPr>
              <w:spacing w:after="20" w:before="20" w:line="240" w:lineRule="auto"/>
              <w:jc w:val="center"/>
            </w:pPr>
            <w:r/>
            <w:r>
              <w:rPr>
                <w:rFonts w:ascii="Calibri" w:hAnsi="Calibri"/>
                <w:b w:val="0"/>
                <w:sz w:val="15"/>
              </w:rPr>
              <w:t>0.0</w:t>
            </w:r>
          </w:p>
        </w:tc>
        <w:tc>
          <w:tcPr>
            <w:tcW w:type="dxa" w:w="907"/>
          </w:tcPr>
          <w:p>
            <w:pPr>
              <w:spacing w:after="20" w:before="20" w:line="240" w:lineRule="auto"/>
              <w:jc w:val="center"/>
            </w:pPr>
            <w:r/>
            <w:r>
              <w:rPr>
                <w:rFonts w:ascii="Calibri" w:hAnsi="Calibri"/>
                <w:b w:val="0"/>
                <w:sz w:val="15"/>
              </w:rPr>
              <w:t>93.5%</w:t>
            </w:r>
          </w:p>
        </w:tc>
        <w:tc>
          <w:tcPr>
            <w:tcW w:type="dxa" w:w="850"/>
          </w:tcPr>
          <w:p>
            <w:pPr>
              <w:spacing w:after="20" w:before="20" w:line="240" w:lineRule="auto"/>
              <w:jc w:val="center"/>
            </w:pPr>
            <w:r/>
            <w:r>
              <w:rPr>
                <w:rFonts w:ascii="Calibri" w:hAnsi="Calibri"/>
                <w:b w:val="0"/>
                <w:sz w:val="15"/>
              </w:rPr>
              <w:t>1</w:t>
            </w:r>
          </w:p>
        </w:tc>
        <w:tc>
          <w:tcPr>
            <w:tcW w:type="dxa" w:w="1020"/>
          </w:tcPr>
          <w:p>
            <w:pPr>
              <w:spacing w:after="20" w:before="20" w:line="240" w:lineRule="auto"/>
              <w:jc w:val="center"/>
            </w:pPr>
            <w:r/>
            <w:r>
              <w:rPr>
                <w:rFonts w:ascii="Calibri" w:hAnsi="Calibri"/>
                <w:b w:val="0"/>
                <w:sz w:val="15"/>
              </w:rPr>
              <w:t>3.76</w:t>
            </w:r>
          </w:p>
        </w:tc>
        <w:tc>
          <w:tcPr>
            <w:tcW w:type="dxa" w:w="1077"/>
          </w:tcPr>
          <w:p>
            <w:pPr>
              <w:spacing w:after="20" w:before="20" w:line="240" w:lineRule="auto"/>
              <w:jc w:val="center"/>
            </w:pPr>
            <w:r/>
            <w:r>
              <w:rPr>
                <w:rFonts w:ascii="Calibri" w:hAnsi="Calibri"/>
                <w:b w:val="0"/>
                <w:sz w:val="15"/>
              </w:rPr>
              <w:t>41.4</w:t>
            </w:r>
          </w:p>
        </w:tc>
      </w:tr>
      <w:tr>
        <w:tc>
          <w:tcPr>
            <w:tcW w:type="dxa" w:w="680"/>
            <w:shd w:val="clear" w:fill="F7F9FB"/>
          </w:tcPr>
          <w:p>
            <w:pPr>
              <w:spacing w:after="20" w:before="20" w:line="240" w:lineRule="auto"/>
              <w:jc w:val="center"/>
            </w:pPr>
            <w:r/>
            <w:r>
              <w:rPr>
                <w:rFonts w:ascii="Calibri" w:hAnsi="Calibri"/>
                <w:b w:val="0"/>
                <w:sz w:val="15"/>
              </w:rPr>
              <w:t>S7</w:t>
            </w:r>
          </w:p>
        </w:tc>
        <w:tc>
          <w:tcPr>
            <w:tcW w:type="dxa" w:w="3061"/>
            <w:shd w:val="clear" w:fill="F7F9FB"/>
          </w:tcPr>
          <w:p>
            <w:pPr>
              <w:spacing w:after="20" w:before="20" w:line="240" w:lineRule="auto"/>
            </w:pPr>
            <w:r/>
            <w:r>
              <w:rPr>
                <w:rFonts w:ascii="Calibri" w:hAnsi="Calibri"/>
                <w:b w:val="0"/>
                <w:sz w:val="15"/>
              </w:rPr>
              <w:t>Combined downside (demand +15%, price +10%, lead time x1.4, funding -10%)</w:t>
            </w:r>
          </w:p>
        </w:tc>
        <w:tc>
          <w:tcPr>
            <w:tcW w:type="dxa" w:w="1134"/>
            <w:shd w:val="clear" w:fill="F7F9FB"/>
          </w:tcPr>
          <w:p>
            <w:pPr>
              <w:spacing w:after="20" w:before="20" w:line="240" w:lineRule="auto"/>
              <w:jc w:val="center"/>
            </w:pPr>
            <w:r/>
            <w:r>
              <w:rPr>
                <w:rFonts w:ascii="Calibri" w:hAnsi="Calibri"/>
                <w:b w:val="0"/>
                <w:sz w:val="15"/>
              </w:rPr>
              <w:t>186.2</w:t>
            </w:r>
          </w:p>
        </w:tc>
        <w:tc>
          <w:tcPr>
            <w:tcW w:type="dxa" w:w="1077"/>
            <w:shd w:val="clear" w:fill="F7F9FB"/>
          </w:tcPr>
          <w:p>
            <w:pPr>
              <w:spacing w:after="20" w:before="20" w:line="240" w:lineRule="auto"/>
              <w:jc w:val="center"/>
            </w:pPr>
            <w:r/>
            <w:r>
              <w:rPr>
                <w:rFonts w:ascii="Calibri" w:hAnsi="Calibri"/>
                <w:b w:val="0"/>
                <w:sz w:val="15"/>
              </w:rPr>
              <w:t>202.8</w:t>
            </w:r>
          </w:p>
        </w:tc>
        <w:tc>
          <w:tcPr>
            <w:tcW w:type="dxa" w:w="1077"/>
            <w:shd w:val="clear" w:fill="F7F9FB"/>
          </w:tcPr>
          <w:p>
            <w:pPr>
              <w:spacing w:after="20" w:before="20" w:line="240" w:lineRule="auto"/>
              <w:jc w:val="center"/>
            </w:pPr>
            <w:r/>
            <w:r>
              <w:rPr>
                <w:rFonts w:ascii="Calibri" w:hAnsi="Calibri"/>
                <w:b w:val="0"/>
                <w:sz w:val="15"/>
              </w:rPr>
              <w:t>49.4</w:t>
            </w:r>
          </w:p>
        </w:tc>
        <w:tc>
          <w:tcPr>
            <w:tcW w:type="dxa" w:w="907"/>
            <w:shd w:val="clear" w:fill="F7F9FB"/>
          </w:tcPr>
          <w:p>
            <w:pPr>
              <w:spacing w:after="20" w:before="20" w:line="240" w:lineRule="auto"/>
              <w:jc w:val="center"/>
            </w:pPr>
            <w:r/>
            <w:r>
              <w:rPr>
                <w:rFonts w:ascii="Calibri" w:hAnsi="Calibri"/>
                <w:b w:val="0"/>
                <w:sz w:val="15"/>
              </w:rPr>
              <w:t>136.1%</w:t>
            </w:r>
          </w:p>
        </w:tc>
        <w:tc>
          <w:tcPr>
            <w:tcW w:type="dxa" w:w="850"/>
            <w:shd w:val="clear" w:fill="F7F9FB"/>
          </w:tcPr>
          <w:p>
            <w:pPr>
              <w:spacing w:after="20" w:before="20" w:line="240" w:lineRule="auto"/>
              <w:jc w:val="center"/>
            </w:pPr>
            <w:r/>
            <w:r>
              <w:rPr>
                <w:rFonts w:ascii="Calibri" w:hAnsi="Calibri"/>
                <w:b w:val="0"/>
                <w:sz w:val="15"/>
              </w:rPr>
              <w:t>14</w:t>
            </w:r>
          </w:p>
        </w:tc>
        <w:tc>
          <w:tcPr>
            <w:tcW w:type="dxa" w:w="1020"/>
            <w:shd w:val="clear" w:fill="F7F9FB"/>
          </w:tcPr>
          <w:p>
            <w:pPr>
              <w:spacing w:after="20" w:before="20" w:line="240" w:lineRule="auto"/>
              <w:jc w:val="center"/>
            </w:pPr>
            <w:r/>
            <w:r>
              <w:rPr>
                <w:rFonts w:ascii="Calibri" w:hAnsi="Calibri"/>
                <w:b w:val="0"/>
                <w:sz w:val="15"/>
              </w:rPr>
              <w:t>4.40</w:t>
            </w:r>
          </w:p>
        </w:tc>
        <w:tc>
          <w:tcPr>
            <w:tcW w:type="dxa" w:w="1077"/>
            <w:shd w:val="clear" w:fill="F7F9FB"/>
          </w:tcPr>
          <w:p>
            <w:pPr>
              <w:spacing w:after="20" w:before="20" w:line="240" w:lineRule="auto"/>
              <w:jc w:val="center"/>
            </w:pPr>
            <w:r/>
            <w:r>
              <w:rPr>
                <w:rFonts w:ascii="Calibri" w:hAnsi="Calibri"/>
                <w:b w:val="0"/>
                <w:sz w:val="15"/>
              </w:rPr>
              <w:t>59.3</w:t>
            </w:r>
          </w:p>
        </w:tc>
      </w:tr>
      <w:tr>
        <w:tc>
          <w:tcPr>
            <w:tcW w:type="dxa" w:w="680"/>
          </w:tcPr>
          <w:p>
            <w:pPr>
              <w:spacing w:after="20" w:before="20" w:line="240" w:lineRule="auto"/>
              <w:jc w:val="center"/>
            </w:pPr>
            <w:r/>
            <w:r>
              <w:rPr>
                <w:rFonts w:ascii="Calibri" w:hAnsi="Calibri"/>
                <w:b w:val="0"/>
                <w:sz w:val="15"/>
              </w:rPr>
              <w:t>S8</w:t>
            </w:r>
          </w:p>
        </w:tc>
        <w:tc>
          <w:tcPr>
            <w:tcW w:type="dxa" w:w="3061"/>
          </w:tcPr>
          <w:p>
            <w:pPr>
              <w:spacing w:after="20" w:before="20" w:line="240" w:lineRule="auto"/>
            </w:pPr>
            <w:r/>
            <w:r>
              <w:rPr>
                <w:rFonts w:ascii="Calibri" w:hAnsi="Calibri"/>
                <w:b w:val="0"/>
                <w:sz w:val="15"/>
              </w:rPr>
              <w:t>Optimised response to the downside (S7 + policy and framework levers)</w:t>
            </w:r>
          </w:p>
        </w:tc>
        <w:tc>
          <w:tcPr>
            <w:tcW w:type="dxa" w:w="1134"/>
          </w:tcPr>
          <w:p>
            <w:pPr>
              <w:spacing w:after="20" w:before="20" w:line="240" w:lineRule="auto"/>
              <w:jc w:val="center"/>
            </w:pPr>
            <w:r/>
            <w:r>
              <w:rPr>
                <w:rFonts w:ascii="Calibri" w:hAnsi="Calibri"/>
                <w:b w:val="0"/>
                <w:sz w:val="15"/>
              </w:rPr>
              <w:t>171.3</w:t>
            </w:r>
          </w:p>
        </w:tc>
        <w:tc>
          <w:tcPr>
            <w:tcW w:type="dxa" w:w="1077"/>
          </w:tcPr>
          <w:p>
            <w:pPr>
              <w:spacing w:after="20" w:before="20" w:line="240" w:lineRule="auto"/>
              <w:jc w:val="center"/>
            </w:pPr>
            <w:r/>
            <w:r>
              <w:rPr>
                <w:rFonts w:ascii="Calibri" w:hAnsi="Calibri"/>
                <w:b w:val="0"/>
                <w:sz w:val="15"/>
              </w:rPr>
              <w:t>165.9</w:t>
            </w:r>
          </w:p>
        </w:tc>
        <w:tc>
          <w:tcPr>
            <w:tcW w:type="dxa" w:w="1077"/>
          </w:tcPr>
          <w:p>
            <w:pPr>
              <w:spacing w:after="20" w:before="20" w:line="240" w:lineRule="auto"/>
              <w:jc w:val="center"/>
            </w:pPr>
            <w:r/>
            <w:r>
              <w:rPr>
                <w:rFonts w:ascii="Calibri" w:hAnsi="Calibri"/>
                <w:b w:val="0"/>
                <w:sz w:val="15"/>
              </w:rPr>
              <w:t>34.5</w:t>
            </w:r>
          </w:p>
        </w:tc>
        <w:tc>
          <w:tcPr>
            <w:tcW w:type="dxa" w:w="907"/>
          </w:tcPr>
          <w:p>
            <w:pPr>
              <w:spacing w:after="20" w:before="20" w:line="240" w:lineRule="auto"/>
              <w:jc w:val="center"/>
            </w:pPr>
            <w:r/>
            <w:r>
              <w:rPr>
                <w:rFonts w:ascii="Calibri" w:hAnsi="Calibri"/>
                <w:b w:val="0"/>
                <w:sz w:val="15"/>
              </w:rPr>
              <w:t>125.2%</w:t>
            </w:r>
          </w:p>
        </w:tc>
        <w:tc>
          <w:tcPr>
            <w:tcW w:type="dxa" w:w="850"/>
          </w:tcPr>
          <w:p>
            <w:pPr>
              <w:spacing w:after="20" w:before="20" w:line="240" w:lineRule="auto"/>
              <w:jc w:val="center"/>
            </w:pPr>
            <w:r/>
            <w:r>
              <w:rPr>
                <w:rFonts w:ascii="Calibri" w:hAnsi="Calibri"/>
                <w:b w:val="0"/>
                <w:sz w:val="15"/>
              </w:rPr>
              <w:t>5</w:t>
            </w:r>
          </w:p>
        </w:tc>
        <w:tc>
          <w:tcPr>
            <w:tcW w:type="dxa" w:w="1020"/>
          </w:tcPr>
          <w:p>
            <w:pPr>
              <w:spacing w:after="20" w:before="20" w:line="240" w:lineRule="auto"/>
              <w:jc w:val="center"/>
            </w:pPr>
            <w:r/>
            <w:r>
              <w:rPr>
                <w:rFonts w:ascii="Calibri" w:hAnsi="Calibri"/>
                <w:b w:val="0"/>
                <w:sz w:val="15"/>
              </w:rPr>
              <w:t>4.16</w:t>
            </w:r>
          </w:p>
        </w:tc>
        <w:tc>
          <w:tcPr>
            <w:tcW w:type="dxa" w:w="1077"/>
          </w:tcPr>
          <w:p>
            <w:pPr>
              <w:spacing w:after="20" w:before="20" w:line="240" w:lineRule="auto"/>
              <w:jc w:val="center"/>
            </w:pPr>
            <w:r/>
            <w:r>
              <w:rPr>
                <w:rFonts w:ascii="Calibri" w:hAnsi="Calibri"/>
                <w:b w:val="0"/>
                <w:sz w:val="15"/>
              </w:rPr>
              <w:t>35.6</w:t>
            </w:r>
          </w:p>
        </w:tc>
      </w:tr>
    </w:tbl>
    <w:p>
      <w:pPr>
        <w:spacing w:after="20"/>
      </w:pPr>
    </w:p>
    <w:p>
      <w:pPr>
        <w:spacing w:after="160"/>
      </w:pPr>
      <w:r>
        <w:rPr>
          <w:i/>
          <w:color w:val="595959"/>
          <w:sz w:val="16"/>
        </w:rPr>
        <w:t>Baseline S0 is the current parameter set; it already carries the approved demand and price assumptions, which is why it is not identical to the historic period totals in the analysis workbook.</w:t>
      </w:r>
    </w:p>
    <w:p>
      <w:pPr>
        <w:pStyle w:val="Heading2"/>
      </w:pPr>
      <w:r>
        <w:t>14.4 Reading the scenarios</w:t>
      </w:r>
    </w:p>
    <w:p>
      <w:pPr>
        <w:pStyle w:val="ListBullet"/>
        <w:spacing w:after="50"/>
        <w:ind w:left="340"/>
      </w:pPr>
      <w:r>
        <w:rPr>
          <w:b/>
        </w:rPr>
        <w:t xml:space="preserve">The value of acting. </w:t>
      </w:r>
      <w:r>
        <w:t>Combined downside (S7) opens a funding gap of PKR 49.4 million and pushes 14 items below the cover threshold. Applying the policy and commercial levers (S8) reduces the gap to PKR 34.5 million — PKR 14.9 million, or 30% of the downside, is within management control.</w:t>
      </w:r>
    </w:p>
    <w:p>
      <w:pPr>
        <w:pStyle w:val="ListBullet"/>
        <w:spacing w:after="50"/>
        <w:ind w:left="340"/>
      </w:pPr>
      <w:r>
        <w:rPr>
          <w:b/>
        </w:rPr>
        <w:t xml:space="preserve">The cheapest lever. </w:t>
      </w:r>
      <w:r>
        <w:t>Moving from 90 to 60 days of cover (S5) releases PKR 14.8 million of working capital and cuts the purchase requirement by PKR 13.4 million, at a small change in expiry risk.</w:t>
      </w:r>
    </w:p>
    <w:p>
      <w:pPr>
        <w:pStyle w:val="ListBullet"/>
        <w:spacing w:after="50"/>
        <w:ind w:left="340"/>
      </w:pPr>
      <w:r>
        <w:rPr>
          <w:b/>
        </w:rPr>
        <w:t xml:space="preserve">The quiet risk. </w:t>
      </w:r>
      <w:r>
        <w:t>A 60% lead-time increase with reliability falling to 70% (S3) barely moves the funding gap but takes stock-out items from 2 to 18. Supply risk does not announce itself in the budget — it shows up at the service point.</w:t>
      </w:r>
    </w:p>
    <w:p>
      <w:pPr>
        <w:pStyle w:val="ListBullet"/>
        <w:spacing w:after="50"/>
        <w:ind w:left="340"/>
      </w:pPr>
      <w:r>
        <w:rPr>
          <w:b/>
        </w:rPr>
        <w:t xml:space="preserve">The limit of commercial action. </w:t>
      </w:r>
      <w:r>
        <w:t>Framework contracting (S6) brings the baseline gap to zero, but it cannot absorb a demand or price shock on its own: it is a margin lever, not a capacity lever.</w:t>
      </w:r>
    </w:p>
    <w:p>
      <w:pPr>
        <w:pStyle w:val="Heading2"/>
      </w:pPr>
      <w:r>
        <w:t>14.5 Sensitivity – what to watch</w:t>
      </w:r>
    </w:p>
    <w:p>
      <w:pPr>
        <w:spacing w:after="100"/>
      </w:pPr>
      <w:r>
        <w:rPr>
          <w:b w:val="0"/>
          <w:i w:val="0"/>
        </w:rPr>
        <w:t>One lever at a time, moved between a low and a high value, ranked by the effect on the funding gap. Monitoring effort should follow this ranking.</w:t>
      </w:r>
    </w:p>
    <w:tbl>
      <w:tblPr>
        <w:tblStyle w:val="TableGrid"/>
        <w:tblW w:type="auto" w:w="0"/>
        <w:jc w:val="center"/>
        <w:tblLayout w:type="fixed"/>
        <w:tblLook w:firstColumn="1" w:firstRow="1" w:lastColumn="0" w:lastRow="0" w:noHBand="0" w:noVBand="1" w:val="04A0"/>
      </w:tblPr>
      <w:tblGrid>
        <w:gridCol w:w="1681"/>
        <w:gridCol w:w="1681"/>
        <w:gridCol w:w="1681"/>
        <w:gridCol w:w="1681"/>
        <w:gridCol w:w="1681"/>
        <w:gridCol w:w="1681"/>
      </w:tblGrid>
      <w:tr>
        <w:trPr>
          <w:tblHeader/>
        </w:trPr>
        <w:tc>
          <w:tcPr>
            <w:tcW w:type="dxa" w:w="737"/>
            <w:shd w:val="clear" w:fill="1F3B57"/>
          </w:tcPr>
          <w:p>
            <w:pPr>
              <w:spacing w:after="20" w:before="20" w:line="240" w:lineRule="auto"/>
            </w:pPr>
            <w:r/>
            <w:r>
              <w:rPr>
                <w:rFonts w:ascii="Calibri" w:hAnsi="Calibri"/>
                <w:b/>
                <w:color w:val="FFFFFF"/>
                <w:sz w:val="16"/>
              </w:rPr>
              <w:t>Rank</w:t>
            </w:r>
          </w:p>
        </w:tc>
        <w:tc>
          <w:tcPr>
            <w:tcW w:type="dxa" w:w="2835"/>
            <w:shd w:val="clear" w:fill="1F3B57"/>
          </w:tcPr>
          <w:p>
            <w:pPr>
              <w:spacing w:after="20" w:before="20" w:line="240" w:lineRule="auto"/>
            </w:pPr>
            <w:r/>
            <w:r>
              <w:rPr>
                <w:rFonts w:ascii="Calibri" w:hAnsi="Calibri"/>
                <w:b/>
                <w:color w:val="FFFFFF"/>
                <w:sz w:val="16"/>
              </w:rPr>
              <w:t>Lever</w:t>
            </w:r>
          </w:p>
        </w:tc>
        <w:tc>
          <w:tcPr>
            <w:tcW w:type="dxa" w:w="1701"/>
            <w:shd w:val="clear" w:fill="1F3B57"/>
          </w:tcPr>
          <w:p>
            <w:pPr>
              <w:spacing w:after="20" w:before="20" w:line="240" w:lineRule="auto"/>
            </w:pPr>
            <w:r/>
            <w:r>
              <w:rPr>
                <w:rFonts w:ascii="Calibri" w:hAnsi="Calibri"/>
                <w:b/>
                <w:color w:val="FFFFFF"/>
                <w:sz w:val="16"/>
              </w:rPr>
              <w:t>Low → high</w:t>
            </w:r>
          </w:p>
        </w:tc>
        <w:tc>
          <w:tcPr>
            <w:tcW w:type="dxa" w:w="1587"/>
            <w:shd w:val="clear" w:fill="1F3B57"/>
          </w:tcPr>
          <w:p>
            <w:pPr>
              <w:spacing w:after="20" w:before="20" w:line="240" w:lineRule="auto"/>
            </w:pPr>
            <w:r/>
            <w:r>
              <w:rPr>
                <w:rFonts w:ascii="Calibri" w:hAnsi="Calibri"/>
                <w:b/>
                <w:color w:val="FFFFFF"/>
                <w:sz w:val="16"/>
              </w:rPr>
              <w:t>Funding gap at low (PKR m)</w:t>
            </w:r>
          </w:p>
        </w:tc>
        <w:tc>
          <w:tcPr>
            <w:tcW w:type="dxa" w:w="1474"/>
            <w:shd w:val="clear" w:fill="1F3B57"/>
          </w:tcPr>
          <w:p>
            <w:pPr>
              <w:spacing w:after="20" w:before="20" w:line="240" w:lineRule="auto"/>
            </w:pPr>
            <w:r/>
            <w:r>
              <w:rPr>
                <w:rFonts w:ascii="Calibri" w:hAnsi="Calibri"/>
                <w:b/>
                <w:color w:val="FFFFFF"/>
                <w:sz w:val="16"/>
              </w:rPr>
              <w:t>at high (PKR m)</w:t>
            </w:r>
          </w:p>
        </w:tc>
        <w:tc>
          <w:tcPr>
            <w:tcW w:type="dxa" w:w="1417"/>
            <w:shd w:val="clear" w:fill="1F3B57"/>
          </w:tcPr>
          <w:p>
            <w:pPr>
              <w:spacing w:after="20" w:before="20" w:line="240" w:lineRule="auto"/>
            </w:pPr>
            <w:r/>
            <w:r>
              <w:rPr>
                <w:rFonts w:ascii="Calibri" w:hAnsi="Calibri"/>
                <w:b/>
                <w:color w:val="FFFFFF"/>
                <w:sz w:val="16"/>
              </w:rPr>
              <w:t>Swing (PKR m)</w:t>
            </w:r>
          </w:p>
        </w:tc>
      </w:tr>
      <w:tr>
        <w:tc>
          <w:tcPr>
            <w:tcW w:type="dxa" w:w="737"/>
          </w:tcPr>
          <w:p>
            <w:pPr>
              <w:spacing w:after="20" w:before="20" w:line="240" w:lineRule="auto"/>
              <w:jc w:val="center"/>
            </w:pPr>
            <w:r/>
            <w:r>
              <w:rPr>
                <w:rFonts w:ascii="Calibri" w:hAnsi="Calibri"/>
                <w:b w:val="0"/>
                <w:sz w:val="16"/>
              </w:rPr>
              <w:t>1</w:t>
            </w:r>
          </w:p>
        </w:tc>
        <w:tc>
          <w:tcPr>
            <w:tcW w:type="dxa" w:w="2835"/>
          </w:tcPr>
          <w:p>
            <w:pPr>
              <w:spacing w:after="20" w:before="20" w:line="240" w:lineRule="auto"/>
            </w:pPr>
            <w:r/>
            <w:r>
              <w:rPr>
                <w:rFonts w:ascii="Calibri" w:hAnsi="Calibri"/>
                <w:b w:val="0"/>
                <w:sz w:val="16"/>
              </w:rPr>
              <w:t>funding_cut_pct</w:t>
            </w:r>
          </w:p>
        </w:tc>
        <w:tc>
          <w:tcPr>
            <w:tcW w:type="dxa" w:w="1701"/>
          </w:tcPr>
          <w:p>
            <w:pPr>
              <w:spacing w:after="20" w:before="20" w:line="240" w:lineRule="auto"/>
              <w:jc w:val="center"/>
            </w:pPr>
            <w:r/>
            <w:r>
              <w:rPr>
                <w:rFonts w:ascii="Calibri" w:hAnsi="Calibri"/>
                <w:b w:val="0"/>
                <w:sz w:val="16"/>
              </w:rPr>
              <w:t>0.0 → 0.25</w:t>
            </w:r>
          </w:p>
        </w:tc>
        <w:tc>
          <w:tcPr>
            <w:tcW w:type="dxa" w:w="1587"/>
          </w:tcPr>
          <w:p>
            <w:pPr>
              <w:spacing w:after="20" w:before="20" w:line="240" w:lineRule="auto"/>
              <w:jc w:val="center"/>
            </w:pPr>
            <w:r/>
            <w:r>
              <w:rPr>
                <w:rFonts w:ascii="Calibri" w:hAnsi="Calibri"/>
                <w:b w:val="0"/>
                <w:sz w:val="16"/>
              </w:rPr>
              <w:t>2.5</w:t>
            </w:r>
          </w:p>
        </w:tc>
        <w:tc>
          <w:tcPr>
            <w:tcW w:type="dxa" w:w="1474"/>
          </w:tcPr>
          <w:p>
            <w:pPr>
              <w:spacing w:after="20" w:before="20" w:line="240" w:lineRule="auto"/>
              <w:jc w:val="center"/>
            </w:pPr>
            <w:r/>
            <w:r>
              <w:rPr>
                <w:rFonts w:ascii="Calibri" w:hAnsi="Calibri"/>
                <w:b w:val="0"/>
                <w:sz w:val="16"/>
              </w:rPr>
              <w:t>40.5</w:t>
            </w:r>
          </w:p>
        </w:tc>
        <w:tc>
          <w:tcPr>
            <w:tcW w:type="dxa" w:w="1417"/>
          </w:tcPr>
          <w:p>
            <w:pPr>
              <w:spacing w:after="20" w:before="20" w:line="240" w:lineRule="auto"/>
              <w:jc w:val="center"/>
            </w:pPr>
            <w:r/>
            <w:r>
              <w:rPr>
                <w:rFonts w:ascii="Calibri" w:hAnsi="Calibri"/>
                <w:b w:val="0"/>
                <w:sz w:val="16"/>
              </w:rPr>
              <w:t>38.0</w:t>
            </w:r>
          </w:p>
        </w:tc>
      </w:tr>
      <w:tr>
        <w:tc>
          <w:tcPr>
            <w:tcW w:type="dxa" w:w="737"/>
            <w:shd w:val="clear" w:fill="F7F9FB"/>
          </w:tcPr>
          <w:p>
            <w:pPr>
              <w:spacing w:after="20" w:before="20" w:line="240" w:lineRule="auto"/>
              <w:jc w:val="center"/>
            </w:pPr>
            <w:r/>
            <w:r>
              <w:rPr>
                <w:rFonts w:ascii="Calibri" w:hAnsi="Calibri"/>
                <w:b w:val="0"/>
                <w:sz w:val="16"/>
              </w:rPr>
              <w:t>2</w:t>
            </w:r>
          </w:p>
        </w:tc>
        <w:tc>
          <w:tcPr>
            <w:tcW w:type="dxa" w:w="2835"/>
            <w:shd w:val="clear" w:fill="F7F9FB"/>
          </w:tcPr>
          <w:p>
            <w:pPr>
              <w:spacing w:after="20" w:before="20" w:line="240" w:lineRule="auto"/>
            </w:pPr>
            <w:r/>
            <w:r>
              <w:rPr>
                <w:rFonts w:ascii="Calibri" w:hAnsi="Calibri"/>
                <w:b w:val="0"/>
                <w:sz w:val="16"/>
              </w:rPr>
              <w:t>demand_growth_pct</w:t>
            </w:r>
          </w:p>
        </w:tc>
        <w:tc>
          <w:tcPr>
            <w:tcW w:type="dxa" w:w="1701"/>
            <w:shd w:val="clear" w:fill="F7F9FB"/>
          </w:tcPr>
          <w:p>
            <w:pPr>
              <w:spacing w:after="20" w:before="20" w:line="240" w:lineRule="auto"/>
              <w:jc w:val="center"/>
            </w:pPr>
            <w:r/>
            <w:r>
              <w:rPr>
                <w:rFonts w:ascii="Calibri" w:hAnsi="Calibri"/>
                <w:b w:val="0"/>
                <w:sz w:val="16"/>
              </w:rPr>
              <w:t>0.0 → 0.25</w:t>
            </w:r>
          </w:p>
        </w:tc>
        <w:tc>
          <w:tcPr>
            <w:tcW w:type="dxa" w:w="1587"/>
            <w:shd w:val="clear" w:fill="F7F9FB"/>
          </w:tcPr>
          <w:p>
            <w:pPr>
              <w:spacing w:after="20" w:before="20" w:line="240" w:lineRule="auto"/>
              <w:jc w:val="center"/>
            </w:pPr>
            <w:r/>
            <w:r>
              <w:rPr>
                <w:rFonts w:ascii="Calibri" w:hAnsi="Calibri"/>
                <w:b w:val="0"/>
                <w:sz w:val="16"/>
              </w:rPr>
              <w:t>0.0</w:t>
            </w:r>
          </w:p>
        </w:tc>
        <w:tc>
          <w:tcPr>
            <w:tcW w:type="dxa" w:w="1474"/>
            <w:shd w:val="clear" w:fill="F7F9FB"/>
          </w:tcPr>
          <w:p>
            <w:pPr>
              <w:spacing w:after="20" w:before="20" w:line="240" w:lineRule="auto"/>
              <w:jc w:val="center"/>
            </w:pPr>
            <w:r/>
            <w:r>
              <w:rPr>
                <w:rFonts w:ascii="Calibri" w:hAnsi="Calibri"/>
                <w:b w:val="0"/>
                <w:sz w:val="16"/>
              </w:rPr>
              <w:t>31.9</w:t>
            </w:r>
          </w:p>
        </w:tc>
        <w:tc>
          <w:tcPr>
            <w:tcW w:type="dxa" w:w="1417"/>
            <w:shd w:val="clear" w:fill="F7F9FB"/>
          </w:tcPr>
          <w:p>
            <w:pPr>
              <w:spacing w:after="20" w:before="20" w:line="240" w:lineRule="auto"/>
              <w:jc w:val="center"/>
            </w:pPr>
            <w:r/>
            <w:r>
              <w:rPr>
                <w:rFonts w:ascii="Calibri" w:hAnsi="Calibri"/>
                <w:b w:val="0"/>
                <w:sz w:val="16"/>
              </w:rPr>
              <w:t>31.9</w:t>
            </w:r>
          </w:p>
        </w:tc>
      </w:tr>
      <w:tr>
        <w:tc>
          <w:tcPr>
            <w:tcW w:type="dxa" w:w="737"/>
          </w:tcPr>
          <w:p>
            <w:pPr>
              <w:spacing w:after="20" w:before="20" w:line="240" w:lineRule="auto"/>
              <w:jc w:val="center"/>
            </w:pPr>
            <w:r/>
            <w:r>
              <w:rPr>
                <w:rFonts w:ascii="Calibri" w:hAnsi="Calibri"/>
                <w:b w:val="0"/>
                <w:sz w:val="16"/>
              </w:rPr>
              <w:t>3</w:t>
            </w:r>
          </w:p>
        </w:tc>
        <w:tc>
          <w:tcPr>
            <w:tcW w:type="dxa" w:w="2835"/>
          </w:tcPr>
          <w:p>
            <w:pPr>
              <w:spacing w:after="20" w:before="20" w:line="240" w:lineRule="auto"/>
            </w:pPr>
            <w:r/>
            <w:r>
              <w:rPr>
                <w:rFonts w:ascii="Calibri" w:hAnsi="Calibri"/>
                <w:b w:val="0"/>
                <w:sz w:val="16"/>
              </w:rPr>
              <w:t>price_inflation_pct</w:t>
            </w:r>
          </w:p>
        </w:tc>
        <w:tc>
          <w:tcPr>
            <w:tcW w:type="dxa" w:w="1701"/>
          </w:tcPr>
          <w:p>
            <w:pPr>
              <w:spacing w:after="20" w:before="20" w:line="240" w:lineRule="auto"/>
              <w:jc w:val="center"/>
            </w:pPr>
            <w:r/>
            <w:r>
              <w:rPr>
                <w:rFonts w:ascii="Calibri" w:hAnsi="Calibri"/>
                <w:b w:val="0"/>
                <w:sz w:val="16"/>
              </w:rPr>
              <w:t>0.03 → 0.18</w:t>
            </w:r>
          </w:p>
        </w:tc>
        <w:tc>
          <w:tcPr>
            <w:tcW w:type="dxa" w:w="1587"/>
          </w:tcPr>
          <w:p>
            <w:pPr>
              <w:spacing w:after="20" w:before="20" w:line="240" w:lineRule="auto"/>
              <w:jc w:val="center"/>
            </w:pPr>
            <w:r/>
            <w:r>
              <w:rPr>
                <w:rFonts w:ascii="Calibri" w:hAnsi="Calibri"/>
                <w:b w:val="0"/>
                <w:sz w:val="16"/>
              </w:rPr>
              <w:t>0.0</w:t>
            </w:r>
          </w:p>
        </w:tc>
        <w:tc>
          <w:tcPr>
            <w:tcW w:type="dxa" w:w="1474"/>
          </w:tcPr>
          <w:p>
            <w:pPr>
              <w:spacing w:after="20" w:before="20" w:line="240" w:lineRule="auto"/>
              <w:jc w:val="center"/>
            </w:pPr>
            <w:r/>
            <w:r>
              <w:rPr>
                <w:rFonts w:ascii="Calibri" w:hAnsi="Calibri"/>
                <w:b w:val="0"/>
                <w:sz w:val="16"/>
              </w:rPr>
              <w:t>15.3</w:t>
            </w:r>
          </w:p>
        </w:tc>
        <w:tc>
          <w:tcPr>
            <w:tcW w:type="dxa" w:w="1417"/>
          </w:tcPr>
          <w:p>
            <w:pPr>
              <w:spacing w:after="20" w:before="20" w:line="240" w:lineRule="auto"/>
              <w:jc w:val="center"/>
            </w:pPr>
            <w:r/>
            <w:r>
              <w:rPr>
                <w:rFonts w:ascii="Calibri" w:hAnsi="Calibri"/>
                <w:b w:val="0"/>
                <w:sz w:val="16"/>
              </w:rPr>
              <w:t>15.3</w:t>
            </w:r>
          </w:p>
        </w:tc>
      </w:tr>
      <w:tr>
        <w:tc>
          <w:tcPr>
            <w:tcW w:type="dxa" w:w="737"/>
            <w:shd w:val="clear" w:fill="F7F9FB"/>
          </w:tcPr>
          <w:p>
            <w:pPr>
              <w:spacing w:after="20" w:before="20" w:line="240" w:lineRule="auto"/>
              <w:jc w:val="center"/>
            </w:pPr>
            <w:r/>
            <w:r>
              <w:rPr>
                <w:rFonts w:ascii="Calibri" w:hAnsi="Calibri"/>
                <w:b w:val="0"/>
                <w:sz w:val="16"/>
              </w:rPr>
              <w:t>4</w:t>
            </w:r>
          </w:p>
        </w:tc>
        <w:tc>
          <w:tcPr>
            <w:tcW w:type="dxa" w:w="2835"/>
            <w:shd w:val="clear" w:fill="F7F9FB"/>
          </w:tcPr>
          <w:p>
            <w:pPr>
              <w:spacing w:after="20" w:before="20" w:line="240" w:lineRule="auto"/>
            </w:pPr>
            <w:r/>
            <w:r>
              <w:rPr>
                <w:rFonts w:ascii="Calibri" w:hAnsi="Calibri"/>
                <w:b w:val="0"/>
                <w:sz w:val="16"/>
              </w:rPr>
              <w:t>lead_time_multiplier</w:t>
            </w:r>
          </w:p>
        </w:tc>
        <w:tc>
          <w:tcPr>
            <w:tcW w:type="dxa" w:w="1701"/>
            <w:shd w:val="clear" w:fill="F7F9FB"/>
          </w:tcPr>
          <w:p>
            <w:pPr>
              <w:spacing w:after="20" w:before="20" w:line="240" w:lineRule="auto"/>
              <w:jc w:val="center"/>
            </w:pPr>
            <w:r/>
            <w:r>
              <w:rPr>
                <w:rFonts w:ascii="Calibri" w:hAnsi="Calibri"/>
                <w:b w:val="0"/>
                <w:sz w:val="16"/>
              </w:rPr>
              <w:t>0.8 → 1.8</w:t>
            </w:r>
          </w:p>
        </w:tc>
        <w:tc>
          <w:tcPr>
            <w:tcW w:type="dxa" w:w="1587"/>
            <w:shd w:val="clear" w:fill="F7F9FB"/>
          </w:tcPr>
          <w:p>
            <w:pPr>
              <w:spacing w:after="20" w:before="20" w:line="240" w:lineRule="auto"/>
              <w:jc w:val="center"/>
            </w:pPr>
            <w:r/>
            <w:r>
              <w:rPr>
                <w:rFonts w:ascii="Calibri" w:hAnsi="Calibri"/>
                <w:b w:val="0"/>
                <w:sz w:val="16"/>
              </w:rPr>
              <w:t>2.5</w:t>
            </w:r>
          </w:p>
        </w:tc>
        <w:tc>
          <w:tcPr>
            <w:tcW w:type="dxa" w:w="1474"/>
            <w:shd w:val="clear" w:fill="F7F9FB"/>
          </w:tcPr>
          <w:p>
            <w:pPr>
              <w:spacing w:after="20" w:before="20" w:line="240" w:lineRule="auto"/>
              <w:jc w:val="center"/>
            </w:pPr>
            <w:r/>
            <w:r>
              <w:rPr>
                <w:rFonts w:ascii="Calibri" w:hAnsi="Calibri"/>
                <w:b w:val="0"/>
                <w:sz w:val="16"/>
              </w:rPr>
              <w:t>2.5</w:t>
            </w:r>
          </w:p>
        </w:tc>
        <w:tc>
          <w:tcPr>
            <w:tcW w:type="dxa" w:w="1417"/>
            <w:shd w:val="clear" w:fill="F7F9FB"/>
          </w:tcPr>
          <w:p>
            <w:pPr>
              <w:spacing w:after="20" w:before="20" w:line="240" w:lineRule="auto"/>
              <w:jc w:val="center"/>
            </w:pPr>
            <w:r/>
            <w:r>
              <w:rPr>
                <w:rFonts w:ascii="Calibri" w:hAnsi="Calibri"/>
                <w:b w:val="0"/>
                <w:sz w:val="16"/>
              </w:rPr>
              <w:t>0.0</w:t>
            </w:r>
          </w:p>
        </w:tc>
      </w:tr>
      <w:tr>
        <w:tc>
          <w:tcPr>
            <w:tcW w:type="dxa" w:w="737"/>
          </w:tcPr>
          <w:p>
            <w:pPr>
              <w:spacing w:after="20" w:before="20" w:line="240" w:lineRule="auto"/>
              <w:jc w:val="center"/>
            </w:pPr>
            <w:r/>
            <w:r>
              <w:rPr>
                <w:rFonts w:ascii="Calibri" w:hAnsi="Calibri"/>
                <w:b w:val="0"/>
                <w:sz w:val="16"/>
              </w:rPr>
              <w:t>5</w:t>
            </w:r>
          </w:p>
        </w:tc>
        <w:tc>
          <w:tcPr>
            <w:tcW w:type="dxa" w:w="2835"/>
          </w:tcPr>
          <w:p>
            <w:pPr>
              <w:spacing w:after="20" w:before="20" w:line="240" w:lineRule="auto"/>
            </w:pPr>
            <w:r/>
            <w:r>
              <w:rPr>
                <w:rFonts w:ascii="Calibri" w:hAnsi="Calibri"/>
                <w:b w:val="0"/>
                <w:sz w:val="16"/>
              </w:rPr>
              <w:t>target_cover_days</w:t>
            </w:r>
          </w:p>
        </w:tc>
        <w:tc>
          <w:tcPr>
            <w:tcW w:type="dxa" w:w="1701"/>
          </w:tcPr>
          <w:p>
            <w:pPr>
              <w:spacing w:after="20" w:before="20" w:line="240" w:lineRule="auto"/>
              <w:jc w:val="center"/>
            </w:pPr>
            <w:r/>
            <w:r>
              <w:rPr>
                <w:rFonts w:ascii="Calibri" w:hAnsi="Calibri"/>
                <w:b w:val="0"/>
                <w:sz w:val="16"/>
              </w:rPr>
              <w:t>45 → 120</w:t>
            </w:r>
          </w:p>
        </w:tc>
        <w:tc>
          <w:tcPr>
            <w:tcW w:type="dxa" w:w="1587"/>
          </w:tcPr>
          <w:p>
            <w:pPr>
              <w:spacing w:after="20" w:before="20" w:line="240" w:lineRule="auto"/>
              <w:jc w:val="center"/>
            </w:pPr>
            <w:r/>
            <w:r>
              <w:rPr>
                <w:rFonts w:ascii="Calibri" w:hAnsi="Calibri"/>
                <w:b w:val="0"/>
                <w:sz w:val="16"/>
              </w:rPr>
              <w:t>2.5</w:t>
            </w:r>
          </w:p>
        </w:tc>
        <w:tc>
          <w:tcPr>
            <w:tcW w:type="dxa" w:w="1474"/>
          </w:tcPr>
          <w:p>
            <w:pPr>
              <w:spacing w:after="20" w:before="20" w:line="240" w:lineRule="auto"/>
              <w:jc w:val="center"/>
            </w:pPr>
            <w:r/>
            <w:r>
              <w:rPr>
                <w:rFonts w:ascii="Calibri" w:hAnsi="Calibri"/>
                <w:b w:val="0"/>
                <w:sz w:val="16"/>
              </w:rPr>
              <w:t>2.5</w:t>
            </w:r>
          </w:p>
        </w:tc>
        <w:tc>
          <w:tcPr>
            <w:tcW w:type="dxa" w:w="1417"/>
          </w:tcPr>
          <w:p>
            <w:pPr>
              <w:spacing w:after="20" w:before="20" w:line="240" w:lineRule="auto"/>
              <w:jc w:val="center"/>
            </w:pPr>
            <w:r/>
            <w:r>
              <w:rPr>
                <w:rFonts w:ascii="Calibri" w:hAnsi="Calibri"/>
                <w:b w:val="0"/>
                <w:sz w:val="16"/>
              </w:rPr>
              <w:t>0.0</w:t>
            </w:r>
          </w:p>
        </w:tc>
      </w:tr>
      <w:tr>
        <w:tc>
          <w:tcPr>
            <w:tcW w:type="dxa" w:w="737"/>
            <w:shd w:val="clear" w:fill="F7F9FB"/>
          </w:tcPr>
          <w:p>
            <w:pPr>
              <w:spacing w:after="20" w:before="20" w:line="240" w:lineRule="auto"/>
              <w:jc w:val="center"/>
            </w:pPr>
            <w:r/>
            <w:r>
              <w:rPr>
                <w:rFonts w:ascii="Calibri" w:hAnsi="Calibri"/>
                <w:b w:val="0"/>
                <w:sz w:val="16"/>
              </w:rPr>
              <w:t>6</w:t>
            </w:r>
          </w:p>
        </w:tc>
        <w:tc>
          <w:tcPr>
            <w:tcW w:type="dxa" w:w="2835"/>
            <w:shd w:val="clear" w:fill="F7F9FB"/>
          </w:tcPr>
          <w:p>
            <w:pPr>
              <w:spacing w:after="20" w:before="20" w:line="240" w:lineRule="auto"/>
            </w:pPr>
            <w:r/>
            <w:r>
              <w:rPr>
                <w:rFonts w:ascii="Calibri" w:hAnsi="Calibri"/>
                <w:b w:val="0"/>
                <w:sz w:val="16"/>
              </w:rPr>
              <w:t>wastage_rate_pct</w:t>
            </w:r>
          </w:p>
        </w:tc>
        <w:tc>
          <w:tcPr>
            <w:tcW w:type="dxa" w:w="1701"/>
            <w:shd w:val="clear" w:fill="F7F9FB"/>
          </w:tcPr>
          <w:p>
            <w:pPr>
              <w:spacing w:after="20" w:before="20" w:line="240" w:lineRule="auto"/>
              <w:jc w:val="center"/>
            </w:pPr>
            <w:r/>
            <w:r>
              <w:rPr>
                <w:rFonts w:ascii="Calibri" w:hAnsi="Calibri"/>
                <w:b w:val="0"/>
                <w:sz w:val="16"/>
              </w:rPr>
              <w:t>0.005 → 0.04</w:t>
            </w:r>
          </w:p>
        </w:tc>
        <w:tc>
          <w:tcPr>
            <w:tcW w:type="dxa" w:w="1587"/>
            <w:shd w:val="clear" w:fill="F7F9FB"/>
          </w:tcPr>
          <w:p>
            <w:pPr>
              <w:spacing w:after="20" w:before="20" w:line="240" w:lineRule="auto"/>
              <w:jc w:val="center"/>
            </w:pPr>
            <w:r/>
            <w:r>
              <w:rPr>
                <w:rFonts w:ascii="Calibri" w:hAnsi="Calibri"/>
                <w:b w:val="0"/>
                <w:sz w:val="16"/>
              </w:rPr>
              <w:t>2.5</w:t>
            </w:r>
          </w:p>
        </w:tc>
        <w:tc>
          <w:tcPr>
            <w:tcW w:type="dxa" w:w="1474"/>
            <w:shd w:val="clear" w:fill="F7F9FB"/>
          </w:tcPr>
          <w:p>
            <w:pPr>
              <w:spacing w:after="20" w:before="20" w:line="240" w:lineRule="auto"/>
              <w:jc w:val="center"/>
            </w:pPr>
            <w:r/>
            <w:r>
              <w:rPr>
                <w:rFonts w:ascii="Calibri" w:hAnsi="Calibri"/>
                <w:b w:val="0"/>
                <w:sz w:val="16"/>
              </w:rPr>
              <w:t>2.5</w:t>
            </w:r>
          </w:p>
        </w:tc>
        <w:tc>
          <w:tcPr>
            <w:tcW w:type="dxa" w:w="1417"/>
            <w:shd w:val="clear" w:fill="F7F9FB"/>
          </w:tcPr>
          <w:p>
            <w:pPr>
              <w:spacing w:after="20" w:before="20" w:line="240" w:lineRule="auto"/>
              <w:jc w:val="center"/>
            </w:pPr>
            <w:r/>
            <w:r>
              <w:rPr>
                <w:rFonts w:ascii="Calibri" w:hAnsi="Calibri"/>
                <w:b w:val="0"/>
                <w:sz w:val="16"/>
              </w:rPr>
              <w:t>0.0</w:t>
            </w:r>
          </w:p>
        </w:tc>
      </w:tr>
      <w:tr>
        <w:tc>
          <w:tcPr>
            <w:tcW w:type="dxa" w:w="737"/>
          </w:tcPr>
          <w:p>
            <w:pPr>
              <w:spacing w:after="20" w:before="20" w:line="240" w:lineRule="auto"/>
              <w:jc w:val="center"/>
            </w:pPr>
            <w:r/>
            <w:r>
              <w:rPr>
                <w:rFonts w:ascii="Calibri" w:hAnsi="Calibri"/>
                <w:b w:val="0"/>
                <w:sz w:val="16"/>
              </w:rPr>
              <w:t>7</w:t>
            </w:r>
          </w:p>
        </w:tc>
        <w:tc>
          <w:tcPr>
            <w:tcW w:type="dxa" w:w="2835"/>
          </w:tcPr>
          <w:p>
            <w:pPr>
              <w:spacing w:after="20" w:before="20" w:line="240" w:lineRule="auto"/>
            </w:pPr>
            <w:r/>
            <w:r>
              <w:rPr>
                <w:rFonts w:ascii="Calibri" w:hAnsi="Calibri"/>
                <w:b w:val="0"/>
                <w:sz w:val="16"/>
              </w:rPr>
              <w:t>redistribution_share_pct</w:t>
            </w:r>
          </w:p>
        </w:tc>
        <w:tc>
          <w:tcPr>
            <w:tcW w:type="dxa" w:w="1701"/>
          </w:tcPr>
          <w:p>
            <w:pPr>
              <w:spacing w:after="20" w:before="20" w:line="240" w:lineRule="auto"/>
              <w:jc w:val="center"/>
            </w:pPr>
            <w:r/>
            <w:r>
              <w:rPr>
                <w:rFonts w:ascii="Calibri" w:hAnsi="Calibri"/>
                <w:b w:val="0"/>
                <w:sz w:val="16"/>
              </w:rPr>
              <w:t>0.0 → 0.8</w:t>
            </w:r>
          </w:p>
        </w:tc>
        <w:tc>
          <w:tcPr>
            <w:tcW w:type="dxa" w:w="1587"/>
          </w:tcPr>
          <w:p>
            <w:pPr>
              <w:spacing w:after="20" w:before="20" w:line="240" w:lineRule="auto"/>
              <w:jc w:val="center"/>
            </w:pPr>
            <w:r/>
            <w:r>
              <w:rPr>
                <w:rFonts w:ascii="Calibri" w:hAnsi="Calibri"/>
                <w:b w:val="0"/>
                <w:sz w:val="16"/>
              </w:rPr>
              <w:t>2.5</w:t>
            </w:r>
          </w:p>
        </w:tc>
        <w:tc>
          <w:tcPr>
            <w:tcW w:type="dxa" w:w="1474"/>
          </w:tcPr>
          <w:p>
            <w:pPr>
              <w:spacing w:after="20" w:before="20" w:line="240" w:lineRule="auto"/>
              <w:jc w:val="center"/>
            </w:pPr>
            <w:r/>
            <w:r>
              <w:rPr>
                <w:rFonts w:ascii="Calibri" w:hAnsi="Calibri"/>
                <w:b w:val="0"/>
                <w:sz w:val="16"/>
              </w:rPr>
              <w:t>2.5</w:t>
            </w:r>
          </w:p>
        </w:tc>
        <w:tc>
          <w:tcPr>
            <w:tcW w:type="dxa" w:w="1417"/>
          </w:tcPr>
          <w:p>
            <w:pPr>
              <w:spacing w:after="20" w:before="20" w:line="240" w:lineRule="auto"/>
              <w:jc w:val="center"/>
            </w:pPr>
            <w:r/>
            <w:r>
              <w:rPr>
                <w:rFonts w:ascii="Calibri" w:hAnsi="Calibri"/>
                <w:b w:val="0"/>
                <w:sz w:val="16"/>
              </w:rPr>
              <w:t>0.0</w:t>
            </w:r>
          </w:p>
        </w:tc>
      </w:tr>
    </w:tbl>
    <w:p>
      <w:pPr>
        <w:spacing w:after="20"/>
      </w:pPr>
    </w:p>
    <w:p>
      <w:pPr>
        <w:spacing w:after="100"/>
      </w:pPr>
      <w:r>
        <w:rPr>
          <w:b w:val="0"/>
          <w:i w:val="0"/>
        </w:rPr>
        <w:t>On the funding gap, funding_cut_pct dominates. On stock-out risk the ranking is different: lead time and supplier reliability move 15 items between the low and high case — the largest swing on that output. Two different risks, two different monitoring measures.</w:t>
      </w:r>
    </w:p>
    <w:p>
      <w:pPr>
        <w:pStyle w:val="Heading2"/>
      </w:pPr>
      <w:r>
        <w:t>14.6 Break-even and the cover trade-off</w:t>
      </w:r>
    </w:p>
    <w:p>
      <w:pPr>
        <w:spacing w:after="100"/>
      </w:pPr>
      <w:r>
        <w:rPr>
          <w:b w:val="0"/>
          <w:i w:val="0"/>
        </w:rPr>
        <w:t>Break-even converts the budget position into a tolerance that can be watched, and the cover curve shows the cost of protection.</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trPr>
        <w:tc>
          <w:tcPr>
            <w:tcW w:type="dxa" w:w="2154"/>
            <w:shd w:val="clear" w:fill="1F3B57"/>
          </w:tcPr>
          <w:p>
            <w:pPr>
              <w:spacing w:after="20" w:before="20" w:line="240" w:lineRule="auto"/>
            </w:pPr>
            <w:r/>
            <w:r>
              <w:rPr>
                <w:rFonts w:ascii="Calibri" w:hAnsi="Calibri"/>
                <w:b/>
                <w:color w:val="FFFFFF"/>
                <w:sz w:val="16"/>
              </w:rPr>
              <w:t>Lever</w:t>
            </w:r>
          </w:p>
        </w:tc>
        <w:tc>
          <w:tcPr>
            <w:tcW w:type="dxa" w:w="1928"/>
            <w:shd w:val="clear" w:fill="1F3B57"/>
          </w:tcPr>
          <w:p>
            <w:pPr>
              <w:spacing w:after="20" w:before="20" w:line="240" w:lineRule="auto"/>
            </w:pPr>
            <w:r/>
            <w:r>
              <w:rPr>
                <w:rFonts w:ascii="Calibri" w:hAnsi="Calibri"/>
                <w:b/>
                <w:color w:val="FFFFFF"/>
                <w:sz w:val="16"/>
              </w:rPr>
              <w:t>Condition solved</w:t>
            </w:r>
          </w:p>
        </w:tc>
        <w:tc>
          <w:tcPr>
            <w:tcW w:type="dxa" w:w="1474"/>
            <w:shd w:val="clear" w:fill="1F3B57"/>
          </w:tcPr>
          <w:p>
            <w:pPr>
              <w:spacing w:after="20" w:before="20" w:line="240" w:lineRule="auto"/>
            </w:pPr>
            <w:r/>
            <w:r>
              <w:rPr>
                <w:rFonts w:ascii="Calibri" w:hAnsi="Calibri"/>
                <w:b/>
                <w:color w:val="FFFFFF"/>
                <w:sz w:val="16"/>
              </w:rPr>
              <w:t>Break-even value</w:t>
            </w:r>
          </w:p>
        </w:tc>
        <w:tc>
          <w:tcPr>
            <w:tcW w:type="dxa" w:w="4195"/>
            <w:shd w:val="clear" w:fill="1F3B57"/>
          </w:tcPr>
          <w:p>
            <w:pPr>
              <w:spacing w:after="20" w:before="20" w:line="240" w:lineRule="auto"/>
            </w:pPr>
            <w:r/>
            <w:r>
              <w:rPr>
                <w:rFonts w:ascii="Calibri" w:hAnsi="Calibri"/>
                <w:b/>
                <w:color w:val="FFFFFF"/>
                <w:sz w:val="16"/>
              </w:rPr>
              <w:t>Note</w:t>
            </w:r>
          </w:p>
        </w:tc>
      </w:tr>
      <w:tr>
        <w:tc>
          <w:tcPr>
            <w:tcW w:type="dxa" w:w="2154"/>
          </w:tcPr>
          <w:p>
            <w:pPr>
              <w:spacing w:after="20" w:before="20" w:line="240" w:lineRule="auto"/>
            </w:pPr>
            <w:r/>
            <w:r>
              <w:rPr>
                <w:rFonts w:ascii="Calibri" w:hAnsi="Calibri"/>
                <w:b w:val="0"/>
                <w:sz w:val="16"/>
              </w:rPr>
              <w:t>price_inflation_pct</w:t>
            </w:r>
          </w:p>
        </w:tc>
        <w:tc>
          <w:tcPr>
            <w:tcW w:type="dxa" w:w="1928"/>
          </w:tcPr>
          <w:p>
            <w:pPr>
              <w:spacing w:after="20" w:before="20" w:line="240" w:lineRule="auto"/>
            </w:pPr>
            <w:r/>
            <w:r>
              <w:rPr>
                <w:rFonts w:ascii="Calibri" w:hAnsi="Calibri"/>
                <w:b w:val="0"/>
                <w:sz w:val="16"/>
              </w:rPr>
              <w:t>funding_gap == 0</w:t>
            </w:r>
          </w:p>
        </w:tc>
        <w:tc>
          <w:tcPr>
            <w:tcW w:type="dxa" w:w="1474"/>
          </w:tcPr>
          <w:p>
            <w:pPr>
              <w:spacing w:after="20" w:before="20" w:line="240" w:lineRule="auto"/>
            </w:pPr>
            <w:r/>
            <w:r>
              <w:rPr>
                <w:rFonts w:ascii="Calibri" w:hAnsi="Calibri"/>
                <w:b w:val="0"/>
                <w:sz w:val="16"/>
              </w:rPr>
              <w:t>7.2%</w:t>
            </w:r>
          </w:p>
        </w:tc>
        <w:tc>
          <w:tcPr>
            <w:tcW w:type="dxa" w:w="4195"/>
          </w:tcPr>
          <w:p>
            <w:pPr>
              <w:spacing w:after="20" w:before="20" w:line="240" w:lineRule="auto"/>
            </w:pPr>
            <w:r/>
            <w:r>
              <w:rPr>
                <w:rFonts w:ascii="Calibri" w:hAnsi="Calibri"/>
                <w:b w:val="0"/>
                <w:sz w:val="16"/>
              </w:rPr>
              <w:t>Solved by bisection to 0.0001</w:t>
            </w:r>
          </w:p>
        </w:tc>
      </w:tr>
      <w:tr>
        <w:tc>
          <w:tcPr>
            <w:tcW w:type="dxa" w:w="2154"/>
            <w:shd w:val="clear" w:fill="F7F9FB"/>
          </w:tcPr>
          <w:p>
            <w:pPr>
              <w:spacing w:after="20" w:before="20" w:line="240" w:lineRule="auto"/>
            </w:pPr>
            <w:r/>
            <w:r>
              <w:rPr>
                <w:rFonts w:ascii="Calibri" w:hAnsi="Calibri"/>
                <w:b w:val="0"/>
                <w:sz w:val="16"/>
              </w:rPr>
              <w:t>demand_growth_pct</w:t>
            </w:r>
          </w:p>
        </w:tc>
        <w:tc>
          <w:tcPr>
            <w:tcW w:type="dxa" w:w="1928"/>
            <w:shd w:val="clear" w:fill="F7F9FB"/>
          </w:tcPr>
          <w:p>
            <w:pPr>
              <w:spacing w:after="20" w:before="20" w:line="240" w:lineRule="auto"/>
            </w:pPr>
            <w:r/>
            <w:r>
              <w:rPr>
                <w:rFonts w:ascii="Calibri" w:hAnsi="Calibri"/>
                <w:b w:val="0"/>
                <w:sz w:val="16"/>
              </w:rPr>
              <w:t>funding_gap == 0</w:t>
            </w:r>
          </w:p>
        </w:tc>
        <w:tc>
          <w:tcPr>
            <w:tcW w:type="dxa" w:w="1474"/>
            <w:shd w:val="clear" w:fill="F7F9FB"/>
          </w:tcPr>
          <w:p>
            <w:pPr>
              <w:spacing w:after="20" w:before="20" w:line="240" w:lineRule="auto"/>
            </w:pPr>
            <w:r/>
            <w:r>
              <w:rPr>
                <w:rFonts w:ascii="Calibri" w:hAnsi="Calibri"/>
                <w:b w:val="0"/>
                <w:sz w:val="16"/>
              </w:rPr>
              <w:t>3.3%</w:t>
            </w:r>
          </w:p>
        </w:tc>
        <w:tc>
          <w:tcPr>
            <w:tcW w:type="dxa" w:w="4195"/>
            <w:shd w:val="clear" w:fill="F7F9FB"/>
          </w:tcPr>
          <w:p>
            <w:pPr>
              <w:spacing w:after="20" w:before="20" w:line="240" w:lineRule="auto"/>
            </w:pPr>
            <w:r/>
            <w:r>
              <w:rPr>
                <w:rFonts w:ascii="Calibri" w:hAnsi="Calibri"/>
                <w:b w:val="0"/>
                <w:sz w:val="16"/>
              </w:rPr>
              <w:t>Solved by bisection to 0.0001</w:t>
            </w:r>
          </w:p>
        </w:tc>
      </w:tr>
      <w:tr>
        <w:tc>
          <w:tcPr>
            <w:tcW w:type="dxa" w:w="2154"/>
          </w:tcPr>
          <w:p>
            <w:pPr>
              <w:spacing w:after="20" w:before="20" w:line="240" w:lineRule="auto"/>
            </w:pPr>
            <w:r/>
            <w:r>
              <w:rPr>
                <w:rFonts w:ascii="Calibri" w:hAnsi="Calibri"/>
                <w:b w:val="0"/>
                <w:sz w:val="16"/>
              </w:rPr>
              <w:t>funding_cut_pct</w:t>
            </w:r>
          </w:p>
        </w:tc>
        <w:tc>
          <w:tcPr>
            <w:tcW w:type="dxa" w:w="1928"/>
          </w:tcPr>
          <w:p>
            <w:pPr>
              <w:spacing w:after="20" w:before="20" w:line="240" w:lineRule="auto"/>
            </w:pPr>
            <w:r/>
            <w:r>
              <w:rPr>
                <w:rFonts w:ascii="Calibri" w:hAnsi="Calibri"/>
                <w:b w:val="0"/>
                <w:sz w:val="16"/>
              </w:rPr>
              <w:t>funding_gap == 0</w:t>
            </w:r>
          </w:p>
        </w:tc>
        <w:tc>
          <w:tcPr>
            <w:tcW w:type="dxa" w:w="1474"/>
          </w:tcPr>
          <w:p>
            <w:pPr>
              <w:spacing w:after="20" w:before="20" w:line="240" w:lineRule="auto"/>
            </w:pPr>
            <w:r/>
            <w:r>
              <w:rPr>
                <w:rFonts w:ascii="Calibri" w:hAnsi="Calibri"/>
                <w:b w:val="0"/>
                <w:sz w:val="16"/>
              </w:rPr>
              <w:t>n/a</w:t>
            </w:r>
          </w:p>
        </w:tc>
        <w:tc>
          <w:tcPr>
            <w:tcW w:type="dxa" w:w="4195"/>
          </w:tcPr>
          <w:p>
            <w:pPr>
              <w:spacing w:after="20" w:before="20" w:line="240" w:lineRule="auto"/>
            </w:pPr>
            <w:r/>
            <w:r>
              <w:rPr>
                <w:rFonts w:ascii="Calibri" w:hAnsi="Calibri"/>
                <w:b w:val="0"/>
                <w:sz w:val="16"/>
              </w:rPr>
              <w:t>Already breached at the lower bound: the break-even value is below the search range</w:t>
            </w:r>
          </w:p>
        </w:tc>
      </w:tr>
      <w:tr>
        <w:tc>
          <w:tcPr>
            <w:tcW w:type="dxa" w:w="2154"/>
            <w:shd w:val="clear" w:fill="F7F9FB"/>
          </w:tcPr>
          <w:p>
            <w:pPr>
              <w:spacing w:after="20" w:before="20" w:line="240" w:lineRule="auto"/>
            </w:pPr>
            <w:r/>
            <w:r>
              <w:rPr>
                <w:rFonts w:ascii="Calibri" w:hAnsi="Calibri"/>
                <w:b w:val="0"/>
                <w:sz w:val="16"/>
              </w:rPr>
              <w:t>target_cover_days</w:t>
            </w:r>
          </w:p>
        </w:tc>
        <w:tc>
          <w:tcPr>
            <w:tcW w:type="dxa" w:w="1928"/>
            <w:shd w:val="clear" w:fill="F7F9FB"/>
          </w:tcPr>
          <w:p>
            <w:pPr>
              <w:spacing w:after="20" w:before="20" w:line="240" w:lineRule="auto"/>
            </w:pPr>
            <w:r/>
            <w:r>
              <w:rPr>
                <w:rFonts w:ascii="Calibri" w:hAnsi="Calibri"/>
                <w:b w:val="0"/>
                <w:sz w:val="16"/>
              </w:rPr>
              <w:t>curve</w:t>
            </w:r>
          </w:p>
        </w:tc>
        <w:tc>
          <w:tcPr>
            <w:tcW w:type="dxa" w:w="1474"/>
            <w:shd w:val="clear" w:fill="F7F9FB"/>
          </w:tcPr>
          <w:p>
            <w:pPr>
              <w:spacing w:after="20" w:before="20" w:line="240" w:lineRule="auto"/>
            </w:pPr>
            <w:r/>
            <w:r>
              <w:rPr>
                <w:rFonts w:ascii="Calibri" w:hAnsi="Calibri"/>
                <w:b w:val="0"/>
                <w:sz w:val="16"/>
              </w:rPr>
              <w:t>n/a</w:t>
            </w:r>
          </w:p>
        </w:tc>
        <w:tc>
          <w:tcPr>
            <w:tcW w:type="dxa" w:w="4195"/>
            <w:shd w:val="clear" w:fill="F7F9FB"/>
          </w:tcPr>
          <w:p>
            <w:pPr>
              <w:spacing w:after="20" w:before="20" w:line="240" w:lineRule="auto"/>
            </w:pPr>
            <w:r/>
            <w:r>
              <w:rPr>
                <w:rFonts w:ascii="Calibri" w:hAnsi="Calibri"/>
                <w:b w:val="0"/>
                <w:sz w:val="16"/>
              </w:rPr>
              <w:t>Trade-off curve: purchase cost, expiry risk and working capital by cover policy</w:t>
            </w:r>
          </w:p>
        </w:tc>
      </w:tr>
    </w:tbl>
    <w:p>
      <w:pPr>
        <w:spacing w:after="20"/>
      </w:pP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trPr>
        <w:tc>
          <w:tcPr>
            <w:tcW w:type="dxa" w:w="1928"/>
            <w:shd w:val="clear" w:fill="1F3B57"/>
          </w:tcPr>
          <w:p>
            <w:pPr>
              <w:spacing w:after="20" w:before="20" w:line="240" w:lineRule="auto"/>
            </w:pPr>
            <w:r/>
            <w:r>
              <w:rPr>
                <w:rFonts w:ascii="Calibri" w:hAnsi="Calibri"/>
                <w:b/>
                <w:color w:val="FFFFFF"/>
                <w:sz w:val="16"/>
              </w:rPr>
              <w:t>Cover policy (days)</w:t>
            </w:r>
          </w:p>
        </w:tc>
        <w:tc>
          <w:tcPr>
            <w:tcW w:type="dxa" w:w="2268"/>
            <w:shd w:val="clear" w:fill="1F3B57"/>
          </w:tcPr>
          <w:p>
            <w:pPr>
              <w:spacing w:after="20" w:before="20" w:line="240" w:lineRule="auto"/>
            </w:pPr>
            <w:r/>
            <w:r>
              <w:rPr>
                <w:rFonts w:ascii="Calibri" w:hAnsi="Calibri"/>
                <w:b/>
                <w:color w:val="FFFFFF"/>
                <w:sz w:val="16"/>
              </w:rPr>
              <w:t>Purchase requirement (PKR m)</w:t>
            </w:r>
          </w:p>
        </w:tc>
        <w:tc>
          <w:tcPr>
            <w:tcW w:type="dxa" w:w="1928"/>
            <w:shd w:val="clear" w:fill="1F3B57"/>
          </w:tcPr>
          <w:p>
            <w:pPr>
              <w:spacing w:after="20" w:before="20" w:line="240" w:lineRule="auto"/>
            </w:pPr>
            <w:r/>
            <w:r>
              <w:rPr>
                <w:rFonts w:ascii="Calibri" w:hAnsi="Calibri"/>
                <w:b/>
                <w:color w:val="FFFFFF"/>
                <w:sz w:val="16"/>
              </w:rPr>
              <w:t>Expiry risk (PKR m)</w:t>
            </w:r>
          </w:p>
        </w:tc>
        <w:tc>
          <w:tcPr>
            <w:tcW w:type="dxa" w:w="1928"/>
            <w:shd w:val="clear" w:fill="1F3B57"/>
          </w:tcPr>
          <w:p>
            <w:pPr>
              <w:spacing w:after="20" w:before="20" w:line="240" w:lineRule="auto"/>
            </w:pPr>
            <w:r/>
            <w:r>
              <w:rPr>
                <w:rFonts w:ascii="Calibri" w:hAnsi="Calibri"/>
                <w:b/>
                <w:color w:val="FFFFFF"/>
                <w:sz w:val="16"/>
              </w:rPr>
              <w:t>Working capital (PKR m)</w:t>
            </w:r>
          </w:p>
        </w:tc>
        <w:tc>
          <w:tcPr>
            <w:tcW w:type="dxa" w:w="1701"/>
            <w:shd w:val="clear" w:fill="1F3B57"/>
          </w:tcPr>
          <w:p>
            <w:pPr>
              <w:spacing w:after="20" w:before="20" w:line="240" w:lineRule="auto"/>
            </w:pPr>
            <w:r/>
            <w:r>
              <w:rPr>
                <w:rFonts w:ascii="Calibri" w:hAnsi="Calibri"/>
                <w:b/>
                <w:color w:val="FFFFFF"/>
                <w:sz w:val="16"/>
              </w:rPr>
              <w:t>Stock-out items</w:t>
            </w:r>
          </w:p>
        </w:tc>
      </w:tr>
      <w:tr>
        <w:tc>
          <w:tcPr>
            <w:tcW w:type="dxa" w:w="1928"/>
          </w:tcPr>
          <w:p>
            <w:pPr>
              <w:spacing w:after="20" w:before="20" w:line="240" w:lineRule="auto"/>
              <w:jc w:val="center"/>
            </w:pPr>
            <w:r/>
            <w:r>
              <w:rPr>
                <w:rFonts w:ascii="Calibri" w:hAnsi="Calibri"/>
                <w:b w:val="0"/>
                <w:sz w:val="16"/>
              </w:rPr>
              <w:t>30</w:t>
            </w:r>
          </w:p>
        </w:tc>
        <w:tc>
          <w:tcPr>
            <w:tcW w:type="dxa" w:w="2268"/>
          </w:tcPr>
          <w:p>
            <w:pPr>
              <w:spacing w:after="20" w:before="20" w:line="240" w:lineRule="auto"/>
              <w:jc w:val="center"/>
            </w:pPr>
            <w:r/>
            <w:r>
              <w:rPr>
                <w:rFonts w:ascii="Calibri" w:hAnsi="Calibri"/>
                <w:b w:val="0"/>
                <w:sz w:val="16"/>
              </w:rPr>
              <w:t>136.8</w:t>
            </w:r>
          </w:p>
        </w:tc>
        <w:tc>
          <w:tcPr>
            <w:tcW w:type="dxa" w:w="1928"/>
          </w:tcPr>
          <w:p>
            <w:pPr>
              <w:spacing w:after="20" w:before="20" w:line="240" w:lineRule="auto"/>
              <w:jc w:val="center"/>
            </w:pPr>
            <w:r/>
            <w:r>
              <w:rPr>
                <w:rFonts w:ascii="Calibri" w:hAnsi="Calibri"/>
                <w:b w:val="0"/>
                <w:sz w:val="16"/>
              </w:rPr>
              <w:t>3.94</w:t>
            </w:r>
          </w:p>
        </w:tc>
        <w:tc>
          <w:tcPr>
            <w:tcW w:type="dxa" w:w="1928"/>
          </w:tcPr>
          <w:p>
            <w:pPr>
              <w:spacing w:after="20" w:before="20" w:line="240" w:lineRule="auto"/>
              <w:jc w:val="center"/>
            </w:pPr>
            <w:r/>
            <w:r>
              <w:rPr>
                <w:rFonts w:ascii="Calibri" w:hAnsi="Calibri"/>
                <w:b w:val="0"/>
                <w:sz w:val="16"/>
              </w:rPr>
              <w:t>20.4</w:t>
            </w:r>
          </w:p>
        </w:tc>
        <w:tc>
          <w:tcPr>
            <w:tcW w:type="dxa" w:w="1701"/>
          </w:tcPr>
          <w:p>
            <w:pPr>
              <w:spacing w:after="20" w:before="20" w:line="240" w:lineRule="auto"/>
              <w:jc w:val="center"/>
            </w:pPr>
            <w:r/>
            <w:r>
              <w:rPr>
                <w:rFonts w:ascii="Calibri" w:hAnsi="Calibri"/>
                <w:b w:val="0"/>
                <w:sz w:val="16"/>
              </w:rPr>
              <w:t>2</w:t>
            </w:r>
          </w:p>
        </w:tc>
      </w:tr>
      <w:tr>
        <w:tc>
          <w:tcPr>
            <w:tcW w:type="dxa" w:w="1928"/>
            <w:shd w:val="clear" w:fill="F7F9FB"/>
          </w:tcPr>
          <w:p>
            <w:pPr>
              <w:spacing w:after="20" w:before="20" w:line="240" w:lineRule="auto"/>
              <w:jc w:val="center"/>
            </w:pPr>
            <w:r/>
            <w:r>
              <w:rPr>
                <w:rFonts w:ascii="Calibri" w:hAnsi="Calibri"/>
                <w:b w:val="0"/>
                <w:sz w:val="16"/>
              </w:rPr>
              <w:t>60</w:t>
            </w:r>
          </w:p>
        </w:tc>
        <w:tc>
          <w:tcPr>
            <w:tcW w:type="dxa" w:w="2268"/>
            <w:shd w:val="clear" w:fill="F7F9FB"/>
          </w:tcPr>
          <w:p>
            <w:pPr>
              <w:spacing w:after="20" w:before="20" w:line="240" w:lineRule="auto"/>
              <w:jc w:val="center"/>
            </w:pPr>
            <w:r/>
            <w:r>
              <w:rPr>
                <w:rFonts w:ascii="Calibri" w:hAnsi="Calibri"/>
                <w:b w:val="0"/>
                <w:sz w:val="16"/>
              </w:rPr>
              <w:t>147.0</w:t>
            </w:r>
          </w:p>
        </w:tc>
        <w:tc>
          <w:tcPr>
            <w:tcW w:type="dxa" w:w="1928"/>
            <w:shd w:val="clear" w:fill="F7F9FB"/>
          </w:tcPr>
          <w:p>
            <w:pPr>
              <w:spacing w:after="20" w:before="20" w:line="240" w:lineRule="auto"/>
              <w:jc w:val="center"/>
            </w:pPr>
            <w:r/>
            <w:r>
              <w:rPr>
                <w:rFonts w:ascii="Calibri" w:hAnsi="Calibri"/>
                <w:b w:val="0"/>
                <w:sz w:val="16"/>
              </w:rPr>
              <w:t>3.94</w:t>
            </w:r>
          </w:p>
        </w:tc>
        <w:tc>
          <w:tcPr>
            <w:tcW w:type="dxa" w:w="1928"/>
            <w:shd w:val="clear" w:fill="F7F9FB"/>
          </w:tcPr>
          <w:p>
            <w:pPr>
              <w:spacing w:after="20" w:before="20" w:line="240" w:lineRule="auto"/>
              <w:jc w:val="center"/>
            </w:pPr>
            <w:r/>
            <w:r>
              <w:rPr>
                <w:rFonts w:ascii="Calibri" w:hAnsi="Calibri"/>
                <w:b w:val="0"/>
                <w:sz w:val="16"/>
              </w:rPr>
              <w:t>33.1</w:t>
            </w:r>
          </w:p>
        </w:tc>
        <w:tc>
          <w:tcPr>
            <w:tcW w:type="dxa" w:w="1701"/>
            <w:shd w:val="clear" w:fill="F7F9FB"/>
          </w:tcPr>
          <w:p>
            <w:pPr>
              <w:spacing w:after="20" w:before="20" w:line="240" w:lineRule="auto"/>
              <w:jc w:val="center"/>
            </w:pPr>
            <w:r/>
            <w:r>
              <w:rPr>
                <w:rFonts w:ascii="Calibri" w:hAnsi="Calibri"/>
                <w:b w:val="0"/>
                <w:sz w:val="16"/>
              </w:rPr>
              <w:t>2</w:t>
            </w:r>
          </w:p>
        </w:tc>
      </w:tr>
      <w:tr>
        <w:tc>
          <w:tcPr>
            <w:tcW w:type="dxa" w:w="1928"/>
          </w:tcPr>
          <w:p>
            <w:pPr>
              <w:spacing w:after="20" w:before="20" w:line="240" w:lineRule="auto"/>
              <w:jc w:val="center"/>
            </w:pPr>
            <w:r/>
            <w:r>
              <w:rPr>
                <w:rFonts w:ascii="Calibri" w:hAnsi="Calibri"/>
                <w:b w:val="0"/>
                <w:sz w:val="16"/>
              </w:rPr>
              <w:t>90</w:t>
            </w:r>
          </w:p>
        </w:tc>
        <w:tc>
          <w:tcPr>
            <w:tcW w:type="dxa" w:w="2268"/>
          </w:tcPr>
          <w:p>
            <w:pPr>
              <w:spacing w:after="20" w:before="20" w:line="240" w:lineRule="auto"/>
              <w:jc w:val="center"/>
            </w:pPr>
            <w:r/>
            <w:r>
              <w:rPr>
                <w:rFonts w:ascii="Calibri" w:hAnsi="Calibri"/>
                <w:b w:val="0"/>
                <w:sz w:val="16"/>
              </w:rPr>
              <w:t>157.2</w:t>
            </w:r>
          </w:p>
        </w:tc>
        <w:tc>
          <w:tcPr>
            <w:tcW w:type="dxa" w:w="1928"/>
          </w:tcPr>
          <w:p>
            <w:pPr>
              <w:spacing w:after="20" w:before="20" w:line="240" w:lineRule="auto"/>
              <w:jc w:val="center"/>
            </w:pPr>
            <w:r/>
            <w:r>
              <w:rPr>
                <w:rFonts w:ascii="Calibri" w:hAnsi="Calibri"/>
                <w:b w:val="0"/>
                <w:sz w:val="16"/>
              </w:rPr>
              <w:t>3.94</w:t>
            </w:r>
          </w:p>
        </w:tc>
        <w:tc>
          <w:tcPr>
            <w:tcW w:type="dxa" w:w="1928"/>
          </w:tcPr>
          <w:p>
            <w:pPr>
              <w:spacing w:after="20" w:before="20" w:line="240" w:lineRule="auto"/>
              <w:jc w:val="center"/>
            </w:pPr>
            <w:r/>
            <w:r>
              <w:rPr>
                <w:rFonts w:ascii="Calibri" w:hAnsi="Calibri"/>
                <w:b w:val="0"/>
                <w:sz w:val="16"/>
              </w:rPr>
              <w:t>45.8</w:t>
            </w:r>
          </w:p>
        </w:tc>
        <w:tc>
          <w:tcPr>
            <w:tcW w:type="dxa" w:w="1701"/>
          </w:tcPr>
          <w:p>
            <w:pPr>
              <w:spacing w:after="20" w:before="20" w:line="240" w:lineRule="auto"/>
              <w:jc w:val="center"/>
            </w:pPr>
            <w:r/>
            <w:r>
              <w:rPr>
                <w:rFonts w:ascii="Calibri" w:hAnsi="Calibri"/>
                <w:b w:val="0"/>
                <w:sz w:val="16"/>
              </w:rPr>
              <w:t>2</w:t>
            </w:r>
          </w:p>
        </w:tc>
      </w:tr>
      <w:tr>
        <w:tc>
          <w:tcPr>
            <w:tcW w:type="dxa" w:w="1928"/>
            <w:shd w:val="clear" w:fill="F7F9FB"/>
          </w:tcPr>
          <w:p>
            <w:pPr>
              <w:spacing w:after="20" w:before="20" w:line="240" w:lineRule="auto"/>
              <w:jc w:val="center"/>
            </w:pPr>
            <w:r/>
            <w:r>
              <w:rPr>
                <w:rFonts w:ascii="Calibri" w:hAnsi="Calibri"/>
                <w:b w:val="0"/>
                <w:sz w:val="16"/>
              </w:rPr>
              <w:t>120</w:t>
            </w:r>
          </w:p>
        </w:tc>
        <w:tc>
          <w:tcPr>
            <w:tcW w:type="dxa" w:w="2268"/>
            <w:shd w:val="clear" w:fill="F7F9FB"/>
          </w:tcPr>
          <w:p>
            <w:pPr>
              <w:spacing w:after="20" w:before="20" w:line="240" w:lineRule="auto"/>
              <w:jc w:val="center"/>
            </w:pPr>
            <w:r/>
            <w:r>
              <w:rPr>
                <w:rFonts w:ascii="Calibri" w:hAnsi="Calibri"/>
                <w:b w:val="0"/>
                <w:sz w:val="16"/>
              </w:rPr>
              <w:t>169.9</w:t>
            </w:r>
          </w:p>
        </w:tc>
        <w:tc>
          <w:tcPr>
            <w:tcW w:type="dxa" w:w="1928"/>
            <w:shd w:val="clear" w:fill="F7F9FB"/>
          </w:tcPr>
          <w:p>
            <w:pPr>
              <w:spacing w:after="20" w:before="20" w:line="240" w:lineRule="auto"/>
              <w:jc w:val="center"/>
            </w:pPr>
            <w:r/>
            <w:r>
              <w:rPr>
                <w:rFonts w:ascii="Calibri" w:hAnsi="Calibri"/>
                <w:b w:val="0"/>
                <w:sz w:val="16"/>
              </w:rPr>
              <w:t>3.94</w:t>
            </w:r>
          </w:p>
        </w:tc>
        <w:tc>
          <w:tcPr>
            <w:tcW w:type="dxa" w:w="1928"/>
            <w:shd w:val="clear" w:fill="F7F9FB"/>
          </w:tcPr>
          <w:p>
            <w:pPr>
              <w:spacing w:after="20" w:before="20" w:line="240" w:lineRule="auto"/>
              <w:jc w:val="center"/>
            </w:pPr>
            <w:r/>
            <w:r>
              <w:rPr>
                <w:rFonts w:ascii="Calibri" w:hAnsi="Calibri"/>
                <w:b w:val="0"/>
                <w:sz w:val="16"/>
              </w:rPr>
              <w:t>58.5</w:t>
            </w:r>
          </w:p>
        </w:tc>
        <w:tc>
          <w:tcPr>
            <w:tcW w:type="dxa" w:w="1701"/>
            <w:shd w:val="clear" w:fill="F7F9FB"/>
          </w:tcPr>
          <w:p>
            <w:pPr>
              <w:spacing w:after="20" w:before="20" w:line="240" w:lineRule="auto"/>
              <w:jc w:val="center"/>
            </w:pPr>
            <w:r/>
            <w:r>
              <w:rPr>
                <w:rFonts w:ascii="Calibri" w:hAnsi="Calibri"/>
                <w:b w:val="0"/>
                <w:sz w:val="16"/>
              </w:rPr>
              <w:t>2</w:t>
            </w:r>
          </w:p>
        </w:tc>
      </w:tr>
      <w:tr>
        <w:tc>
          <w:tcPr>
            <w:tcW w:type="dxa" w:w="1928"/>
          </w:tcPr>
          <w:p>
            <w:pPr>
              <w:spacing w:after="20" w:before="20" w:line="240" w:lineRule="auto"/>
              <w:jc w:val="center"/>
            </w:pPr>
            <w:r/>
            <w:r>
              <w:rPr>
                <w:rFonts w:ascii="Calibri" w:hAnsi="Calibri"/>
                <w:b w:val="0"/>
                <w:sz w:val="16"/>
              </w:rPr>
              <w:t>150</w:t>
            </w:r>
          </w:p>
        </w:tc>
        <w:tc>
          <w:tcPr>
            <w:tcW w:type="dxa" w:w="2268"/>
          </w:tcPr>
          <w:p>
            <w:pPr>
              <w:spacing w:after="20" w:before="20" w:line="240" w:lineRule="auto"/>
              <w:jc w:val="center"/>
            </w:pPr>
            <w:r/>
            <w:r>
              <w:rPr>
                <w:rFonts w:ascii="Calibri" w:hAnsi="Calibri"/>
                <w:b w:val="0"/>
                <w:sz w:val="16"/>
              </w:rPr>
              <w:t>182.6</w:t>
            </w:r>
          </w:p>
        </w:tc>
        <w:tc>
          <w:tcPr>
            <w:tcW w:type="dxa" w:w="1928"/>
          </w:tcPr>
          <w:p>
            <w:pPr>
              <w:spacing w:after="20" w:before="20" w:line="240" w:lineRule="auto"/>
              <w:jc w:val="center"/>
            </w:pPr>
            <w:r/>
            <w:r>
              <w:rPr>
                <w:rFonts w:ascii="Calibri" w:hAnsi="Calibri"/>
                <w:b w:val="0"/>
                <w:sz w:val="16"/>
              </w:rPr>
              <w:t>3.94</w:t>
            </w:r>
          </w:p>
        </w:tc>
        <w:tc>
          <w:tcPr>
            <w:tcW w:type="dxa" w:w="1928"/>
          </w:tcPr>
          <w:p>
            <w:pPr>
              <w:spacing w:after="20" w:before="20" w:line="240" w:lineRule="auto"/>
              <w:jc w:val="center"/>
            </w:pPr>
            <w:r/>
            <w:r>
              <w:rPr>
                <w:rFonts w:ascii="Calibri" w:hAnsi="Calibri"/>
                <w:b w:val="0"/>
                <w:sz w:val="16"/>
              </w:rPr>
              <w:t>71.2</w:t>
            </w:r>
          </w:p>
        </w:tc>
        <w:tc>
          <w:tcPr>
            <w:tcW w:type="dxa" w:w="1701"/>
          </w:tcPr>
          <w:p>
            <w:pPr>
              <w:spacing w:after="20" w:before="20" w:line="240" w:lineRule="auto"/>
              <w:jc w:val="center"/>
            </w:pPr>
            <w:r/>
            <w:r>
              <w:rPr>
                <w:rFonts w:ascii="Calibri" w:hAnsi="Calibri"/>
                <w:b w:val="0"/>
                <w:sz w:val="16"/>
              </w:rPr>
              <w:t>2</w:t>
            </w:r>
          </w:p>
        </w:tc>
      </w:tr>
      <w:tr>
        <w:tc>
          <w:tcPr>
            <w:tcW w:type="dxa" w:w="1928"/>
            <w:shd w:val="clear" w:fill="F7F9FB"/>
          </w:tcPr>
          <w:p>
            <w:pPr>
              <w:spacing w:after="20" w:before="20" w:line="240" w:lineRule="auto"/>
              <w:jc w:val="center"/>
            </w:pPr>
            <w:r/>
            <w:r>
              <w:rPr>
                <w:rFonts w:ascii="Calibri" w:hAnsi="Calibri"/>
                <w:b w:val="0"/>
                <w:sz w:val="16"/>
              </w:rPr>
              <w:t>210</w:t>
            </w:r>
          </w:p>
        </w:tc>
        <w:tc>
          <w:tcPr>
            <w:tcW w:type="dxa" w:w="2268"/>
            <w:shd w:val="clear" w:fill="F7F9FB"/>
          </w:tcPr>
          <w:p>
            <w:pPr>
              <w:spacing w:after="20" w:before="20" w:line="240" w:lineRule="auto"/>
              <w:jc w:val="center"/>
            </w:pPr>
            <w:r/>
            <w:r>
              <w:rPr>
                <w:rFonts w:ascii="Calibri" w:hAnsi="Calibri"/>
                <w:b w:val="0"/>
                <w:sz w:val="16"/>
              </w:rPr>
              <w:t>208.0</w:t>
            </w:r>
          </w:p>
        </w:tc>
        <w:tc>
          <w:tcPr>
            <w:tcW w:type="dxa" w:w="1928"/>
            <w:shd w:val="clear" w:fill="F7F9FB"/>
          </w:tcPr>
          <w:p>
            <w:pPr>
              <w:spacing w:after="20" w:before="20" w:line="240" w:lineRule="auto"/>
              <w:jc w:val="center"/>
            </w:pPr>
            <w:r/>
            <w:r>
              <w:rPr>
                <w:rFonts w:ascii="Calibri" w:hAnsi="Calibri"/>
                <w:b w:val="0"/>
                <w:sz w:val="16"/>
              </w:rPr>
              <w:t>3.94</w:t>
            </w:r>
          </w:p>
        </w:tc>
        <w:tc>
          <w:tcPr>
            <w:tcW w:type="dxa" w:w="1928"/>
            <w:shd w:val="clear" w:fill="F7F9FB"/>
          </w:tcPr>
          <w:p>
            <w:pPr>
              <w:spacing w:after="20" w:before="20" w:line="240" w:lineRule="auto"/>
              <w:jc w:val="center"/>
            </w:pPr>
            <w:r/>
            <w:r>
              <w:rPr>
                <w:rFonts w:ascii="Calibri" w:hAnsi="Calibri"/>
                <w:b w:val="0"/>
                <w:sz w:val="16"/>
              </w:rPr>
              <w:t>96.7</w:t>
            </w:r>
          </w:p>
        </w:tc>
        <w:tc>
          <w:tcPr>
            <w:tcW w:type="dxa" w:w="1701"/>
            <w:shd w:val="clear" w:fill="F7F9FB"/>
          </w:tcPr>
          <w:p>
            <w:pPr>
              <w:spacing w:after="20" w:before="20" w:line="240" w:lineRule="auto"/>
              <w:jc w:val="center"/>
            </w:pPr>
            <w:r/>
            <w:r>
              <w:rPr>
                <w:rFonts w:ascii="Calibri" w:hAnsi="Calibri"/>
                <w:b w:val="0"/>
                <w:sz w:val="16"/>
              </w:rPr>
              <w:t>2</w:t>
            </w:r>
          </w:p>
        </w:tc>
      </w:tr>
    </w:tbl>
    <w:p>
      <w:pPr>
        <w:spacing w:after="20"/>
      </w:pPr>
    </w:p>
    <w:p>
      <w:pPr>
        <w:spacing w:after="100"/>
      </w:pPr>
      <w:r>
        <w:rPr>
          <w:b w:val="0"/>
          <w:i/>
          <w:color w:val="595959"/>
          <w:sz w:val="17"/>
        </w:rPr>
        <w:t>The curve is flat on the left and rises on the right: below roughly 90 days each additional day of cover buys protection cheaply; above it, the purchase requirement and working capital rise faster than the risk falls. That knee is the defensible policy point, and it should be reviewed twice a year.</w:t>
      </w:r>
    </w:p>
    <w:p>
      <w:pPr>
        <w:pStyle w:val="Heading2"/>
      </w:pPr>
      <w:r>
        <w:t>14.7 Two-way view – demand growth × price inflation</w:t>
      </w:r>
    </w:p>
    <w:p>
      <w:pPr>
        <w:spacing w:after="100"/>
      </w:pPr>
      <w:r>
        <w:rPr>
          <w:b w:val="0"/>
          <w:i w:val="0"/>
        </w:rPr>
        <w:t>A single break-even point is easy to read; a map is easier to plan with. Rows are demand growth, columns are price inflation, and each cell is a full model run showing the funding gap in PKR millions.</w:t>
      </w:r>
    </w:p>
    <w:tbl>
      <w:tblPr>
        <w:tblStyle w:val="TableGrid"/>
        <w:tblW w:type="auto" w:w="0"/>
        <w:jc w:val="center"/>
        <w:tblLayout w:type="fixed"/>
        <w:tblLook w:firstColumn="1" w:firstRow="1" w:lastColumn="0" w:lastRow="0" w:noHBand="0" w:noVBand="1" w:val="04A0"/>
      </w:tblPr>
      <w:tblGrid>
        <w:gridCol w:w="1441"/>
        <w:gridCol w:w="1441"/>
        <w:gridCol w:w="1441"/>
        <w:gridCol w:w="1441"/>
        <w:gridCol w:w="1441"/>
        <w:gridCol w:w="1441"/>
        <w:gridCol w:w="1441"/>
      </w:tblGrid>
      <w:tr>
        <w:trPr>
          <w:tblHeader/>
        </w:trPr>
        <w:tc>
          <w:tcPr>
            <w:tcW w:type="dxa" w:w="1814"/>
            <w:shd w:val="clear" w:fill="1F3B57"/>
          </w:tcPr>
          <w:p>
            <w:pPr>
              <w:spacing w:after="20" w:before="20" w:line="240" w:lineRule="auto"/>
            </w:pPr>
            <w:r/>
            <w:r>
              <w:rPr>
                <w:rFonts w:ascii="Calibri" w:hAnsi="Calibri"/>
                <w:b/>
                <w:color w:val="FFFFFF"/>
                <w:sz w:val="16"/>
              </w:rPr>
              <w:t>Demand ↓ / Price →</w:t>
            </w:r>
          </w:p>
        </w:tc>
        <w:tc>
          <w:tcPr>
            <w:tcW w:type="dxa" w:w="1304"/>
            <w:shd w:val="clear" w:fill="1F3B57"/>
          </w:tcPr>
          <w:p>
            <w:pPr>
              <w:spacing w:after="20" w:before="20" w:line="240" w:lineRule="auto"/>
            </w:pPr>
            <w:r/>
            <w:r>
              <w:rPr>
                <w:rFonts w:ascii="Calibri" w:hAnsi="Calibri"/>
                <w:b/>
                <w:color w:val="FFFFFF"/>
                <w:sz w:val="16"/>
              </w:rPr>
              <w:t>0%</w:t>
            </w:r>
          </w:p>
        </w:tc>
        <w:tc>
          <w:tcPr>
            <w:tcW w:type="dxa" w:w="1304"/>
            <w:shd w:val="clear" w:fill="1F3B57"/>
          </w:tcPr>
          <w:p>
            <w:pPr>
              <w:spacing w:after="20" w:before="20" w:line="240" w:lineRule="auto"/>
            </w:pPr>
            <w:r/>
            <w:r>
              <w:rPr>
                <w:rFonts w:ascii="Calibri" w:hAnsi="Calibri"/>
                <w:b/>
                <w:color w:val="FFFFFF"/>
                <w:sz w:val="16"/>
              </w:rPr>
              <w:t>5%</w:t>
            </w:r>
          </w:p>
        </w:tc>
        <w:tc>
          <w:tcPr>
            <w:tcW w:type="dxa" w:w="1304"/>
            <w:shd w:val="clear" w:fill="1F3B57"/>
          </w:tcPr>
          <w:p>
            <w:pPr>
              <w:spacing w:after="20" w:before="20" w:line="240" w:lineRule="auto"/>
            </w:pPr>
            <w:r/>
            <w:r>
              <w:rPr>
                <w:rFonts w:ascii="Calibri" w:hAnsi="Calibri"/>
                <w:b/>
                <w:color w:val="FFFFFF"/>
                <w:sz w:val="16"/>
              </w:rPr>
              <w:t>9%</w:t>
            </w:r>
          </w:p>
        </w:tc>
        <w:tc>
          <w:tcPr>
            <w:tcW w:type="dxa" w:w="1304"/>
            <w:shd w:val="clear" w:fill="1F3B57"/>
          </w:tcPr>
          <w:p>
            <w:pPr>
              <w:spacing w:after="20" w:before="20" w:line="240" w:lineRule="auto"/>
            </w:pPr>
            <w:r/>
            <w:r>
              <w:rPr>
                <w:rFonts w:ascii="Calibri" w:hAnsi="Calibri"/>
                <w:b/>
                <w:color w:val="FFFFFF"/>
                <w:sz w:val="16"/>
              </w:rPr>
              <w:t>15%</w:t>
            </w:r>
          </w:p>
        </w:tc>
        <w:tc>
          <w:tcPr>
            <w:tcW w:type="dxa" w:w="1304"/>
            <w:shd w:val="clear" w:fill="1F3B57"/>
          </w:tcPr>
          <w:p>
            <w:pPr>
              <w:spacing w:after="20" w:before="20" w:line="240" w:lineRule="auto"/>
            </w:pPr>
            <w:r/>
            <w:r>
              <w:rPr>
                <w:rFonts w:ascii="Calibri" w:hAnsi="Calibri"/>
                <w:b/>
                <w:color w:val="FFFFFF"/>
                <w:sz w:val="16"/>
              </w:rPr>
              <w:t>20%</w:t>
            </w:r>
          </w:p>
        </w:tc>
        <w:tc>
          <w:tcPr>
            <w:tcW w:type="dxa" w:w="1304"/>
            <w:shd w:val="clear" w:fill="1F3B57"/>
          </w:tcPr>
          <w:p>
            <w:pPr>
              <w:spacing w:after="20" w:before="20" w:line="240" w:lineRule="auto"/>
            </w:pPr>
            <w:r/>
            <w:r>
              <w:rPr>
                <w:rFonts w:ascii="Calibri" w:hAnsi="Calibri"/>
                <w:b/>
                <w:color w:val="FFFFFF"/>
                <w:sz w:val="16"/>
              </w:rPr>
              <w:t>25%</w:t>
            </w:r>
          </w:p>
        </w:tc>
      </w:tr>
      <w:tr>
        <w:tc>
          <w:tcPr>
            <w:tcW w:type="dxa" w:w="1814"/>
          </w:tcPr>
          <w:p>
            <w:pPr>
              <w:spacing w:after="20" w:before="20" w:line="240" w:lineRule="auto"/>
              <w:jc w:val="center"/>
            </w:pPr>
            <w:r/>
            <w:r>
              <w:rPr>
                <w:rFonts w:ascii="Calibri" w:hAnsi="Calibri"/>
                <w:b w:val="0"/>
                <w:sz w:val="16"/>
              </w:rPr>
              <w:t>-20%</w:t>
            </w:r>
          </w:p>
        </w:tc>
        <w:tc>
          <w:tcPr>
            <w:tcW w:type="dxa" w:w="1304"/>
          </w:tcPr>
          <w:p>
            <w:pPr>
              <w:spacing w:after="20" w:before="20" w:line="240" w:lineRule="auto"/>
              <w:jc w:val="center"/>
            </w:pPr>
            <w:r/>
            <w:r>
              <w:rPr>
                <w:rFonts w:ascii="Calibri" w:hAnsi="Calibri"/>
                <w:b w:val="0"/>
                <w:sz w:val="16"/>
              </w:rPr>
              <w:t>0.0</w:t>
            </w:r>
          </w:p>
        </w:tc>
        <w:tc>
          <w:tcPr>
            <w:tcW w:type="dxa" w:w="1304"/>
          </w:tcPr>
          <w:p>
            <w:pPr>
              <w:spacing w:after="20" w:before="20" w:line="240" w:lineRule="auto"/>
              <w:jc w:val="center"/>
            </w:pPr>
            <w:r/>
            <w:r>
              <w:rPr>
                <w:rFonts w:ascii="Calibri" w:hAnsi="Calibri"/>
                <w:b w:val="0"/>
                <w:sz w:val="16"/>
              </w:rPr>
              <w:t>0.0</w:t>
            </w:r>
          </w:p>
        </w:tc>
        <w:tc>
          <w:tcPr>
            <w:tcW w:type="dxa" w:w="1304"/>
          </w:tcPr>
          <w:p>
            <w:pPr>
              <w:spacing w:after="20" w:before="20" w:line="240" w:lineRule="auto"/>
              <w:jc w:val="center"/>
            </w:pPr>
            <w:r/>
            <w:r>
              <w:rPr>
                <w:rFonts w:ascii="Calibri" w:hAnsi="Calibri"/>
                <w:b w:val="0"/>
                <w:sz w:val="16"/>
              </w:rPr>
              <w:t>0.0</w:t>
            </w:r>
          </w:p>
        </w:tc>
        <w:tc>
          <w:tcPr>
            <w:tcW w:type="dxa" w:w="1304"/>
          </w:tcPr>
          <w:p>
            <w:pPr>
              <w:spacing w:after="20" w:before="20" w:line="240" w:lineRule="auto"/>
              <w:jc w:val="center"/>
            </w:pPr>
            <w:r/>
            <w:r>
              <w:rPr>
                <w:rFonts w:ascii="Calibri" w:hAnsi="Calibri"/>
                <w:b w:val="0"/>
                <w:sz w:val="16"/>
              </w:rPr>
              <w:t>0.0</w:t>
            </w:r>
          </w:p>
        </w:tc>
        <w:tc>
          <w:tcPr>
            <w:tcW w:type="dxa" w:w="1304"/>
          </w:tcPr>
          <w:p>
            <w:pPr>
              <w:spacing w:after="20" w:before="20" w:line="240" w:lineRule="auto"/>
              <w:jc w:val="center"/>
            </w:pPr>
            <w:r/>
            <w:r>
              <w:rPr>
                <w:rFonts w:ascii="Calibri" w:hAnsi="Calibri"/>
                <w:b w:val="0"/>
                <w:sz w:val="16"/>
              </w:rPr>
              <w:t>0.0</w:t>
            </w:r>
          </w:p>
        </w:tc>
        <w:tc>
          <w:tcPr>
            <w:tcW w:type="dxa" w:w="1304"/>
          </w:tcPr>
          <w:p>
            <w:pPr>
              <w:spacing w:after="20" w:before="20" w:line="240" w:lineRule="auto"/>
              <w:jc w:val="center"/>
            </w:pPr>
            <w:r/>
            <w:r>
              <w:rPr>
                <w:rFonts w:ascii="Calibri" w:hAnsi="Calibri"/>
                <w:b w:val="0"/>
                <w:sz w:val="16"/>
              </w:rPr>
              <w:t>0.0</w:t>
            </w:r>
          </w:p>
        </w:tc>
      </w:tr>
      <w:tr>
        <w:tc>
          <w:tcPr>
            <w:tcW w:type="dxa" w:w="1814"/>
            <w:shd w:val="clear" w:fill="F7F9FB"/>
          </w:tcPr>
          <w:p>
            <w:pPr>
              <w:spacing w:after="20" w:before="20" w:line="240" w:lineRule="auto"/>
              <w:jc w:val="center"/>
            </w:pPr>
            <w:r/>
            <w:r>
              <w:rPr>
                <w:rFonts w:ascii="Calibri" w:hAnsi="Calibri"/>
                <w:b w:val="0"/>
                <w:sz w:val="16"/>
              </w:rPr>
              <w:t>-10%</w:t>
            </w:r>
          </w:p>
        </w:tc>
        <w:tc>
          <w:tcPr>
            <w:tcW w:type="dxa" w:w="1304"/>
            <w:shd w:val="clear" w:fill="F7F9FB"/>
          </w:tcPr>
          <w:p>
            <w:pPr>
              <w:spacing w:after="20" w:before="20" w:line="240" w:lineRule="auto"/>
              <w:jc w:val="center"/>
            </w:pPr>
            <w:r/>
            <w:r>
              <w:rPr>
                <w:rFonts w:ascii="Calibri" w:hAnsi="Calibri"/>
                <w:b w:val="0"/>
                <w:sz w:val="16"/>
              </w:rPr>
              <w:t>0.0</w:t>
            </w:r>
          </w:p>
        </w:tc>
        <w:tc>
          <w:tcPr>
            <w:tcW w:type="dxa" w:w="1304"/>
            <w:shd w:val="clear" w:fill="F7F9FB"/>
          </w:tcPr>
          <w:p>
            <w:pPr>
              <w:spacing w:after="20" w:before="20" w:line="240" w:lineRule="auto"/>
              <w:jc w:val="center"/>
            </w:pPr>
            <w:r/>
            <w:r>
              <w:rPr>
                <w:rFonts w:ascii="Calibri" w:hAnsi="Calibri"/>
                <w:b w:val="0"/>
                <w:sz w:val="16"/>
              </w:rPr>
              <w:t>0.0</w:t>
            </w:r>
          </w:p>
        </w:tc>
        <w:tc>
          <w:tcPr>
            <w:tcW w:type="dxa" w:w="1304"/>
            <w:shd w:val="clear" w:fill="F7F9FB"/>
          </w:tcPr>
          <w:p>
            <w:pPr>
              <w:spacing w:after="20" w:before="20" w:line="240" w:lineRule="auto"/>
              <w:jc w:val="center"/>
            </w:pPr>
            <w:r/>
            <w:r>
              <w:rPr>
                <w:rFonts w:ascii="Calibri" w:hAnsi="Calibri"/>
                <w:b w:val="0"/>
                <w:sz w:val="16"/>
              </w:rPr>
              <w:t>0.0</w:t>
            </w:r>
          </w:p>
        </w:tc>
        <w:tc>
          <w:tcPr>
            <w:tcW w:type="dxa" w:w="1304"/>
            <w:shd w:val="clear" w:fill="F7F9FB"/>
          </w:tcPr>
          <w:p>
            <w:pPr>
              <w:spacing w:after="20" w:before="20" w:line="240" w:lineRule="auto"/>
              <w:jc w:val="center"/>
            </w:pPr>
            <w:r/>
            <w:r>
              <w:rPr>
                <w:rFonts w:ascii="Calibri" w:hAnsi="Calibri"/>
                <w:b w:val="0"/>
                <w:sz w:val="16"/>
              </w:rPr>
              <w:t>0.0</w:t>
            </w:r>
          </w:p>
        </w:tc>
        <w:tc>
          <w:tcPr>
            <w:tcW w:type="dxa" w:w="1304"/>
            <w:shd w:val="clear" w:fill="F7F9FB"/>
          </w:tcPr>
          <w:p>
            <w:pPr>
              <w:spacing w:after="20" w:before="20" w:line="240" w:lineRule="auto"/>
              <w:jc w:val="center"/>
            </w:pPr>
            <w:r/>
            <w:r>
              <w:rPr>
                <w:rFonts w:ascii="Calibri" w:hAnsi="Calibri"/>
                <w:b w:val="0"/>
                <w:sz w:val="16"/>
              </w:rPr>
              <w:t>0.0</w:t>
            </w:r>
          </w:p>
        </w:tc>
        <w:tc>
          <w:tcPr>
            <w:tcW w:type="dxa" w:w="1304"/>
            <w:shd w:val="clear" w:fill="F7F9FB"/>
          </w:tcPr>
          <w:p>
            <w:pPr>
              <w:spacing w:after="20" w:before="20" w:line="240" w:lineRule="auto"/>
              <w:jc w:val="center"/>
            </w:pPr>
            <w:r/>
            <w:r>
              <w:rPr>
                <w:rFonts w:ascii="Calibri" w:hAnsi="Calibri"/>
                <w:b w:val="0"/>
                <w:sz w:val="16"/>
              </w:rPr>
              <w:t>0.0</w:t>
            </w:r>
          </w:p>
        </w:tc>
      </w:tr>
      <w:tr>
        <w:tc>
          <w:tcPr>
            <w:tcW w:type="dxa" w:w="1814"/>
          </w:tcPr>
          <w:p>
            <w:pPr>
              <w:spacing w:after="20" w:before="20" w:line="240" w:lineRule="auto"/>
              <w:jc w:val="center"/>
            </w:pPr>
            <w:r/>
            <w:r>
              <w:rPr>
                <w:rFonts w:ascii="Calibri" w:hAnsi="Calibri"/>
                <w:b w:val="0"/>
                <w:sz w:val="16"/>
              </w:rPr>
              <w:t>0%</w:t>
            </w:r>
          </w:p>
        </w:tc>
        <w:tc>
          <w:tcPr>
            <w:tcW w:type="dxa" w:w="1304"/>
          </w:tcPr>
          <w:p>
            <w:pPr>
              <w:spacing w:after="20" w:before="20" w:line="240" w:lineRule="auto"/>
              <w:jc w:val="center"/>
            </w:pPr>
            <w:r/>
            <w:r>
              <w:rPr>
                <w:rFonts w:ascii="Calibri" w:hAnsi="Calibri"/>
                <w:b w:val="0"/>
                <w:sz w:val="16"/>
              </w:rPr>
              <w:t>0.0</w:t>
            </w:r>
          </w:p>
        </w:tc>
        <w:tc>
          <w:tcPr>
            <w:tcW w:type="dxa" w:w="1304"/>
          </w:tcPr>
          <w:p>
            <w:pPr>
              <w:spacing w:after="20" w:before="20" w:line="240" w:lineRule="auto"/>
              <w:jc w:val="center"/>
            </w:pPr>
            <w:r/>
            <w:r>
              <w:rPr>
                <w:rFonts w:ascii="Calibri" w:hAnsi="Calibri"/>
                <w:b w:val="0"/>
                <w:sz w:val="16"/>
              </w:rPr>
              <w:t>0.0</w:t>
            </w:r>
          </w:p>
        </w:tc>
        <w:tc>
          <w:tcPr>
            <w:tcW w:type="dxa" w:w="1304"/>
          </w:tcPr>
          <w:p>
            <w:pPr>
              <w:spacing w:after="20" w:before="20" w:line="240" w:lineRule="auto"/>
              <w:jc w:val="center"/>
            </w:pPr>
            <w:r/>
            <w:r>
              <w:rPr>
                <w:rFonts w:ascii="Calibri" w:hAnsi="Calibri"/>
                <w:b w:val="0"/>
                <w:sz w:val="16"/>
              </w:rPr>
              <w:t>0.0</w:t>
            </w:r>
          </w:p>
        </w:tc>
        <w:tc>
          <w:tcPr>
            <w:tcW w:type="dxa" w:w="1304"/>
          </w:tcPr>
          <w:p>
            <w:pPr>
              <w:spacing w:after="20" w:before="20" w:line="240" w:lineRule="auto"/>
              <w:jc w:val="center"/>
            </w:pPr>
            <w:r/>
            <w:r>
              <w:rPr>
                <w:rFonts w:ascii="Calibri" w:hAnsi="Calibri"/>
                <w:b w:val="0"/>
                <w:sz w:val="16"/>
              </w:rPr>
              <w:t>3.2</w:t>
            </w:r>
          </w:p>
        </w:tc>
        <w:tc>
          <w:tcPr>
            <w:tcW w:type="dxa" w:w="1304"/>
          </w:tcPr>
          <w:p>
            <w:pPr>
              <w:spacing w:after="20" w:before="20" w:line="240" w:lineRule="auto"/>
              <w:jc w:val="center"/>
            </w:pPr>
            <w:r/>
            <w:r>
              <w:rPr>
                <w:rFonts w:ascii="Calibri" w:hAnsi="Calibri"/>
                <w:b w:val="0"/>
                <w:sz w:val="16"/>
              </w:rPr>
              <w:t>10.0</w:t>
            </w:r>
          </w:p>
        </w:tc>
        <w:tc>
          <w:tcPr>
            <w:tcW w:type="dxa" w:w="1304"/>
          </w:tcPr>
          <w:p>
            <w:pPr>
              <w:spacing w:after="20" w:before="20" w:line="240" w:lineRule="auto"/>
              <w:jc w:val="center"/>
            </w:pPr>
            <w:r/>
            <w:r>
              <w:rPr>
                <w:rFonts w:ascii="Calibri" w:hAnsi="Calibri"/>
                <w:b w:val="0"/>
                <w:sz w:val="16"/>
              </w:rPr>
              <w:t>16.7</w:t>
            </w:r>
          </w:p>
        </w:tc>
      </w:tr>
      <w:tr>
        <w:tc>
          <w:tcPr>
            <w:tcW w:type="dxa" w:w="1814"/>
            <w:shd w:val="clear" w:fill="F7F9FB"/>
          </w:tcPr>
          <w:p>
            <w:pPr>
              <w:spacing w:after="20" w:before="20" w:line="240" w:lineRule="auto"/>
              <w:jc w:val="center"/>
            </w:pPr>
            <w:r/>
            <w:r>
              <w:rPr>
                <w:rFonts w:ascii="Calibri" w:hAnsi="Calibri"/>
                <w:b w:val="0"/>
                <w:sz w:val="16"/>
              </w:rPr>
              <w:t>10%</w:t>
            </w:r>
          </w:p>
        </w:tc>
        <w:tc>
          <w:tcPr>
            <w:tcW w:type="dxa" w:w="1304"/>
            <w:shd w:val="clear" w:fill="F7F9FB"/>
          </w:tcPr>
          <w:p>
            <w:pPr>
              <w:spacing w:after="20" w:before="20" w:line="240" w:lineRule="auto"/>
              <w:jc w:val="center"/>
            </w:pPr>
            <w:r/>
            <w:r>
              <w:rPr>
                <w:rFonts w:ascii="Calibri" w:hAnsi="Calibri"/>
                <w:b w:val="0"/>
                <w:sz w:val="16"/>
              </w:rPr>
              <w:t>0.0</w:t>
            </w:r>
          </w:p>
        </w:tc>
        <w:tc>
          <w:tcPr>
            <w:tcW w:type="dxa" w:w="1304"/>
            <w:shd w:val="clear" w:fill="F7F9FB"/>
          </w:tcPr>
          <w:p>
            <w:pPr>
              <w:spacing w:after="20" w:before="20" w:line="240" w:lineRule="auto"/>
              <w:jc w:val="center"/>
            </w:pPr>
            <w:r/>
            <w:r>
              <w:rPr>
                <w:rFonts w:ascii="Calibri" w:hAnsi="Calibri"/>
                <w:b w:val="0"/>
                <w:sz w:val="16"/>
              </w:rPr>
              <w:t>3.9</w:t>
            </w:r>
          </w:p>
        </w:tc>
        <w:tc>
          <w:tcPr>
            <w:tcW w:type="dxa" w:w="1304"/>
            <w:shd w:val="clear" w:fill="F7F9FB"/>
          </w:tcPr>
          <w:p>
            <w:pPr>
              <w:spacing w:after="20" w:before="20" w:line="240" w:lineRule="auto"/>
              <w:jc w:val="center"/>
            </w:pPr>
            <w:r/>
            <w:r>
              <w:rPr>
                <w:rFonts w:ascii="Calibri" w:hAnsi="Calibri"/>
                <w:b w:val="0"/>
                <w:sz w:val="16"/>
              </w:rPr>
              <w:t>9.8</w:t>
            </w:r>
          </w:p>
        </w:tc>
        <w:tc>
          <w:tcPr>
            <w:tcW w:type="dxa" w:w="1304"/>
            <w:shd w:val="clear" w:fill="F7F9FB"/>
          </w:tcPr>
          <w:p>
            <w:pPr>
              <w:spacing w:after="20" w:before="20" w:line="240" w:lineRule="auto"/>
              <w:jc w:val="center"/>
            </w:pPr>
            <w:r/>
            <w:r>
              <w:rPr>
                <w:rFonts w:ascii="Calibri" w:hAnsi="Calibri"/>
                <w:b w:val="0"/>
                <w:sz w:val="16"/>
              </w:rPr>
              <w:t>18.8</w:t>
            </w:r>
          </w:p>
        </w:tc>
        <w:tc>
          <w:tcPr>
            <w:tcW w:type="dxa" w:w="1304"/>
            <w:shd w:val="clear" w:fill="F7F9FB"/>
          </w:tcPr>
          <w:p>
            <w:pPr>
              <w:spacing w:after="20" w:before="20" w:line="240" w:lineRule="auto"/>
              <w:jc w:val="center"/>
            </w:pPr>
            <w:r/>
            <w:r>
              <w:rPr>
                <w:rFonts w:ascii="Calibri" w:hAnsi="Calibri"/>
                <w:b w:val="0"/>
                <w:sz w:val="16"/>
              </w:rPr>
              <w:t>26.2</w:t>
            </w:r>
          </w:p>
        </w:tc>
        <w:tc>
          <w:tcPr>
            <w:tcW w:type="dxa" w:w="1304"/>
            <w:shd w:val="clear" w:fill="F7F9FB"/>
          </w:tcPr>
          <w:p>
            <w:pPr>
              <w:spacing w:after="20" w:before="20" w:line="240" w:lineRule="auto"/>
              <w:jc w:val="center"/>
            </w:pPr>
            <w:r/>
            <w:r>
              <w:rPr>
                <w:rFonts w:ascii="Calibri" w:hAnsi="Calibri"/>
                <w:b w:val="0"/>
                <w:sz w:val="16"/>
              </w:rPr>
              <w:t>33.6</w:t>
            </w:r>
          </w:p>
        </w:tc>
      </w:tr>
      <w:tr>
        <w:tc>
          <w:tcPr>
            <w:tcW w:type="dxa" w:w="1814"/>
          </w:tcPr>
          <w:p>
            <w:pPr>
              <w:spacing w:after="20" w:before="20" w:line="240" w:lineRule="auto"/>
              <w:jc w:val="center"/>
            </w:pPr>
            <w:r/>
            <w:r>
              <w:rPr>
                <w:rFonts w:ascii="Calibri" w:hAnsi="Calibri"/>
                <w:b w:val="0"/>
                <w:sz w:val="16"/>
              </w:rPr>
              <w:t>20%</w:t>
            </w:r>
          </w:p>
        </w:tc>
        <w:tc>
          <w:tcPr>
            <w:tcW w:type="dxa" w:w="1304"/>
          </w:tcPr>
          <w:p>
            <w:pPr>
              <w:spacing w:after="20" w:before="20" w:line="240" w:lineRule="auto"/>
              <w:jc w:val="center"/>
            </w:pPr>
            <w:r/>
            <w:r>
              <w:rPr>
                <w:rFonts w:ascii="Calibri" w:hAnsi="Calibri"/>
                <w:b w:val="0"/>
                <w:sz w:val="16"/>
              </w:rPr>
              <w:t>10.0</w:t>
            </w:r>
          </w:p>
        </w:tc>
        <w:tc>
          <w:tcPr>
            <w:tcW w:type="dxa" w:w="1304"/>
          </w:tcPr>
          <w:p>
            <w:pPr>
              <w:spacing w:after="20" w:before="20" w:line="240" w:lineRule="auto"/>
              <w:jc w:val="center"/>
            </w:pPr>
            <w:r/>
            <w:r>
              <w:rPr>
                <w:rFonts w:ascii="Calibri" w:hAnsi="Calibri"/>
                <w:b w:val="0"/>
                <w:sz w:val="16"/>
              </w:rPr>
              <w:t>18.1</w:t>
            </w:r>
          </w:p>
        </w:tc>
        <w:tc>
          <w:tcPr>
            <w:tcW w:type="dxa" w:w="1304"/>
          </w:tcPr>
          <w:p>
            <w:pPr>
              <w:spacing w:after="20" w:before="20" w:line="240" w:lineRule="auto"/>
              <w:jc w:val="center"/>
            </w:pPr>
            <w:r/>
            <w:r>
              <w:rPr>
                <w:rFonts w:ascii="Calibri" w:hAnsi="Calibri"/>
                <w:b w:val="0"/>
                <w:sz w:val="16"/>
              </w:rPr>
              <w:t>24.6</w:t>
            </w:r>
          </w:p>
        </w:tc>
        <w:tc>
          <w:tcPr>
            <w:tcW w:type="dxa" w:w="1304"/>
          </w:tcPr>
          <w:p>
            <w:pPr>
              <w:spacing w:after="20" w:before="20" w:line="240" w:lineRule="auto"/>
              <w:jc w:val="center"/>
            </w:pPr>
            <w:r/>
            <w:r>
              <w:rPr>
                <w:rFonts w:ascii="Calibri" w:hAnsi="Calibri"/>
                <w:b w:val="0"/>
                <w:sz w:val="16"/>
              </w:rPr>
              <w:t>34.3</w:t>
            </w:r>
          </w:p>
        </w:tc>
        <w:tc>
          <w:tcPr>
            <w:tcW w:type="dxa" w:w="1304"/>
          </w:tcPr>
          <w:p>
            <w:pPr>
              <w:spacing w:after="20" w:before="20" w:line="240" w:lineRule="auto"/>
              <w:jc w:val="center"/>
            </w:pPr>
            <w:r/>
            <w:r>
              <w:rPr>
                <w:rFonts w:ascii="Calibri" w:hAnsi="Calibri"/>
                <w:b w:val="0"/>
                <w:sz w:val="16"/>
              </w:rPr>
              <w:t>42.4</w:t>
            </w:r>
          </w:p>
        </w:tc>
        <w:tc>
          <w:tcPr>
            <w:tcW w:type="dxa" w:w="1304"/>
          </w:tcPr>
          <w:p>
            <w:pPr>
              <w:spacing w:after="20" w:before="20" w:line="240" w:lineRule="auto"/>
              <w:jc w:val="center"/>
            </w:pPr>
            <w:r/>
            <w:r>
              <w:rPr>
                <w:rFonts w:ascii="Calibri" w:hAnsi="Calibri"/>
                <w:b w:val="0"/>
                <w:sz w:val="16"/>
              </w:rPr>
              <w:t>50.5</w:t>
            </w:r>
          </w:p>
        </w:tc>
      </w:tr>
      <w:tr>
        <w:tc>
          <w:tcPr>
            <w:tcW w:type="dxa" w:w="1814"/>
            <w:shd w:val="clear" w:fill="F7F9FB"/>
          </w:tcPr>
          <w:p>
            <w:pPr>
              <w:spacing w:after="20" w:before="20" w:line="240" w:lineRule="auto"/>
              <w:jc w:val="center"/>
            </w:pPr>
            <w:r/>
            <w:r>
              <w:rPr>
                <w:rFonts w:ascii="Calibri" w:hAnsi="Calibri"/>
                <w:b w:val="0"/>
                <w:sz w:val="16"/>
              </w:rPr>
              <w:t>30%</w:t>
            </w:r>
          </w:p>
        </w:tc>
        <w:tc>
          <w:tcPr>
            <w:tcW w:type="dxa" w:w="1304"/>
            <w:shd w:val="clear" w:fill="F7F9FB"/>
          </w:tcPr>
          <w:p>
            <w:pPr>
              <w:spacing w:after="20" w:before="20" w:line="240" w:lineRule="auto"/>
              <w:jc w:val="center"/>
            </w:pPr>
            <w:r/>
            <w:r>
              <w:rPr>
                <w:rFonts w:ascii="Calibri" w:hAnsi="Calibri"/>
                <w:b w:val="0"/>
                <w:sz w:val="16"/>
              </w:rPr>
              <w:t>23.5</w:t>
            </w:r>
          </w:p>
        </w:tc>
        <w:tc>
          <w:tcPr>
            <w:tcW w:type="dxa" w:w="1304"/>
            <w:shd w:val="clear" w:fill="F7F9FB"/>
          </w:tcPr>
          <w:p>
            <w:pPr>
              <w:spacing w:after="20" w:before="20" w:line="240" w:lineRule="auto"/>
              <w:jc w:val="center"/>
            </w:pPr>
            <w:r/>
            <w:r>
              <w:rPr>
                <w:rFonts w:ascii="Calibri" w:hAnsi="Calibri"/>
                <w:b w:val="0"/>
                <w:sz w:val="16"/>
              </w:rPr>
              <w:t>32.3</w:t>
            </w:r>
          </w:p>
        </w:tc>
        <w:tc>
          <w:tcPr>
            <w:tcW w:type="dxa" w:w="1304"/>
            <w:shd w:val="clear" w:fill="F7F9FB"/>
          </w:tcPr>
          <w:p>
            <w:pPr>
              <w:spacing w:after="20" w:before="20" w:line="240" w:lineRule="auto"/>
              <w:jc w:val="center"/>
            </w:pPr>
            <w:r/>
            <w:r>
              <w:rPr>
                <w:rFonts w:ascii="Calibri" w:hAnsi="Calibri"/>
                <w:b w:val="0"/>
                <w:sz w:val="16"/>
              </w:rPr>
              <w:t>39.3</w:t>
            </w:r>
          </w:p>
        </w:tc>
        <w:tc>
          <w:tcPr>
            <w:tcW w:type="dxa" w:w="1304"/>
            <w:shd w:val="clear" w:fill="F7F9FB"/>
          </w:tcPr>
          <w:p>
            <w:pPr>
              <w:spacing w:after="20" w:before="20" w:line="240" w:lineRule="auto"/>
              <w:jc w:val="center"/>
            </w:pPr>
            <w:r/>
            <w:r>
              <w:rPr>
                <w:rFonts w:ascii="Calibri" w:hAnsi="Calibri"/>
                <w:b w:val="0"/>
                <w:sz w:val="16"/>
              </w:rPr>
              <w:t>49.8</w:t>
            </w:r>
          </w:p>
        </w:tc>
        <w:tc>
          <w:tcPr>
            <w:tcW w:type="dxa" w:w="1304"/>
            <w:shd w:val="clear" w:fill="F7F9FB"/>
          </w:tcPr>
          <w:p>
            <w:pPr>
              <w:spacing w:after="20" w:before="20" w:line="240" w:lineRule="auto"/>
              <w:jc w:val="center"/>
            </w:pPr>
            <w:r/>
            <w:r>
              <w:rPr>
                <w:rFonts w:ascii="Calibri" w:hAnsi="Calibri"/>
                <w:b w:val="0"/>
                <w:sz w:val="16"/>
              </w:rPr>
              <w:t>58.6</w:t>
            </w:r>
          </w:p>
        </w:tc>
        <w:tc>
          <w:tcPr>
            <w:tcW w:type="dxa" w:w="1304"/>
            <w:shd w:val="clear" w:fill="F7F9FB"/>
          </w:tcPr>
          <w:p>
            <w:pPr>
              <w:spacing w:after="20" w:before="20" w:line="240" w:lineRule="auto"/>
              <w:jc w:val="center"/>
            </w:pPr>
            <w:r/>
            <w:r>
              <w:rPr>
                <w:rFonts w:ascii="Calibri" w:hAnsi="Calibri"/>
                <w:b w:val="0"/>
                <w:sz w:val="16"/>
              </w:rPr>
              <w:t>67.4</w:t>
            </w:r>
          </w:p>
        </w:tc>
      </w:tr>
    </w:tbl>
    <w:p>
      <w:pPr>
        <w:spacing w:after="20"/>
      </w:pPr>
    </w:p>
    <w:p>
      <w:pPr>
        <w:spacing w:after="100"/>
      </w:pPr>
      <w:r>
        <w:rPr>
          <w:b w:val="0"/>
          <w:i/>
          <w:color w:val="595959"/>
          <w:sz w:val="17"/>
        </w:rPr>
        <w:t>Read across a row to see the price effect and down a column to see the demand effect; the current position sits near the middle of the grid. Anything in the lower-right quadrant is beyond what commercial action alone can absorb.</w:t>
      </w:r>
    </w:p>
    <w:p>
      <w:r>
        <w:br w:type="page"/>
      </w:r>
    </w:p>
    <w:p>
      <w:pPr>
        <w:pStyle w:val="Heading1"/>
      </w:pPr>
      <w:r>
        <w:t>15. Parameters, configuration and change control</w:t>
      </w:r>
    </w:p>
    <w:p>
      <w:pPr>
        <w:spacing w:after="100"/>
      </w:pPr>
      <w:r>
        <w:rPr>
          <w:b w:val="0"/>
          <w:i w:val="0"/>
        </w:rPr>
        <w:t>Nothing in this pack is hard-coded. All 15 thresholds and all 18 model assumptions are held in a single configuration file, parameter set v1.1. The workbooks, this guide and the BRD figures are generated from that file plus the data, so a change is made once and takes effect everywhere.</w:t>
      </w:r>
    </w:p>
    <w:p>
      <w:pPr>
        <w:pStyle w:val="Heading2"/>
      </w:pPr>
      <w:r>
        <w:t>15.1 Parameters by group</w:t>
      </w:r>
    </w:p>
    <w:p>
      <w:pPr>
        <w:pStyle w:val="Heading3"/>
      </w:pPr>
      <w:r>
        <w:t>Demand</w:t>
      </w:r>
    </w:p>
    <w:tbl>
      <w:tblPr>
        <w:tblStyle w:val="TableGrid"/>
        <w:tblW w:type="auto" w:w="0"/>
        <w:jc w:val="center"/>
        <w:tblLayout w:type="fixed"/>
        <w:tblLook w:firstColumn="1" w:firstRow="1" w:lastColumn="0" w:lastRow="0" w:noHBand="0" w:noVBand="1" w:val="04A0"/>
      </w:tblPr>
      <w:tblGrid>
        <w:gridCol w:w="1681"/>
        <w:gridCol w:w="1681"/>
        <w:gridCol w:w="1681"/>
        <w:gridCol w:w="1681"/>
        <w:gridCol w:w="1681"/>
        <w:gridCol w:w="1681"/>
      </w:tblGrid>
      <w:tr>
        <w:trPr>
          <w:tblHeader/>
        </w:trPr>
        <w:tc>
          <w:tcPr>
            <w:tcW w:type="dxa" w:w="2268"/>
            <w:shd w:val="clear" w:fill="1F3B57"/>
          </w:tcPr>
          <w:p>
            <w:pPr>
              <w:spacing w:after="20" w:before="20" w:line="240" w:lineRule="auto"/>
            </w:pPr>
            <w:r/>
            <w:r>
              <w:rPr>
                <w:rFonts w:ascii="Calibri" w:hAnsi="Calibri"/>
                <w:b/>
                <w:color w:val="FFFFFF"/>
                <w:sz w:val="16"/>
              </w:rPr>
              <w:t>Key</w:t>
            </w:r>
          </w:p>
        </w:tc>
        <w:tc>
          <w:tcPr>
            <w:tcW w:type="dxa" w:w="3175"/>
            <w:shd w:val="clear" w:fill="1F3B57"/>
          </w:tcPr>
          <w:p>
            <w:pPr>
              <w:spacing w:after="20" w:before="20" w:line="240" w:lineRule="auto"/>
            </w:pPr>
            <w:r/>
            <w:r>
              <w:rPr>
                <w:rFonts w:ascii="Calibri" w:hAnsi="Calibri"/>
                <w:b/>
                <w:color w:val="FFFFFF"/>
                <w:sz w:val="16"/>
              </w:rPr>
              <w:t>Parameter</w:t>
            </w:r>
          </w:p>
        </w:tc>
        <w:tc>
          <w:tcPr>
            <w:tcW w:type="dxa" w:w="1020"/>
            <w:shd w:val="clear" w:fill="1F3B57"/>
          </w:tcPr>
          <w:p>
            <w:pPr>
              <w:spacing w:after="20" w:before="20" w:line="240" w:lineRule="auto"/>
            </w:pPr>
            <w:r/>
            <w:r>
              <w:rPr>
                <w:rFonts w:ascii="Calibri" w:hAnsi="Calibri"/>
                <w:b/>
                <w:color w:val="FFFFFF"/>
                <w:sz w:val="16"/>
              </w:rPr>
              <w:t>Value</w:t>
            </w:r>
          </w:p>
        </w:tc>
        <w:tc>
          <w:tcPr>
            <w:tcW w:type="dxa" w:w="794"/>
            <w:shd w:val="clear" w:fill="1F3B57"/>
          </w:tcPr>
          <w:p>
            <w:pPr>
              <w:spacing w:after="20" w:before="20" w:line="240" w:lineRule="auto"/>
            </w:pPr>
            <w:r/>
            <w:r>
              <w:rPr>
                <w:rFonts w:ascii="Calibri" w:hAnsi="Calibri"/>
                <w:b/>
                <w:color w:val="FFFFFF"/>
                <w:sz w:val="16"/>
              </w:rPr>
              <w:t>Unit</w:t>
            </w:r>
          </w:p>
        </w:tc>
        <w:tc>
          <w:tcPr>
            <w:tcW w:type="dxa" w:w="1361"/>
            <w:shd w:val="clear" w:fill="1F3B57"/>
          </w:tcPr>
          <w:p>
            <w:pPr>
              <w:spacing w:after="20" w:before="20" w:line="240" w:lineRule="auto"/>
            </w:pPr>
            <w:r/>
            <w:r>
              <w:rPr>
                <w:rFonts w:ascii="Calibri" w:hAnsi="Calibri"/>
                <w:b/>
                <w:color w:val="FFFFFF"/>
                <w:sz w:val="16"/>
              </w:rPr>
              <w:t>Working range</w:t>
            </w:r>
          </w:p>
        </w:tc>
        <w:tc>
          <w:tcPr>
            <w:tcW w:type="dxa" w:w="1134"/>
            <w:shd w:val="clear" w:fill="1F3B57"/>
          </w:tcPr>
          <w:p>
            <w:pPr>
              <w:spacing w:after="20" w:before="20" w:line="240" w:lineRule="auto"/>
            </w:pPr>
            <w:r/>
            <w:r>
              <w:rPr>
                <w:rFonts w:ascii="Calibri" w:hAnsi="Calibri"/>
                <w:b/>
                <w:color w:val="FFFFFF"/>
                <w:sz w:val="16"/>
              </w:rPr>
              <w:t>Owner</w:t>
            </w:r>
          </w:p>
        </w:tc>
      </w:tr>
      <w:tr>
        <w:tc>
          <w:tcPr>
            <w:tcW w:type="dxa" w:w="2268"/>
          </w:tcPr>
          <w:p>
            <w:pPr>
              <w:spacing w:after="20" w:before="20" w:line="240" w:lineRule="auto"/>
            </w:pPr>
            <w:r/>
            <w:r>
              <w:rPr>
                <w:rFonts w:ascii="Calibri" w:hAnsi="Calibri"/>
                <w:b w:val="0"/>
                <w:sz w:val="16"/>
              </w:rPr>
              <w:t>demand_growth_pct</w:t>
            </w:r>
          </w:p>
        </w:tc>
        <w:tc>
          <w:tcPr>
            <w:tcW w:type="dxa" w:w="3175"/>
          </w:tcPr>
          <w:p>
            <w:pPr>
              <w:spacing w:after="20" w:before="20" w:line="240" w:lineRule="auto"/>
            </w:pPr>
            <w:r/>
            <w:r>
              <w:rPr>
                <w:rFonts w:ascii="Calibri" w:hAnsi="Calibri"/>
                <w:b w:val="0"/>
                <w:sz w:val="16"/>
              </w:rPr>
              <w:t>Demand growth (annual)</w:t>
            </w:r>
          </w:p>
        </w:tc>
        <w:tc>
          <w:tcPr>
            <w:tcW w:type="dxa" w:w="1020"/>
          </w:tcPr>
          <w:p>
            <w:pPr>
              <w:spacing w:after="20" w:before="20" w:line="240" w:lineRule="auto"/>
              <w:jc w:val="center"/>
            </w:pPr>
            <w:r/>
            <w:r>
              <w:rPr>
                <w:rFonts w:ascii="Calibri" w:hAnsi="Calibri"/>
                <w:b w:val="0"/>
                <w:sz w:val="16"/>
              </w:rPr>
              <w:t>5.00%</w:t>
            </w:r>
          </w:p>
        </w:tc>
        <w:tc>
          <w:tcPr>
            <w:tcW w:type="dxa" w:w="794"/>
          </w:tcPr>
          <w:p>
            <w:pPr>
              <w:spacing w:after="20" w:before="20" w:line="240" w:lineRule="auto"/>
              <w:jc w:val="center"/>
            </w:pPr>
            <w:r/>
            <w:r>
              <w:rPr>
                <w:rFonts w:ascii="Calibri" w:hAnsi="Calibri"/>
                <w:b w:val="0"/>
                <w:sz w:val="16"/>
              </w:rPr>
              <w:t>%</w:t>
            </w:r>
          </w:p>
        </w:tc>
        <w:tc>
          <w:tcPr>
            <w:tcW w:type="dxa" w:w="1361"/>
          </w:tcPr>
          <w:p>
            <w:pPr>
              <w:spacing w:after="20" w:before="20" w:line="240" w:lineRule="auto"/>
            </w:pPr>
            <w:r/>
            <w:r>
              <w:rPr>
                <w:rFonts w:ascii="Calibri" w:hAnsi="Calibri"/>
                <w:b w:val="0"/>
                <w:sz w:val="16"/>
              </w:rPr>
              <w:t>-0.3 – 0.5</w:t>
            </w:r>
          </w:p>
        </w:tc>
        <w:tc>
          <w:tcPr>
            <w:tcW w:type="dxa" w:w="1134"/>
          </w:tcPr>
          <w:p>
            <w:pPr>
              <w:spacing w:after="20" w:before="20" w:line="240" w:lineRule="auto"/>
            </w:pPr>
            <w:r/>
            <w:r>
              <w:rPr>
                <w:rFonts w:ascii="Calibri" w:hAnsi="Calibri"/>
                <w:b w:val="0"/>
                <w:sz w:val="16"/>
              </w:rPr>
              <w:t>Programme</w:t>
            </w:r>
          </w:p>
        </w:tc>
      </w:tr>
      <w:tr>
        <w:tc>
          <w:tcPr>
            <w:tcW w:type="dxa" w:w="2268"/>
            <w:shd w:val="clear" w:fill="F7F9FB"/>
          </w:tcPr>
          <w:p>
            <w:pPr>
              <w:spacing w:after="20" w:before="20" w:line="240" w:lineRule="auto"/>
            </w:pPr>
            <w:r/>
            <w:r>
              <w:rPr>
                <w:rFonts w:ascii="Calibri" w:hAnsi="Calibri"/>
                <w:b w:val="0"/>
                <w:sz w:val="16"/>
              </w:rPr>
              <w:t>service_volume_growth_pct</w:t>
            </w:r>
          </w:p>
        </w:tc>
        <w:tc>
          <w:tcPr>
            <w:tcW w:type="dxa" w:w="3175"/>
            <w:shd w:val="clear" w:fill="F7F9FB"/>
          </w:tcPr>
          <w:p>
            <w:pPr>
              <w:spacing w:after="20" w:before="20" w:line="240" w:lineRule="auto"/>
            </w:pPr>
            <w:r/>
            <w:r>
              <w:rPr>
                <w:rFonts w:ascii="Calibri" w:hAnsi="Calibri"/>
                <w:b w:val="0"/>
                <w:sz w:val="16"/>
              </w:rPr>
              <w:t>Service volume (beneficiary) growth</w:t>
            </w:r>
          </w:p>
        </w:tc>
        <w:tc>
          <w:tcPr>
            <w:tcW w:type="dxa" w:w="1020"/>
            <w:shd w:val="clear" w:fill="F7F9FB"/>
          </w:tcPr>
          <w:p>
            <w:pPr>
              <w:spacing w:after="20" w:before="20" w:line="240" w:lineRule="auto"/>
              <w:jc w:val="center"/>
            </w:pPr>
            <w:r/>
            <w:r>
              <w:rPr>
                <w:rFonts w:ascii="Calibri" w:hAnsi="Calibri"/>
                <w:b w:val="0"/>
                <w:sz w:val="16"/>
              </w:rPr>
              <w:t>4.00%</w:t>
            </w:r>
          </w:p>
        </w:tc>
        <w:tc>
          <w:tcPr>
            <w:tcW w:type="dxa" w:w="794"/>
            <w:shd w:val="clear" w:fill="F7F9FB"/>
          </w:tcPr>
          <w:p>
            <w:pPr>
              <w:spacing w:after="20" w:before="20" w:line="240" w:lineRule="auto"/>
              <w:jc w:val="center"/>
            </w:pPr>
            <w:r/>
            <w:r>
              <w:rPr>
                <w:rFonts w:ascii="Calibri" w:hAnsi="Calibri"/>
                <w:b w:val="0"/>
                <w:sz w:val="16"/>
              </w:rPr>
              <w:t>%</w:t>
            </w:r>
          </w:p>
        </w:tc>
        <w:tc>
          <w:tcPr>
            <w:tcW w:type="dxa" w:w="1361"/>
            <w:shd w:val="clear" w:fill="F7F9FB"/>
          </w:tcPr>
          <w:p>
            <w:pPr>
              <w:spacing w:after="20" w:before="20" w:line="240" w:lineRule="auto"/>
            </w:pPr>
            <w:r/>
            <w:r>
              <w:rPr>
                <w:rFonts w:ascii="Calibri" w:hAnsi="Calibri"/>
                <w:b w:val="0"/>
                <w:sz w:val="16"/>
              </w:rPr>
              <w:t>-0.3 – 0.5</w:t>
            </w:r>
          </w:p>
        </w:tc>
        <w:tc>
          <w:tcPr>
            <w:tcW w:type="dxa" w:w="1134"/>
            <w:shd w:val="clear" w:fill="F7F9FB"/>
          </w:tcPr>
          <w:p>
            <w:pPr>
              <w:spacing w:after="20" w:before="20" w:line="240" w:lineRule="auto"/>
            </w:pPr>
            <w:r/>
            <w:r>
              <w:rPr>
                <w:rFonts w:ascii="Calibri" w:hAnsi="Calibri"/>
                <w:b w:val="0"/>
                <w:sz w:val="16"/>
              </w:rPr>
              <w:t>Programme</w:t>
            </w:r>
          </w:p>
        </w:tc>
      </w:tr>
      <w:tr>
        <w:tc>
          <w:tcPr>
            <w:tcW w:type="dxa" w:w="2268"/>
          </w:tcPr>
          <w:p>
            <w:pPr>
              <w:spacing w:after="20" w:before="20" w:line="240" w:lineRule="auto"/>
            </w:pPr>
            <w:r/>
            <w:r>
              <w:rPr>
                <w:rFonts w:ascii="Calibri" w:hAnsi="Calibri"/>
                <w:b w:val="0"/>
                <w:sz w:val="16"/>
              </w:rPr>
              <w:t>activity_factor</w:t>
            </w:r>
          </w:p>
        </w:tc>
        <w:tc>
          <w:tcPr>
            <w:tcW w:type="dxa" w:w="3175"/>
          </w:tcPr>
          <w:p>
            <w:pPr>
              <w:spacing w:after="20" w:before="20" w:line="240" w:lineRule="auto"/>
            </w:pPr>
            <w:r/>
            <w:r>
              <w:rPr>
                <w:rFonts w:ascii="Calibri" w:hAnsi="Calibri"/>
                <w:b w:val="0"/>
                <w:sz w:val="16"/>
              </w:rPr>
              <w:t>Project activity factor (next 12 months)</w:t>
            </w:r>
          </w:p>
        </w:tc>
        <w:tc>
          <w:tcPr>
            <w:tcW w:type="dxa" w:w="1020"/>
          </w:tcPr>
          <w:p>
            <w:pPr>
              <w:spacing w:after="20" w:before="20" w:line="240" w:lineRule="auto"/>
              <w:jc w:val="center"/>
            </w:pPr>
            <w:r/>
            <w:r>
              <w:rPr>
                <w:rFonts w:ascii="Calibri" w:hAnsi="Calibri"/>
                <w:b w:val="0"/>
                <w:sz w:val="16"/>
              </w:rPr>
              <w:t>auto</w:t>
            </w:r>
          </w:p>
        </w:tc>
        <w:tc>
          <w:tcPr>
            <w:tcW w:type="dxa" w:w="794"/>
          </w:tcPr>
          <w:p>
            <w:pPr>
              <w:spacing w:after="20" w:before="20" w:line="240" w:lineRule="auto"/>
              <w:jc w:val="center"/>
            </w:pPr>
            <w:r/>
            <w:r>
              <w:rPr>
                <w:rFonts w:ascii="Calibri" w:hAnsi="Calibri"/>
                <w:b w:val="0"/>
                <w:sz w:val="16"/>
              </w:rPr>
              <w:t>Ratio</w:t>
            </w:r>
          </w:p>
        </w:tc>
        <w:tc>
          <w:tcPr>
            <w:tcW w:type="dxa" w:w="1361"/>
          </w:tcPr>
          <w:p>
            <w:pPr>
              <w:spacing w:after="20" w:before="20" w:line="240" w:lineRule="auto"/>
            </w:pPr>
            <w:r/>
            <w:r>
              <w:rPr>
                <w:rFonts w:ascii="Calibri" w:hAnsi="Calibri"/>
                <w:b w:val="0"/>
                <w:sz w:val="16"/>
              </w:rPr>
              <w:t>0.1 – 1.0</w:t>
            </w:r>
          </w:p>
        </w:tc>
        <w:tc>
          <w:tcPr>
            <w:tcW w:type="dxa" w:w="1134"/>
          </w:tcPr>
          <w:p>
            <w:pPr>
              <w:spacing w:after="20" w:before="20" w:line="240" w:lineRule="auto"/>
            </w:pPr>
            <w:r/>
            <w:r>
              <w:rPr>
                <w:rFonts w:ascii="Calibri" w:hAnsi="Calibri"/>
                <w:b w:val="0"/>
                <w:sz w:val="16"/>
              </w:rPr>
              <w:t>Programme</w:t>
            </w:r>
          </w:p>
        </w:tc>
      </w:tr>
    </w:tbl>
    <w:p>
      <w:pPr>
        <w:spacing w:after="20"/>
      </w:pPr>
    </w:p>
    <w:p>
      <w:pPr>
        <w:pStyle w:val="Heading3"/>
      </w:pPr>
      <w:r>
        <w:t>Price</w:t>
      </w:r>
    </w:p>
    <w:tbl>
      <w:tblPr>
        <w:tblStyle w:val="TableGrid"/>
        <w:tblW w:type="auto" w:w="0"/>
        <w:jc w:val="center"/>
        <w:tblLayout w:type="fixed"/>
        <w:tblLook w:firstColumn="1" w:firstRow="1" w:lastColumn="0" w:lastRow="0" w:noHBand="0" w:noVBand="1" w:val="04A0"/>
      </w:tblPr>
      <w:tblGrid>
        <w:gridCol w:w="1681"/>
        <w:gridCol w:w="1681"/>
        <w:gridCol w:w="1681"/>
        <w:gridCol w:w="1681"/>
        <w:gridCol w:w="1681"/>
        <w:gridCol w:w="1681"/>
      </w:tblGrid>
      <w:tr>
        <w:trPr>
          <w:tblHeader/>
        </w:trPr>
        <w:tc>
          <w:tcPr>
            <w:tcW w:type="dxa" w:w="2268"/>
            <w:shd w:val="clear" w:fill="1F3B57"/>
          </w:tcPr>
          <w:p>
            <w:pPr>
              <w:spacing w:after="20" w:before="20" w:line="240" w:lineRule="auto"/>
            </w:pPr>
            <w:r/>
            <w:r>
              <w:rPr>
                <w:rFonts w:ascii="Calibri" w:hAnsi="Calibri"/>
                <w:b/>
                <w:color w:val="FFFFFF"/>
                <w:sz w:val="16"/>
              </w:rPr>
              <w:t>Key</w:t>
            </w:r>
          </w:p>
        </w:tc>
        <w:tc>
          <w:tcPr>
            <w:tcW w:type="dxa" w:w="3175"/>
            <w:shd w:val="clear" w:fill="1F3B57"/>
          </w:tcPr>
          <w:p>
            <w:pPr>
              <w:spacing w:after="20" w:before="20" w:line="240" w:lineRule="auto"/>
            </w:pPr>
            <w:r/>
            <w:r>
              <w:rPr>
                <w:rFonts w:ascii="Calibri" w:hAnsi="Calibri"/>
                <w:b/>
                <w:color w:val="FFFFFF"/>
                <w:sz w:val="16"/>
              </w:rPr>
              <w:t>Parameter</w:t>
            </w:r>
          </w:p>
        </w:tc>
        <w:tc>
          <w:tcPr>
            <w:tcW w:type="dxa" w:w="1020"/>
            <w:shd w:val="clear" w:fill="1F3B57"/>
          </w:tcPr>
          <w:p>
            <w:pPr>
              <w:spacing w:after="20" w:before="20" w:line="240" w:lineRule="auto"/>
            </w:pPr>
            <w:r/>
            <w:r>
              <w:rPr>
                <w:rFonts w:ascii="Calibri" w:hAnsi="Calibri"/>
                <w:b/>
                <w:color w:val="FFFFFF"/>
                <w:sz w:val="16"/>
              </w:rPr>
              <w:t>Value</w:t>
            </w:r>
          </w:p>
        </w:tc>
        <w:tc>
          <w:tcPr>
            <w:tcW w:type="dxa" w:w="794"/>
            <w:shd w:val="clear" w:fill="1F3B57"/>
          </w:tcPr>
          <w:p>
            <w:pPr>
              <w:spacing w:after="20" w:before="20" w:line="240" w:lineRule="auto"/>
            </w:pPr>
            <w:r/>
            <w:r>
              <w:rPr>
                <w:rFonts w:ascii="Calibri" w:hAnsi="Calibri"/>
                <w:b/>
                <w:color w:val="FFFFFF"/>
                <w:sz w:val="16"/>
              </w:rPr>
              <w:t>Unit</w:t>
            </w:r>
          </w:p>
        </w:tc>
        <w:tc>
          <w:tcPr>
            <w:tcW w:type="dxa" w:w="1361"/>
            <w:shd w:val="clear" w:fill="1F3B57"/>
          </w:tcPr>
          <w:p>
            <w:pPr>
              <w:spacing w:after="20" w:before="20" w:line="240" w:lineRule="auto"/>
            </w:pPr>
            <w:r/>
            <w:r>
              <w:rPr>
                <w:rFonts w:ascii="Calibri" w:hAnsi="Calibri"/>
                <w:b/>
                <w:color w:val="FFFFFF"/>
                <w:sz w:val="16"/>
              </w:rPr>
              <w:t>Working range</w:t>
            </w:r>
          </w:p>
        </w:tc>
        <w:tc>
          <w:tcPr>
            <w:tcW w:type="dxa" w:w="1134"/>
            <w:shd w:val="clear" w:fill="1F3B57"/>
          </w:tcPr>
          <w:p>
            <w:pPr>
              <w:spacing w:after="20" w:before="20" w:line="240" w:lineRule="auto"/>
            </w:pPr>
            <w:r/>
            <w:r>
              <w:rPr>
                <w:rFonts w:ascii="Calibri" w:hAnsi="Calibri"/>
                <w:b/>
                <w:color w:val="FFFFFF"/>
                <w:sz w:val="16"/>
              </w:rPr>
              <w:t>Owner</w:t>
            </w:r>
          </w:p>
        </w:tc>
      </w:tr>
      <w:tr>
        <w:tc>
          <w:tcPr>
            <w:tcW w:type="dxa" w:w="2268"/>
          </w:tcPr>
          <w:p>
            <w:pPr>
              <w:spacing w:after="20" w:before="20" w:line="240" w:lineRule="auto"/>
            </w:pPr>
            <w:r/>
            <w:r>
              <w:rPr>
                <w:rFonts w:ascii="Calibri" w:hAnsi="Calibri"/>
                <w:b w:val="0"/>
                <w:sz w:val="16"/>
              </w:rPr>
              <w:t>price_inflation_pct</w:t>
            </w:r>
          </w:p>
        </w:tc>
        <w:tc>
          <w:tcPr>
            <w:tcW w:type="dxa" w:w="3175"/>
          </w:tcPr>
          <w:p>
            <w:pPr>
              <w:spacing w:after="20" w:before="20" w:line="240" w:lineRule="auto"/>
            </w:pPr>
            <w:r/>
            <w:r>
              <w:rPr>
                <w:rFonts w:ascii="Calibri" w:hAnsi="Calibri"/>
                <w:b w:val="0"/>
                <w:sz w:val="16"/>
              </w:rPr>
              <w:t>Price inflation (annual)</w:t>
            </w:r>
          </w:p>
        </w:tc>
        <w:tc>
          <w:tcPr>
            <w:tcW w:type="dxa" w:w="1020"/>
          </w:tcPr>
          <w:p>
            <w:pPr>
              <w:spacing w:after="20" w:before="20" w:line="240" w:lineRule="auto"/>
              <w:jc w:val="center"/>
            </w:pPr>
            <w:r/>
            <w:r>
              <w:rPr>
                <w:rFonts w:ascii="Calibri" w:hAnsi="Calibri"/>
                <w:b w:val="0"/>
                <w:sz w:val="16"/>
              </w:rPr>
              <w:t>9.00%</w:t>
            </w:r>
          </w:p>
        </w:tc>
        <w:tc>
          <w:tcPr>
            <w:tcW w:type="dxa" w:w="794"/>
          </w:tcPr>
          <w:p>
            <w:pPr>
              <w:spacing w:after="20" w:before="20" w:line="240" w:lineRule="auto"/>
              <w:jc w:val="center"/>
            </w:pPr>
            <w:r/>
            <w:r>
              <w:rPr>
                <w:rFonts w:ascii="Calibri" w:hAnsi="Calibri"/>
                <w:b w:val="0"/>
                <w:sz w:val="16"/>
              </w:rPr>
              <w:t>%</w:t>
            </w:r>
          </w:p>
        </w:tc>
        <w:tc>
          <w:tcPr>
            <w:tcW w:type="dxa" w:w="1361"/>
          </w:tcPr>
          <w:p>
            <w:pPr>
              <w:spacing w:after="20" w:before="20" w:line="240" w:lineRule="auto"/>
            </w:pPr>
            <w:r/>
            <w:r>
              <w:rPr>
                <w:rFonts w:ascii="Calibri" w:hAnsi="Calibri"/>
                <w:b w:val="0"/>
                <w:sz w:val="16"/>
              </w:rPr>
              <w:t>-0.1 – 0.4</w:t>
            </w:r>
          </w:p>
        </w:tc>
        <w:tc>
          <w:tcPr>
            <w:tcW w:type="dxa" w:w="1134"/>
          </w:tcPr>
          <w:p>
            <w:pPr>
              <w:spacing w:after="20" w:before="20" w:line="240" w:lineRule="auto"/>
            </w:pPr>
            <w:r/>
            <w:r>
              <w:rPr>
                <w:rFonts w:ascii="Calibri" w:hAnsi="Calibri"/>
                <w:b w:val="0"/>
                <w:sz w:val="16"/>
              </w:rPr>
              <w:t>Procurement</w:t>
            </w:r>
          </w:p>
        </w:tc>
      </w:tr>
      <w:tr>
        <w:tc>
          <w:tcPr>
            <w:tcW w:type="dxa" w:w="2268"/>
            <w:shd w:val="clear" w:fill="F7F9FB"/>
          </w:tcPr>
          <w:p>
            <w:pPr>
              <w:spacing w:after="20" w:before="20" w:line="240" w:lineRule="auto"/>
            </w:pPr>
            <w:r/>
            <w:r>
              <w:rPr>
                <w:rFonts w:ascii="Calibri" w:hAnsi="Calibri"/>
                <w:b w:val="0"/>
                <w:sz w:val="16"/>
              </w:rPr>
              <w:t>price_shock_pct</w:t>
            </w:r>
          </w:p>
        </w:tc>
        <w:tc>
          <w:tcPr>
            <w:tcW w:type="dxa" w:w="3175"/>
            <w:shd w:val="clear" w:fill="F7F9FB"/>
          </w:tcPr>
          <w:p>
            <w:pPr>
              <w:spacing w:after="20" w:before="20" w:line="240" w:lineRule="auto"/>
            </w:pPr>
            <w:r/>
            <w:r>
              <w:rPr>
                <w:rFonts w:ascii="Calibri" w:hAnsi="Calibri"/>
                <w:b w:val="0"/>
                <w:sz w:val="16"/>
              </w:rPr>
              <w:t>One-off price shock</w:t>
            </w:r>
          </w:p>
        </w:tc>
        <w:tc>
          <w:tcPr>
            <w:tcW w:type="dxa" w:w="1020"/>
            <w:shd w:val="clear" w:fill="F7F9FB"/>
          </w:tcPr>
          <w:p>
            <w:pPr>
              <w:spacing w:after="20" w:before="20" w:line="240" w:lineRule="auto"/>
              <w:jc w:val="center"/>
            </w:pPr>
            <w:r/>
            <w:r>
              <w:rPr>
                <w:rFonts w:ascii="Calibri" w:hAnsi="Calibri"/>
                <w:b w:val="0"/>
                <w:sz w:val="16"/>
              </w:rPr>
              <w:t>0.00%</w:t>
            </w:r>
          </w:p>
        </w:tc>
        <w:tc>
          <w:tcPr>
            <w:tcW w:type="dxa" w:w="794"/>
            <w:shd w:val="clear" w:fill="F7F9FB"/>
          </w:tcPr>
          <w:p>
            <w:pPr>
              <w:spacing w:after="20" w:before="20" w:line="240" w:lineRule="auto"/>
              <w:jc w:val="center"/>
            </w:pPr>
            <w:r/>
            <w:r>
              <w:rPr>
                <w:rFonts w:ascii="Calibri" w:hAnsi="Calibri"/>
                <w:b w:val="0"/>
                <w:sz w:val="16"/>
              </w:rPr>
              <w:t>%</w:t>
            </w:r>
          </w:p>
        </w:tc>
        <w:tc>
          <w:tcPr>
            <w:tcW w:type="dxa" w:w="1361"/>
            <w:shd w:val="clear" w:fill="F7F9FB"/>
          </w:tcPr>
          <w:p>
            <w:pPr>
              <w:spacing w:after="20" w:before="20" w:line="240" w:lineRule="auto"/>
            </w:pPr>
            <w:r/>
            <w:r>
              <w:rPr>
                <w:rFonts w:ascii="Calibri" w:hAnsi="Calibri"/>
                <w:b w:val="0"/>
                <w:sz w:val="16"/>
              </w:rPr>
              <w:t>-0.2 – 0.5</w:t>
            </w:r>
          </w:p>
        </w:tc>
        <w:tc>
          <w:tcPr>
            <w:tcW w:type="dxa" w:w="1134"/>
            <w:shd w:val="clear" w:fill="F7F9FB"/>
          </w:tcPr>
          <w:p>
            <w:pPr>
              <w:spacing w:after="20" w:before="20" w:line="240" w:lineRule="auto"/>
            </w:pPr>
            <w:r/>
            <w:r>
              <w:rPr>
                <w:rFonts w:ascii="Calibri" w:hAnsi="Calibri"/>
                <w:b w:val="0"/>
                <w:sz w:val="16"/>
              </w:rPr>
              <w:t>Procurement</w:t>
            </w:r>
          </w:p>
        </w:tc>
      </w:tr>
      <w:tr>
        <w:tc>
          <w:tcPr>
            <w:tcW w:type="dxa" w:w="2268"/>
          </w:tcPr>
          <w:p>
            <w:pPr>
              <w:spacing w:after="20" w:before="20" w:line="240" w:lineRule="auto"/>
            </w:pPr>
            <w:r/>
            <w:r>
              <w:rPr>
                <w:rFonts w:ascii="Calibri" w:hAnsi="Calibri"/>
                <w:b w:val="0"/>
                <w:sz w:val="16"/>
              </w:rPr>
              <w:t>bulk_discount_pct</w:t>
            </w:r>
          </w:p>
        </w:tc>
        <w:tc>
          <w:tcPr>
            <w:tcW w:type="dxa" w:w="3175"/>
          </w:tcPr>
          <w:p>
            <w:pPr>
              <w:spacing w:after="20" w:before="20" w:line="240" w:lineRule="auto"/>
            </w:pPr>
            <w:r/>
            <w:r>
              <w:rPr>
                <w:rFonts w:ascii="Calibri" w:hAnsi="Calibri"/>
                <w:b w:val="0"/>
                <w:sz w:val="16"/>
              </w:rPr>
              <w:t>Bulk / framework discount</w:t>
            </w:r>
          </w:p>
        </w:tc>
        <w:tc>
          <w:tcPr>
            <w:tcW w:type="dxa" w:w="1020"/>
          </w:tcPr>
          <w:p>
            <w:pPr>
              <w:spacing w:after="20" w:before="20" w:line="240" w:lineRule="auto"/>
              <w:jc w:val="center"/>
            </w:pPr>
            <w:r/>
            <w:r>
              <w:rPr>
                <w:rFonts w:ascii="Calibri" w:hAnsi="Calibri"/>
                <w:b w:val="0"/>
                <w:sz w:val="16"/>
              </w:rPr>
              <w:t>0.00%</w:t>
            </w:r>
          </w:p>
        </w:tc>
        <w:tc>
          <w:tcPr>
            <w:tcW w:type="dxa" w:w="794"/>
          </w:tcPr>
          <w:p>
            <w:pPr>
              <w:spacing w:after="20" w:before="20" w:line="240" w:lineRule="auto"/>
              <w:jc w:val="center"/>
            </w:pPr>
            <w:r/>
            <w:r>
              <w:rPr>
                <w:rFonts w:ascii="Calibri" w:hAnsi="Calibri"/>
                <w:b w:val="0"/>
                <w:sz w:val="16"/>
              </w:rPr>
              <w:t>%</w:t>
            </w:r>
          </w:p>
        </w:tc>
        <w:tc>
          <w:tcPr>
            <w:tcW w:type="dxa" w:w="1361"/>
          </w:tcPr>
          <w:p>
            <w:pPr>
              <w:spacing w:after="20" w:before="20" w:line="240" w:lineRule="auto"/>
            </w:pPr>
            <w:r/>
            <w:r>
              <w:rPr>
                <w:rFonts w:ascii="Calibri" w:hAnsi="Calibri"/>
                <w:b w:val="0"/>
                <w:sz w:val="16"/>
              </w:rPr>
              <w:t>0.0 – 0.25</w:t>
            </w:r>
          </w:p>
        </w:tc>
        <w:tc>
          <w:tcPr>
            <w:tcW w:type="dxa" w:w="1134"/>
          </w:tcPr>
          <w:p>
            <w:pPr>
              <w:spacing w:after="20" w:before="20" w:line="240" w:lineRule="auto"/>
            </w:pPr>
            <w:r/>
            <w:r>
              <w:rPr>
                <w:rFonts w:ascii="Calibri" w:hAnsi="Calibri"/>
                <w:b w:val="0"/>
                <w:sz w:val="16"/>
              </w:rPr>
              <w:t>Procurement</w:t>
            </w:r>
          </w:p>
        </w:tc>
      </w:tr>
    </w:tbl>
    <w:p>
      <w:pPr>
        <w:spacing w:after="20"/>
      </w:pPr>
    </w:p>
    <w:p>
      <w:pPr>
        <w:pStyle w:val="Heading3"/>
      </w:pPr>
      <w:r>
        <w:t>Supply</w:t>
      </w:r>
    </w:p>
    <w:tbl>
      <w:tblPr>
        <w:tblStyle w:val="TableGrid"/>
        <w:tblW w:type="auto" w:w="0"/>
        <w:jc w:val="center"/>
        <w:tblLayout w:type="fixed"/>
        <w:tblLook w:firstColumn="1" w:firstRow="1" w:lastColumn="0" w:lastRow="0" w:noHBand="0" w:noVBand="1" w:val="04A0"/>
      </w:tblPr>
      <w:tblGrid>
        <w:gridCol w:w="1681"/>
        <w:gridCol w:w="1681"/>
        <w:gridCol w:w="1681"/>
        <w:gridCol w:w="1681"/>
        <w:gridCol w:w="1681"/>
        <w:gridCol w:w="1681"/>
      </w:tblGrid>
      <w:tr>
        <w:trPr>
          <w:tblHeader/>
        </w:trPr>
        <w:tc>
          <w:tcPr>
            <w:tcW w:type="dxa" w:w="2268"/>
            <w:shd w:val="clear" w:fill="1F3B57"/>
          </w:tcPr>
          <w:p>
            <w:pPr>
              <w:spacing w:after="20" w:before="20" w:line="240" w:lineRule="auto"/>
            </w:pPr>
            <w:r/>
            <w:r>
              <w:rPr>
                <w:rFonts w:ascii="Calibri" w:hAnsi="Calibri"/>
                <w:b/>
                <w:color w:val="FFFFFF"/>
                <w:sz w:val="16"/>
              </w:rPr>
              <w:t>Key</w:t>
            </w:r>
          </w:p>
        </w:tc>
        <w:tc>
          <w:tcPr>
            <w:tcW w:type="dxa" w:w="3175"/>
            <w:shd w:val="clear" w:fill="1F3B57"/>
          </w:tcPr>
          <w:p>
            <w:pPr>
              <w:spacing w:after="20" w:before="20" w:line="240" w:lineRule="auto"/>
            </w:pPr>
            <w:r/>
            <w:r>
              <w:rPr>
                <w:rFonts w:ascii="Calibri" w:hAnsi="Calibri"/>
                <w:b/>
                <w:color w:val="FFFFFF"/>
                <w:sz w:val="16"/>
              </w:rPr>
              <w:t>Parameter</w:t>
            </w:r>
          </w:p>
        </w:tc>
        <w:tc>
          <w:tcPr>
            <w:tcW w:type="dxa" w:w="1020"/>
            <w:shd w:val="clear" w:fill="1F3B57"/>
          </w:tcPr>
          <w:p>
            <w:pPr>
              <w:spacing w:after="20" w:before="20" w:line="240" w:lineRule="auto"/>
            </w:pPr>
            <w:r/>
            <w:r>
              <w:rPr>
                <w:rFonts w:ascii="Calibri" w:hAnsi="Calibri"/>
                <w:b/>
                <w:color w:val="FFFFFF"/>
                <w:sz w:val="16"/>
              </w:rPr>
              <w:t>Value</w:t>
            </w:r>
          </w:p>
        </w:tc>
        <w:tc>
          <w:tcPr>
            <w:tcW w:type="dxa" w:w="794"/>
            <w:shd w:val="clear" w:fill="1F3B57"/>
          </w:tcPr>
          <w:p>
            <w:pPr>
              <w:spacing w:after="20" w:before="20" w:line="240" w:lineRule="auto"/>
            </w:pPr>
            <w:r/>
            <w:r>
              <w:rPr>
                <w:rFonts w:ascii="Calibri" w:hAnsi="Calibri"/>
                <w:b/>
                <w:color w:val="FFFFFF"/>
                <w:sz w:val="16"/>
              </w:rPr>
              <w:t>Unit</w:t>
            </w:r>
          </w:p>
        </w:tc>
        <w:tc>
          <w:tcPr>
            <w:tcW w:type="dxa" w:w="1361"/>
            <w:shd w:val="clear" w:fill="1F3B57"/>
          </w:tcPr>
          <w:p>
            <w:pPr>
              <w:spacing w:after="20" w:before="20" w:line="240" w:lineRule="auto"/>
            </w:pPr>
            <w:r/>
            <w:r>
              <w:rPr>
                <w:rFonts w:ascii="Calibri" w:hAnsi="Calibri"/>
                <w:b/>
                <w:color w:val="FFFFFF"/>
                <w:sz w:val="16"/>
              </w:rPr>
              <w:t>Working range</w:t>
            </w:r>
          </w:p>
        </w:tc>
        <w:tc>
          <w:tcPr>
            <w:tcW w:type="dxa" w:w="1134"/>
            <w:shd w:val="clear" w:fill="1F3B57"/>
          </w:tcPr>
          <w:p>
            <w:pPr>
              <w:spacing w:after="20" w:before="20" w:line="240" w:lineRule="auto"/>
            </w:pPr>
            <w:r/>
            <w:r>
              <w:rPr>
                <w:rFonts w:ascii="Calibri" w:hAnsi="Calibri"/>
                <w:b/>
                <w:color w:val="FFFFFF"/>
                <w:sz w:val="16"/>
              </w:rPr>
              <w:t>Owner</w:t>
            </w:r>
          </w:p>
        </w:tc>
      </w:tr>
      <w:tr>
        <w:tc>
          <w:tcPr>
            <w:tcW w:type="dxa" w:w="2268"/>
          </w:tcPr>
          <w:p>
            <w:pPr>
              <w:spacing w:after="20" w:before="20" w:line="240" w:lineRule="auto"/>
            </w:pPr>
            <w:r/>
            <w:r>
              <w:rPr>
                <w:rFonts w:ascii="Calibri" w:hAnsi="Calibri"/>
                <w:b w:val="0"/>
                <w:sz w:val="16"/>
              </w:rPr>
              <w:t>lead_time_multiplier</w:t>
            </w:r>
          </w:p>
        </w:tc>
        <w:tc>
          <w:tcPr>
            <w:tcW w:type="dxa" w:w="3175"/>
          </w:tcPr>
          <w:p>
            <w:pPr>
              <w:spacing w:after="20" w:before="20" w:line="240" w:lineRule="auto"/>
            </w:pPr>
            <w:r/>
            <w:r>
              <w:rPr>
                <w:rFonts w:ascii="Calibri" w:hAnsi="Calibri"/>
                <w:b w:val="0"/>
                <w:sz w:val="16"/>
              </w:rPr>
              <w:t>Supplier lead-time multiplier</w:t>
            </w:r>
          </w:p>
        </w:tc>
        <w:tc>
          <w:tcPr>
            <w:tcW w:type="dxa" w:w="1020"/>
          </w:tcPr>
          <w:p>
            <w:pPr>
              <w:spacing w:after="20" w:before="20" w:line="240" w:lineRule="auto"/>
              <w:jc w:val="center"/>
            </w:pPr>
            <w:r/>
            <w:r>
              <w:rPr>
                <w:rFonts w:ascii="Calibri" w:hAnsi="Calibri"/>
                <w:b w:val="0"/>
                <w:sz w:val="16"/>
              </w:rPr>
              <w:t>1</w:t>
            </w:r>
          </w:p>
        </w:tc>
        <w:tc>
          <w:tcPr>
            <w:tcW w:type="dxa" w:w="794"/>
          </w:tcPr>
          <w:p>
            <w:pPr>
              <w:spacing w:after="20" w:before="20" w:line="240" w:lineRule="auto"/>
              <w:jc w:val="center"/>
            </w:pPr>
            <w:r/>
            <w:r>
              <w:rPr>
                <w:rFonts w:ascii="Calibri" w:hAnsi="Calibri"/>
                <w:b w:val="0"/>
                <w:sz w:val="16"/>
              </w:rPr>
              <w:t>x</w:t>
            </w:r>
          </w:p>
        </w:tc>
        <w:tc>
          <w:tcPr>
            <w:tcW w:type="dxa" w:w="1361"/>
          </w:tcPr>
          <w:p>
            <w:pPr>
              <w:spacing w:after="20" w:before="20" w:line="240" w:lineRule="auto"/>
            </w:pPr>
            <w:r/>
            <w:r>
              <w:rPr>
                <w:rFonts w:ascii="Calibri" w:hAnsi="Calibri"/>
                <w:b w:val="0"/>
                <w:sz w:val="16"/>
              </w:rPr>
              <w:t>0.5 – 3.0</w:t>
            </w:r>
          </w:p>
        </w:tc>
        <w:tc>
          <w:tcPr>
            <w:tcW w:type="dxa" w:w="1134"/>
          </w:tcPr>
          <w:p>
            <w:pPr>
              <w:spacing w:after="20" w:before="20" w:line="240" w:lineRule="auto"/>
            </w:pPr>
            <w:r/>
            <w:r>
              <w:rPr>
                <w:rFonts w:ascii="Calibri" w:hAnsi="Calibri"/>
                <w:b w:val="0"/>
                <w:sz w:val="16"/>
              </w:rPr>
              <w:t>Procurement</w:t>
            </w:r>
          </w:p>
        </w:tc>
      </w:tr>
      <w:tr>
        <w:tc>
          <w:tcPr>
            <w:tcW w:type="dxa" w:w="2268"/>
            <w:shd w:val="clear" w:fill="F7F9FB"/>
          </w:tcPr>
          <w:p>
            <w:pPr>
              <w:spacing w:after="20" w:before="20" w:line="240" w:lineRule="auto"/>
            </w:pPr>
            <w:r/>
            <w:r>
              <w:rPr>
                <w:rFonts w:ascii="Calibri" w:hAnsi="Calibri"/>
                <w:b w:val="0"/>
                <w:sz w:val="16"/>
              </w:rPr>
              <w:t>supplier_reliability_pct</w:t>
            </w:r>
          </w:p>
        </w:tc>
        <w:tc>
          <w:tcPr>
            <w:tcW w:type="dxa" w:w="3175"/>
            <w:shd w:val="clear" w:fill="F7F9FB"/>
          </w:tcPr>
          <w:p>
            <w:pPr>
              <w:spacing w:after="20" w:before="20" w:line="240" w:lineRule="auto"/>
            </w:pPr>
            <w:r/>
            <w:r>
              <w:rPr>
                <w:rFonts w:ascii="Calibri" w:hAnsi="Calibri"/>
                <w:b w:val="0"/>
                <w:sz w:val="16"/>
              </w:rPr>
              <w:t>Supplier on-time reliability</w:t>
            </w:r>
          </w:p>
        </w:tc>
        <w:tc>
          <w:tcPr>
            <w:tcW w:type="dxa" w:w="1020"/>
            <w:shd w:val="clear" w:fill="F7F9FB"/>
          </w:tcPr>
          <w:p>
            <w:pPr>
              <w:spacing w:after="20" w:before="20" w:line="240" w:lineRule="auto"/>
              <w:jc w:val="center"/>
            </w:pPr>
            <w:r/>
            <w:r>
              <w:rPr>
                <w:rFonts w:ascii="Calibri" w:hAnsi="Calibri"/>
                <w:b w:val="0"/>
                <w:sz w:val="16"/>
              </w:rPr>
              <w:t>90.00%</w:t>
            </w:r>
          </w:p>
        </w:tc>
        <w:tc>
          <w:tcPr>
            <w:tcW w:type="dxa" w:w="794"/>
            <w:shd w:val="clear" w:fill="F7F9FB"/>
          </w:tcPr>
          <w:p>
            <w:pPr>
              <w:spacing w:after="20" w:before="20" w:line="240" w:lineRule="auto"/>
              <w:jc w:val="center"/>
            </w:pPr>
            <w:r/>
            <w:r>
              <w:rPr>
                <w:rFonts w:ascii="Calibri" w:hAnsi="Calibri"/>
                <w:b w:val="0"/>
                <w:sz w:val="16"/>
              </w:rPr>
              <w:t>%</w:t>
            </w:r>
          </w:p>
        </w:tc>
        <w:tc>
          <w:tcPr>
            <w:tcW w:type="dxa" w:w="1361"/>
            <w:shd w:val="clear" w:fill="F7F9FB"/>
          </w:tcPr>
          <w:p>
            <w:pPr>
              <w:spacing w:after="20" w:before="20" w:line="240" w:lineRule="auto"/>
            </w:pPr>
            <w:r/>
            <w:r>
              <w:rPr>
                <w:rFonts w:ascii="Calibri" w:hAnsi="Calibri"/>
                <w:b w:val="0"/>
                <w:sz w:val="16"/>
              </w:rPr>
              <w:t>0.4 – 1.0</w:t>
            </w:r>
          </w:p>
        </w:tc>
        <w:tc>
          <w:tcPr>
            <w:tcW w:type="dxa" w:w="1134"/>
            <w:shd w:val="clear" w:fill="F7F9FB"/>
          </w:tcPr>
          <w:p>
            <w:pPr>
              <w:spacing w:after="20" w:before="20" w:line="240" w:lineRule="auto"/>
            </w:pPr>
            <w:r/>
            <w:r>
              <w:rPr>
                <w:rFonts w:ascii="Calibri" w:hAnsi="Calibri"/>
                <w:b w:val="0"/>
                <w:sz w:val="16"/>
              </w:rPr>
              <w:t>Procurement</w:t>
            </w:r>
          </w:p>
        </w:tc>
      </w:tr>
      <w:tr>
        <w:tc>
          <w:tcPr>
            <w:tcW w:type="dxa" w:w="2268"/>
          </w:tcPr>
          <w:p>
            <w:pPr>
              <w:spacing w:after="20" w:before="20" w:line="240" w:lineRule="auto"/>
            </w:pPr>
            <w:r/>
            <w:r>
              <w:rPr>
                <w:rFonts w:ascii="Calibri" w:hAnsi="Calibri"/>
                <w:b w:val="0"/>
                <w:sz w:val="16"/>
              </w:rPr>
              <w:t>order_cycle_days</w:t>
            </w:r>
          </w:p>
        </w:tc>
        <w:tc>
          <w:tcPr>
            <w:tcW w:type="dxa" w:w="3175"/>
          </w:tcPr>
          <w:p>
            <w:pPr>
              <w:spacing w:after="20" w:before="20" w:line="240" w:lineRule="auto"/>
            </w:pPr>
            <w:r/>
            <w:r>
              <w:rPr>
                <w:rFonts w:ascii="Calibri" w:hAnsi="Calibri"/>
                <w:b w:val="0"/>
                <w:sz w:val="16"/>
              </w:rPr>
              <w:t>Purchase cycle length</w:t>
            </w:r>
          </w:p>
        </w:tc>
        <w:tc>
          <w:tcPr>
            <w:tcW w:type="dxa" w:w="1020"/>
          </w:tcPr>
          <w:p>
            <w:pPr>
              <w:spacing w:after="20" w:before="20" w:line="240" w:lineRule="auto"/>
              <w:jc w:val="center"/>
            </w:pPr>
            <w:r/>
            <w:r>
              <w:rPr>
                <w:rFonts w:ascii="Calibri" w:hAnsi="Calibri"/>
                <w:b w:val="0"/>
                <w:sz w:val="16"/>
              </w:rPr>
              <w:t>30</w:t>
            </w:r>
          </w:p>
        </w:tc>
        <w:tc>
          <w:tcPr>
            <w:tcW w:type="dxa" w:w="794"/>
          </w:tcPr>
          <w:p>
            <w:pPr>
              <w:spacing w:after="20" w:before="20" w:line="240" w:lineRule="auto"/>
              <w:jc w:val="center"/>
            </w:pPr>
            <w:r/>
            <w:r>
              <w:rPr>
                <w:rFonts w:ascii="Calibri" w:hAnsi="Calibri"/>
                <w:b w:val="0"/>
                <w:sz w:val="16"/>
              </w:rPr>
              <w:t>Days</w:t>
            </w:r>
          </w:p>
        </w:tc>
        <w:tc>
          <w:tcPr>
            <w:tcW w:type="dxa" w:w="1361"/>
          </w:tcPr>
          <w:p>
            <w:pPr>
              <w:spacing w:after="20" w:before="20" w:line="240" w:lineRule="auto"/>
            </w:pPr>
            <w:r/>
            <w:r>
              <w:rPr>
                <w:rFonts w:ascii="Calibri" w:hAnsi="Calibri"/>
                <w:b w:val="0"/>
                <w:sz w:val="16"/>
              </w:rPr>
              <w:t>7 – 120</w:t>
            </w:r>
          </w:p>
        </w:tc>
        <w:tc>
          <w:tcPr>
            <w:tcW w:type="dxa" w:w="1134"/>
          </w:tcPr>
          <w:p>
            <w:pPr>
              <w:spacing w:after="20" w:before="20" w:line="240" w:lineRule="auto"/>
            </w:pPr>
            <w:r/>
            <w:r>
              <w:rPr>
                <w:rFonts w:ascii="Calibri" w:hAnsi="Calibri"/>
                <w:b w:val="0"/>
                <w:sz w:val="16"/>
              </w:rPr>
              <w:t>Procurement</w:t>
            </w:r>
          </w:p>
        </w:tc>
      </w:tr>
    </w:tbl>
    <w:p>
      <w:pPr>
        <w:spacing w:after="20"/>
      </w:pPr>
    </w:p>
    <w:p>
      <w:pPr>
        <w:pStyle w:val="Heading3"/>
      </w:pPr>
      <w:r>
        <w:t>Policy</w:t>
      </w:r>
    </w:p>
    <w:tbl>
      <w:tblPr>
        <w:tblStyle w:val="TableGrid"/>
        <w:tblW w:type="auto" w:w="0"/>
        <w:jc w:val="center"/>
        <w:tblLayout w:type="fixed"/>
        <w:tblLook w:firstColumn="1" w:firstRow="1" w:lastColumn="0" w:lastRow="0" w:noHBand="0" w:noVBand="1" w:val="04A0"/>
      </w:tblPr>
      <w:tblGrid>
        <w:gridCol w:w="1681"/>
        <w:gridCol w:w="1681"/>
        <w:gridCol w:w="1681"/>
        <w:gridCol w:w="1681"/>
        <w:gridCol w:w="1681"/>
        <w:gridCol w:w="1681"/>
      </w:tblGrid>
      <w:tr>
        <w:trPr>
          <w:tblHeader/>
        </w:trPr>
        <w:tc>
          <w:tcPr>
            <w:tcW w:type="dxa" w:w="2268"/>
            <w:shd w:val="clear" w:fill="1F3B57"/>
          </w:tcPr>
          <w:p>
            <w:pPr>
              <w:spacing w:after="20" w:before="20" w:line="240" w:lineRule="auto"/>
            </w:pPr>
            <w:r/>
            <w:r>
              <w:rPr>
                <w:rFonts w:ascii="Calibri" w:hAnsi="Calibri"/>
                <w:b/>
                <w:color w:val="FFFFFF"/>
                <w:sz w:val="16"/>
              </w:rPr>
              <w:t>Key</w:t>
            </w:r>
          </w:p>
        </w:tc>
        <w:tc>
          <w:tcPr>
            <w:tcW w:type="dxa" w:w="3175"/>
            <w:shd w:val="clear" w:fill="1F3B57"/>
          </w:tcPr>
          <w:p>
            <w:pPr>
              <w:spacing w:after="20" w:before="20" w:line="240" w:lineRule="auto"/>
            </w:pPr>
            <w:r/>
            <w:r>
              <w:rPr>
                <w:rFonts w:ascii="Calibri" w:hAnsi="Calibri"/>
                <w:b/>
                <w:color w:val="FFFFFF"/>
                <w:sz w:val="16"/>
              </w:rPr>
              <w:t>Parameter</w:t>
            </w:r>
          </w:p>
        </w:tc>
        <w:tc>
          <w:tcPr>
            <w:tcW w:type="dxa" w:w="1020"/>
            <w:shd w:val="clear" w:fill="1F3B57"/>
          </w:tcPr>
          <w:p>
            <w:pPr>
              <w:spacing w:after="20" w:before="20" w:line="240" w:lineRule="auto"/>
            </w:pPr>
            <w:r/>
            <w:r>
              <w:rPr>
                <w:rFonts w:ascii="Calibri" w:hAnsi="Calibri"/>
                <w:b/>
                <w:color w:val="FFFFFF"/>
                <w:sz w:val="16"/>
              </w:rPr>
              <w:t>Value</w:t>
            </w:r>
          </w:p>
        </w:tc>
        <w:tc>
          <w:tcPr>
            <w:tcW w:type="dxa" w:w="794"/>
            <w:shd w:val="clear" w:fill="1F3B57"/>
          </w:tcPr>
          <w:p>
            <w:pPr>
              <w:spacing w:after="20" w:before="20" w:line="240" w:lineRule="auto"/>
            </w:pPr>
            <w:r/>
            <w:r>
              <w:rPr>
                <w:rFonts w:ascii="Calibri" w:hAnsi="Calibri"/>
                <w:b/>
                <w:color w:val="FFFFFF"/>
                <w:sz w:val="16"/>
              </w:rPr>
              <w:t>Unit</w:t>
            </w:r>
          </w:p>
        </w:tc>
        <w:tc>
          <w:tcPr>
            <w:tcW w:type="dxa" w:w="1361"/>
            <w:shd w:val="clear" w:fill="1F3B57"/>
          </w:tcPr>
          <w:p>
            <w:pPr>
              <w:spacing w:after="20" w:before="20" w:line="240" w:lineRule="auto"/>
            </w:pPr>
            <w:r/>
            <w:r>
              <w:rPr>
                <w:rFonts w:ascii="Calibri" w:hAnsi="Calibri"/>
                <w:b/>
                <w:color w:val="FFFFFF"/>
                <w:sz w:val="16"/>
              </w:rPr>
              <w:t>Working range</w:t>
            </w:r>
          </w:p>
        </w:tc>
        <w:tc>
          <w:tcPr>
            <w:tcW w:type="dxa" w:w="1134"/>
            <w:shd w:val="clear" w:fill="1F3B57"/>
          </w:tcPr>
          <w:p>
            <w:pPr>
              <w:spacing w:after="20" w:before="20" w:line="240" w:lineRule="auto"/>
            </w:pPr>
            <w:r/>
            <w:r>
              <w:rPr>
                <w:rFonts w:ascii="Calibri" w:hAnsi="Calibri"/>
                <w:b/>
                <w:color w:val="FFFFFF"/>
                <w:sz w:val="16"/>
              </w:rPr>
              <w:t>Owner</w:t>
            </w:r>
          </w:p>
        </w:tc>
      </w:tr>
      <w:tr>
        <w:tc>
          <w:tcPr>
            <w:tcW w:type="dxa" w:w="2268"/>
          </w:tcPr>
          <w:p>
            <w:pPr>
              <w:spacing w:after="20" w:before="20" w:line="240" w:lineRule="auto"/>
            </w:pPr>
            <w:r/>
            <w:r>
              <w:rPr>
                <w:rFonts w:ascii="Calibri" w:hAnsi="Calibri"/>
                <w:b w:val="0"/>
                <w:sz w:val="16"/>
              </w:rPr>
              <w:t>target_cover_days</w:t>
            </w:r>
          </w:p>
        </w:tc>
        <w:tc>
          <w:tcPr>
            <w:tcW w:type="dxa" w:w="3175"/>
          </w:tcPr>
          <w:p>
            <w:pPr>
              <w:spacing w:after="20" w:before="20" w:line="240" w:lineRule="auto"/>
            </w:pPr>
            <w:r/>
            <w:r>
              <w:rPr>
                <w:rFonts w:ascii="Calibri" w:hAnsi="Calibri"/>
                <w:b w:val="0"/>
                <w:sz w:val="16"/>
              </w:rPr>
              <w:t>Target stock cover</w:t>
            </w:r>
          </w:p>
        </w:tc>
        <w:tc>
          <w:tcPr>
            <w:tcW w:type="dxa" w:w="1020"/>
          </w:tcPr>
          <w:p>
            <w:pPr>
              <w:spacing w:after="20" w:before="20" w:line="240" w:lineRule="auto"/>
              <w:jc w:val="center"/>
            </w:pPr>
            <w:r/>
            <w:r>
              <w:rPr>
                <w:rFonts w:ascii="Calibri" w:hAnsi="Calibri"/>
                <w:b w:val="0"/>
                <w:sz w:val="16"/>
              </w:rPr>
              <w:t>90</w:t>
            </w:r>
          </w:p>
        </w:tc>
        <w:tc>
          <w:tcPr>
            <w:tcW w:type="dxa" w:w="794"/>
          </w:tcPr>
          <w:p>
            <w:pPr>
              <w:spacing w:after="20" w:before="20" w:line="240" w:lineRule="auto"/>
              <w:jc w:val="center"/>
            </w:pPr>
            <w:r/>
            <w:r>
              <w:rPr>
                <w:rFonts w:ascii="Calibri" w:hAnsi="Calibri"/>
                <w:b w:val="0"/>
                <w:sz w:val="16"/>
              </w:rPr>
              <w:t>Days</w:t>
            </w:r>
          </w:p>
        </w:tc>
        <w:tc>
          <w:tcPr>
            <w:tcW w:type="dxa" w:w="1361"/>
          </w:tcPr>
          <w:p>
            <w:pPr>
              <w:spacing w:after="20" w:before="20" w:line="240" w:lineRule="auto"/>
            </w:pPr>
            <w:r/>
            <w:r>
              <w:rPr>
                <w:rFonts w:ascii="Calibri" w:hAnsi="Calibri"/>
                <w:b w:val="0"/>
                <w:sz w:val="16"/>
              </w:rPr>
              <w:t>15 – 240</w:t>
            </w:r>
          </w:p>
        </w:tc>
        <w:tc>
          <w:tcPr>
            <w:tcW w:type="dxa" w:w="1134"/>
          </w:tcPr>
          <w:p>
            <w:pPr>
              <w:spacing w:after="20" w:before="20" w:line="240" w:lineRule="auto"/>
            </w:pPr>
            <w:r/>
            <w:r>
              <w:rPr>
                <w:rFonts w:ascii="Calibri" w:hAnsi="Calibri"/>
                <w:b w:val="0"/>
                <w:sz w:val="16"/>
              </w:rPr>
              <w:t>Head of Procurement</w:t>
            </w:r>
          </w:p>
        </w:tc>
      </w:tr>
      <w:tr>
        <w:tc>
          <w:tcPr>
            <w:tcW w:type="dxa" w:w="2268"/>
            <w:shd w:val="clear" w:fill="F7F9FB"/>
          </w:tcPr>
          <w:p>
            <w:pPr>
              <w:spacing w:after="20" w:before="20" w:line="240" w:lineRule="auto"/>
            </w:pPr>
            <w:r/>
            <w:r>
              <w:rPr>
                <w:rFonts w:ascii="Calibri" w:hAnsi="Calibri"/>
                <w:b w:val="0"/>
                <w:sz w:val="16"/>
              </w:rPr>
              <w:t>safety_stock_days</w:t>
            </w:r>
          </w:p>
        </w:tc>
        <w:tc>
          <w:tcPr>
            <w:tcW w:type="dxa" w:w="3175"/>
            <w:shd w:val="clear" w:fill="F7F9FB"/>
          </w:tcPr>
          <w:p>
            <w:pPr>
              <w:spacing w:after="20" w:before="20" w:line="240" w:lineRule="auto"/>
            </w:pPr>
            <w:r/>
            <w:r>
              <w:rPr>
                <w:rFonts w:ascii="Calibri" w:hAnsi="Calibri"/>
                <w:b w:val="0"/>
                <w:sz w:val="16"/>
              </w:rPr>
              <w:t>Safety stock</w:t>
            </w:r>
          </w:p>
        </w:tc>
        <w:tc>
          <w:tcPr>
            <w:tcW w:type="dxa" w:w="1020"/>
            <w:shd w:val="clear" w:fill="F7F9FB"/>
          </w:tcPr>
          <w:p>
            <w:pPr>
              <w:spacing w:after="20" w:before="20" w:line="240" w:lineRule="auto"/>
              <w:jc w:val="center"/>
            </w:pPr>
            <w:r/>
            <w:r>
              <w:rPr>
                <w:rFonts w:ascii="Calibri" w:hAnsi="Calibri"/>
                <w:b w:val="0"/>
                <w:sz w:val="16"/>
              </w:rPr>
              <w:t>15</w:t>
            </w:r>
          </w:p>
        </w:tc>
        <w:tc>
          <w:tcPr>
            <w:tcW w:type="dxa" w:w="794"/>
            <w:shd w:val="clear" w:fill="F7F9FB"/>
          </w:tcPr>
          <w:p>
            <w:pPr>
              <w:spacing w:after="20" w:before="20" w:line="240" w:lineRule="auto"/>
              <w:jc w:val="center"/>
            </w:pPr>
            <w:r/>
            <w:r>
              <w:rPr>
                <w:rFonts w:ascii="Calibri" w:hAnsi="Calibri"/>
                <w:b w:val="0"/>
                <w:sz w:val="16"/>
              </w:rPr>
              <w:t>Days</w:t>
            </w:r>
          </w:p>
        </w:tc>
        <w:tc>
          <w:tcPr>
            <w:tcW w:type="dxa" w:w="1361"/>
            <w:shd w:val="clear" w:fill="F7F9FB"/>
          </w:tcPr>
          <w:p>
            <w:pPr>
              <w:spacing w:after="20" w:before="20" w:line="240" w:lineRule="auto"/>
            </w:pPr>
            <w:r/>
            <w:r>
              <w:rPr>
                <w:rFonts w:ascii="Calibri" w:hAnsi="Calibri"/>
                <w:b w:val="0"/>
                <w:sz w:val="16"/>
              </w:rPr>
              <w:t>0 – 90</w:t>
            </w:r>
          </w:p>
        </w:tc>
        <w:tc>
          <w:tcPr>
            <w:tcW w:type="dxa" w:w="1134"/>
            <w:shd w:val="clear" w:fill="F7F9FB"/>
          </w:tcPr>
          <w:p>
            <w:pPr>
              <w:spacing w:after="20" w:before="20" w:line="240" w:lineRule="auto"/>
            </w:pPr>
            <w:r/>
            <w:r>
              <w:rPr>
                <w:rFonts w:ascii="Calibri" w:hAnsi="Calibri"/>
                <w:b w:val="0"/>
                <w:sz w:val="16"/>
              </w:rPr>
              <w:t>Head of Procurement</w:t>
            </w:r>
          </w:p>
        </w:tc>
      </w:tr>
      <w:tr>
        <w:tc>
          <w:tcPr>
            <w:tcW w:type="dxa" w:w="2268"/>
          </w:tcPr>
          <w:p>
            <w:pPr>
              <w:spacing w:after="20" w:before="20" w:line="240" w:lineRule="auto"/>
            </w:pPr>
            <w:r/>
            <w:r>
              <w:rPr>
                <w:rFonts w:ascii="Calibri" w:hAnsi="Calibri"/>
                <w:b w:val="0"/>
                <w:sz w:val="16"/>
              </w:rPr>
              <w:t>max_cover_days</w:t>
            </w:r>
          </w:p>
        </w:tc>
        <w:tc>
          <w:tcPr>
            <w:tcW w:type="dxa" w:w="3175"/>
          </w:tcPr>
          <w:p>
            <w:pPr>
              <w:spacing w:after="20" w:before="20" w:line="240" w:lineRule="auto"/>
            </w:pPr>
            <w:r/>
            <w:r>
              <w:rPr>
                <w:rFonts w:ascii="Calibri" w:hAnsi="Calibri"/>
                <w:b w:val="0"/>
                <w:sz w:val="16"/>
              </w:rPr>
              <w:t>Maximum acceptable cover</w:t>
            </w:r>
          </w:p>
        </w:tc>
        <w:tc>
          <w:tcPr>
            <w:tcW w:type="dxa" w:w="1020"/>
          </w:tcPr>
          <w:p>
            <w:pPr>
              <w:spacing w:after="20" w:before="20" w:line="240" w:lineRule="auto"/>
              <w:jc w:val="center"/>
            </w:pPr>
            <w:r/>
            <w:r>
              <w:rPr>
                <w:rFonts w:ascii="Calibri" w:hAnsi="Calibri"/>
                <w:b w:val="0"/>
                <w:sz w:val="16"/>
              </w:rPr>
              <w:t>180</w:t>
            </w:r>
          </w:p>
        </w:tc>
        <w:tc>
          <w:tcPr>
            <w:tcW w:type="dxa" w:w="794"/>
          </w:tcPr>
          <w:p>
            <w:pPr>
              <w:spacing w:after="20" w:before="20" w:line="240" w:lineRule="auto"/>
              <w:jc w:val="center"/>
            </w:pPr>
            <w:r/>
            <w:r>
              <w:rPr>
                <w:rFonts w:ascii="Calibri" w:hAnsi="Calibri"/>
                <w:b w:val="0"/>
                <w:sz w:val="16"/>
              </w:rPr>
              <w:t>Days</w:t>
            </w:r>
          </w:p>
        </w:tc>
        <w:tc>
          <w:tcPr>
            <w:tcW w:type="dxa" w:w="1361"/>
          </w:tcPr>
          <w:p>
            <w:pPr>
              <w:spacing w:after="20" w:before="20" w:line="240" w:lineRule="auto"/>
            </w:pPr>
            <w:r/>
            <w:r>
              <w:rPr>
                <w:rFonts w:ascii="Calibri" w:hAnsi="Calibri"/>
                <w:b w:val="0"/>
                <w:sz w:val="16"/>
              </w:rPr>
              <w:t>60 – 365</w:t>
            </w:r>
          </w:p>
        </w:tc>
        <w:tc>
          <w:tcPr>
            <w:tcW w:type="dxa" w:w="1134"/>
          </w:tcPr>
          <w:p>
            <w:pPr>
              <w:spacing w:after="20" w:before="20" w:line="240" w:lineRule="auto"/>
            </w:pPr>
            <w:r/>
            <w:r>
              <w:rPr>
                <w:rFonts w:ascii="Calibri" w:hAnsi="Calibri"/>
                <w:b w:val="0"/>
                <w:sz w:val="16"/>
              </w:rPr>
              <w:t>Supply chain</w:t>
            </w:r>
          </w:p>
        </w:tc>
      </w:tr>
      <w:tr>
        <w:tc>
          <w:tcPr>
            <w:tcW w:type="dxa" w:w="2268"/>
            <w:shd w:val="clear" w:fill="F7F9FB"/>
          </w:tcPr>
          <w:p>
            <w:pPr>
              <w:spacing w:after="20" w:before="20" w:line="240" w:lineRule="auto"/>
            </w:pPr>
            <w:r/>
            <w:r>
              <w:rPr>
                <w:rFonts w:ascii="Calibri" w:hAnsi="Calibri"/>
                <w:b w:val="0"/>
                <w:sz w:val="16"/>
              </w:rPr>
              <w:t>expiry_alert_days</w:t>
            </w:r>
          </w:p>
        </w:tc>
        <w:tc>
          <w:tcPr>
            <w:tcW w:type="dxa" w:w="3175"/>
            <w:shd w:val="clear" w:fill="F7F9FB"/>
          </w:tcPr>
          <w:p>
            <w:pPr>
              <w:spacing w:after="20" w:before="20" w:line="240" w:lineRule="auto"/>
            </w:pPr>
            <w:r/>
            <w:r>
              <w:rPr>
                <w:rFonts w:ascii="Calibri" w:hAnsi="Calibri"/>
                <w:b w:val="0"/>
                <w:sz w:val="16"/>
              </w:rPr>
              <w:t>Expiry alert window</w:t>
            </w:r>
          </w:p>
        </w:tc>
        <w:tc>
          <w:tcPr>
            <w:tcW w:type="dxa" w:w="1020"/>
            <w:shd w:val="clear" w:fill="F7F9FB"/>
          </w:tcPr>
          <w:p>
            <w:pPr>
              <w:spacing w:after="20" w:before="20" w:line="240" w:lineRule="auto"/>
              <w:jc w:val="center"/>
            </w:pPr>
            <w:r/>
            <w:r>
              <w:rPr>
                <w:rFonts w:ascii="Calibri" w:hAnsi="Calibri"/>
                <w:b w:val="0"/>
                <w:sz w:val="16"/>
              </w:rPr>
              <w:t>60</w:t>
            </w:r>
          </w:p>
        </w:tc>
        <w:tc>
          <w:tcPr>
            <w:tcW w:type="dxa" w:w="794"/>
            <w:shd w:val="clear" w:fill="F7F9FB"/>
          </w:tcPr>
          <w:p>
            <w:pPr>
              <w:spacing w:after="20" w:before="20" w:line="240" w:lineRule="auto"/>
              <w:jc w:val="center"/>
            </w:pPr>
            <w:r/>
            <w:r>
              <w:rPr>
                <w:rFonts w:ascii="Calibri" w:hAnsi="Calibri"/>
                <w:b w:val="0"/>
                <w:sz w:val="16"/>
              </w:rPr>
              <w:t>Days</w:t>
            </w:r>
          </w:p>
        </w:tc>
        <w:tc>
          <w:tcPr>
            <w:tcW w:type="dxa" w:w="1361"/>
            <w:shd w:val="clear" w:fill="F7F9FB"/>
          </w:tcPr>
          <w:p>
            <w:pPr>
              <w:spacing w:after="20" w:before="20" w:line="240" w:lineRule="auto"/>
            </w:pPr>
            <w:r/>
            <w:r>
              <w:rPr>
                <w:rFonts w:ascii="Calibri" w:hAnsi="Calibri"/>
                <w:b w:val="0"/>
                <w:sz w:val="16"/>
              </w:rPr>
              <w:t>15 – 180</w:t>
            </w:r>
          </w:p>
        </w:tc>
        <w:tc>
          <w:tcPr>
            <w:tcW w:type="dxa" w:w="1134"/>
            <w:shd w:val="clear" w:fill="F7F9FB"/>
          </w:tcPr>
          <w:p>
            <w:pPr>
              <w:spacing w:after="20" w:before="20" w:line="240" w:lineRule="auto"/>
            </w:pPr>
            <w:r/>
            <w:r>
              <w:rPr>
                <w:rFonts w:ascii="Calibri" w:hAnsi="Calibri"/>
                <w:b w:val="0"/>
                <w:sz w:val="16"/>
              </w:rPr>
              <w:t>Stores</w:t>
            </w:r>
          </w:p>
        </w:tc>
      </w:tr>
      <w:tr>
        <w:tc>
          <w:tcPr>
            <w:tcW w:type="dxa" w:w="2268"/>
          </w:tcPr>
          <w:p>
            <w:pPr>
              <w:spacing w:after="20" w:before="20" w:line="240" w:lineRule="auto"/>
            </w:pPr>
            <w:r/>
            <w:r>
              <w:rPr>
                <w:rFonts w:ascii="Calibri" w:hAnsi="Calibri"/>
                <w:b w:val="0"/>
                <w:sz w:val="16"/>
              </w:rPr>
              <w:t>wastage_rate_pct</w:t>
            </w:r>
          </w:p>
        </w:tc>
        <w:tc>
          <w:tcPr>
            <w:tcW w:type="dxa" w:w="3175"/>
          </w:tcPr>
          <w:p>
            <w:pPr>
              <w:spacing w:after="20" w:before="20" w:line="240" w:lineRule="auto"/>
            </w:pPr>
            <w:r/>
            <w:r>
              <w:rPr>
                <w:rFonts w:ascii="Calibri" w:hAnsi="Calibri"/>
                <w:b w:val="0"/>
                <w:sz w:val="16"/>
              </w:rPr>
              <w:t>Wastage / write-off rate</w:t>
            </w:r>
          </w:p>
        </w:tc>
        <w:tc>
          <w:tcPr>
            <w:tcW w:type="dxa" w:w="1020"/>
          </w:tcPr>
          <w:p>
            <w:pPr>
              <w:spacing w:after="20" w:before="20" w:line="240" w:lineRule="auto"/>
              <w:jc w:val="center"/>
            </w:pPr>
            <w:r/>
            <w:r>
              <w:rPr>
                <w:rFonts w:ascii="Calibri" w:hAnsi="Calibri"/>
                <w:b w:val="0"/>
                <w:sz w:val="16"/>
              </w:rPr>
              <w:t>1.50%</w:t>
            </w:r>
          </w:p>
        </w:tc>
        <w:tc>
          <w:tcPr>
            <w:tcW w:type="dxa" w:w="794"/>
          </w:tcPr>
          <w:p>
            <w:pPr>
              <w:spacing w:after="20" w:before="20" w:line="240" w:lineRule="auto"/>
              <w:jc w:val="center"/>
            </w:pPr>
            <w:r/>
            <w:r>
              <w:rPr>
                <w:rFonts w:ascii="Calibri" w:hAnsi="Calibri"/>
                <w:b w:val="0"/>
                <w:sz w:val="16"/>
              </w:rPr>
              <w:t>%</w:t>
            </w:r>
          </w:p>
        </w:tc>
        <w:tc>
          <w:tcPr>
            <w:tcW w:type="dxa" w:w="1361"/>
          </w:tcPr>
          <w:p>
            <w:pPr>
              <w:spacing w:after="20" w:before="20" w:line="240" w:lineRule="auto"/>
            </w:pPr>
            <w:r/>
            <w:r>
              <w:rPr>
                <w:rFonts w:ascii="Calibri" w:hAnsi="Calibri"/>
                <w:b w:val="0"/>
                <w:sz w:val="16"/>
              </w:rPr>
              <w:t>0.0 – 0.1</w:t>
            </w:r>
          </w:p>
        </w:tc>
        <w:tc>
          <w:tcPr>
            <w:tcW w:type="dxa" w:w="1134"/>
          </w:tcPr>
          <w:p>
            <w:pPr>
              <w:spacing w:after="20" w:before="20" w:line="240" w:lineRule="auto"/>
            </w:pPr>
            <w:r/>
            <w:r>
              <w:rPr>
                <w:rFonts w:ascii="Calibri" w:hAnsi="Calibri"/>
                <w:b w:val="0"/>
                <w:sz w:val="16"/>
              </w:rPr>
              <w:t>Stores</w:t>
            </w:r>
          </w:p>
        </w:tc>
      </w:tr>
      <w:tr>
        <w:tc>
          <w:tcPr>
            <w:tcW w:type="dxa" w:w="2268"/>
            <w:shd w:val="clear" w:fill="F7F9FB"/>
          </w:tcPr>
          <w:p>
            <w:pPr>
              <w:spacing w:after="20" w:before="20" w:line="240" w:lineRule="auto"/>
            </w:pPr>
            <w:r/>
            <w:r>
              <w:rPr>
                <w:rFonts w:ascii="Calibri" w:hAnsi="Calibri"/>
                <w:b w:val="0"/>
                <w:sz w:val="16"/>
              </w:rPr>
              <w:t>redistribution_share_pct</w:t>
            </w:r>
          </w:p>
        </w:tc>
        <w:tc>
          <w:tcPr>
            <w:tcW w:type="dxa" w:w="3175"/>
            <w:shd w:val="clear" w:fill="F7F9FB"/>
          </w:tcPr>
          <w:p>
            <w:pPr>
              <w:spacing w:after="20" w:before="20" w:line="240" w:lineRule="auto"/>
            </w:pPr>
            <w:r/>
            <w:r>
              <w:rPr>
                <w:rFonts w:ascii="Calibri" w:hAnsi="Calibri"/>
                <w:b w:val="0"/>
                <w:sz w:val="16"/>
              </w:rPr>
              <w:t>Overstock redistributed</w:t>
            </w:r>
          </w:p>
        </w:tc>
        <w:tc>
          <w:tcPr>
            <w:tcW w:type="dxa" w:w="1020"/>
            <w:shd w:val="clear" w:fill="F7F9FB"/>
          </w:tcPr>
          <w:p>
            <w:pPr>
              <w:spacing w:after="20" w:before="20" w:line="240" w:lineRule="auto"/>
              <w:jc w:val="center"/>
            </w:pPr>
            <w:r/>
            <w:r>
              <w:rPr>
                <w:rFonts w:ascii="Calibri" w:hAnsi="Calibri"/>
                <w:b w:val="0"/>
                <w:sz w:val="16"/>
              </w:rPr>
              <w:t>0.00%</w:t>
            </w:r>
          </w:p>
        </w:tc>
        <w:tc>
          <w:tcPr>
            <w:tcW w:type="dxa" w:w="794"/>
            <w:shd w:val="clear" w:fill="F7F9FB"/>
          </w:tcPr>
          <w:p>
            <w:pPr>
              <w:spacing w:after="20" w:before="20" w:line="240" w:lineRule="auto"/>
              <w:jc w:val="center"/>
            </w:pPr>
            <w:r/>
            <w:r>
              <w:rPr>
                <w:rFonts w:ascii="Calibri" w:hAnsi="Calibri"/>
                <w:b w:val="0"/>
                <w:sz w:val="16"/>
              </w:rPr>
              <w:t>%</w:t>
            </w:r>
          </w:p>
        </w:tc>
        <w:tc>
          <w:tcPr>
            <w:tcW w:type="dxa" w:w="1361"/>
            <w:shd w:val="clear" w:fill="F7F9FB"/>
          </w:tcPr>
          <w:p>
            <w:pPr>
              <w:spacing w:after="20" w:before="20" w:line="240" w:lineRule="auto"/>
            </w:pPr>
            <w:r/>
            <w:r>
              <w:rPr>
                <w:rFonts w:ascii="Calibri" w:hAnsi="Calibri"/>
                <w:b w:val="0"/>
                <w:sz w:val="16"/>
              </w:rPr>
              <w:t>0.0 – 1.0</w:t>
            </w:r>
          </w:p>
        </w:tc>
        <w:tc>
          <w:tcPr>
            <w:tcW w:type="dxa" w:w="1134"/>
            <w:shd w:val="clear" w:fill="F7F9FB"/>
          </w:tcPr>
          <w:p>
            <w:pPr>
              <w:spacing w:after="20" w:before="20" w:line="240" w:lineRule="auto"/>
            </w:pPr>
            <w:r/>
            <w:r>
              <w:rPr>
                <w:rFonts w:ascii="Calibri" w:hAnsi="Calibri"/>
                <w:b w:val="0"/>
                <w:sz w:val="16"/>
              </w:rPr>
              <w:t>Supply chain</w:t>
            </w:r>
          </w:p>
        </w:tc>
      </w:tr>
      <w:tr>
        <w:tc>
          <w:tcPr>
            <w:tcW w:type="dxa" w:w="2268"/>
          </w:tcPr>
          <w:p>
            <w:pPr>
              <w:spacing w:after="20" w:before="20" w:line="240" w:lineRule="auto"/>
            </w:pPr>
            <w:r/>
            <w:r>
              <w:rPr>
                <w:rFonts w:ascii="Calibri" w:hAnsi="Calibri"/>
                <w:b w:val="0"/>
                <w:sz w:val="16"/>
              </w:rPr>
              <w:t>excess_stock_release_pct</w:t>
            </w:r>
          </w:p>
        </w:tc>
        <w:tc>
          <w:tcPr>
            <w:tcW w:type="dxa" w:w="3175"/>
          </w:tcPr>
          <w:p>
            <w:pPr>
              <w:spacing w:after="20" w:before="20" w:line="240" w:lineRule="auto"/>
            </w:pPr>
            <w:r/>
            <w:r>
              <w:rPr>
                <w:rFonts w:ascii="Calibri" w:hAnsi="Calibri"/>
                <w:b w:val="0"/>
                <w:sz w:val="16"/>
              </w:rPr>
              <w:t>Excess stock used instead of buying</w:t>
            </w:r>
          </w:p>
        </w:tc>
        <w:tc>
          <w:tcPr>
            <w:tcW w:type="dxa" w:w="1020"/>
          </w:tcPr>
          <w:p>
            <w:pPr>
              <w:spacing w:after="20" w:before="20" w:line="240" w:lineRule="auto"/>
              <w:jc w:val="center"/>
            </w:pPr>
            <w:r/>
            <w:r>
              <w:rPr>
                <w:rFonts w:ascii="Calibri" w:hAnsi="Calibri"/>
                <w:b w:val="0"/>
                <w:sz w:val="16"/>
              </w:rPr>
              <w:t>80.00%</w:t>
            </w:r>
          </w:p>
        </w:tc>
        <w:tc>
          <w:tcPr>
            <w:tcW w:type="dxa" w:w="794"/>
          </w:tcPr>
          <w:p>
            <w:pPr>
              <w:spacing w:after="20" w:before="20" w:line="240" w:lineRule="auto"/>
              <w:jc w:val="center"/>
            </w:pPr>
            <w:r/>
            <w:r>
              <w:rPr>
                <w:rFonts w:ascii="Calibri" w:hAnsi="Calibri"/>
                <w:b w:val="0"/>
                <w:sz w:val="16"/>
              </w:rPr>
              <w:t>%</w:t>
            </w:r>
          </w:p>
        </w:tc>
        <w:tc>
          <w:tcPr>
            <w:tcW w:type="dxa" w:w="1361"/>
          </w:tcPr>
          <w:p>
            <w:pPr>
              <w:spacing w:after="20" w:before="20" w:line="240" w:lineRule="auto"/>
            </w:pPr>
            <w:r/>
            <w:r>
              <w:rPr>
                <w:rFonts w:ascii="Calibri" w:hAnsi="Calibri"/>
                <w:b w:val="0"/>
                <w:sz w:val="16"/>
              </w:rPr>
              <w:t>0.0 – 1.0</w:t>
            </w:r>
          </w:p>
        </w:tc>
        <w:tc>
          <w:tcPr>
            <w:tcW w:type="dxa" w:w="1134"/>
          </w:tcPr>
          <w:p>
            <w:pPr>
              <w:spacing w:after="20" w:before="20" w:line="240" w:lineRule="auto"/>
            </w:pPr>
            <w:r/>
            <w:r>
              <w:rPr>
                <w:rFonts w:ascii="Calibri" w:hAnsi="Calibri"/>
                <w:b w:val="0"/>
                <w:sz w:val="16"/>
              </w:rPr>
              <w:t>Supply chain</w:t>
            </w:r>
          </w:p>
        </w:tc>
      </w:tr>
    </w:tbl>
    <w:p>
      <w:pPr>
        <w:spacing w:after="20"/>
      </w:pPr>
    </w:p>
    <w:p>
      <w:pPr>
        <w:pStyle w:val="Heading3"/>
      </w:pPr>
      <w:r>
        <w:t>Budget</w:t>
      </w:r>
    </w:p>
    <w:tbl>
      <w:tblPr>
        <w:tblStyle w:val="TableGrid"/>
        <w:tblW w:type="auto" w:w="0"/>
        <w:jc w:val="center"/>
        <w:tblLayout w:type="fixed"/>
        <w:tblLook w:firstColumn="1" w:firstRow="1" w:lastColumn="0" w:lastRow="0" w:noHBand="0" w:noVBand="1" w:val="04A0"/>
      </w:tblPr>
      <w:tblGrid>
        <w:gridCol w:w="1681"/>
        <w:gridCol w:w="1681"/>
        <w:gridCol w:w="1681"/>
        <w:gridCol w:w="1681"/>
        <w:gridCol w:w="1681"/>
        <w:gridCol w:w="1681"/>
      </w:tblGrid>
      <w:tr>
        <w:trPr>
          <w:tblHeader/>
        </w:trPr>
        <w:tc>
          <w:tcPr>
            <w:tcW w:type="dxa" w:w="2268"/>
            <w:shd w:val="clear" w:fill="1F3B57"/>
          </w:tcPr>
          <w:p>
            <w:pPr>
              <w:spacing w:after="20" w:before="20" w:line="240" w:lineRule="auto"/>
            </w:pPr>
            <w:r/>
            <w:r>
              <w:rPr>
                <w:rFonts w:ascii="Calibri" w:hAnsi="Calibri"/>
                <w:b/>
                <w:color w:val="FFFFFF"/>
                <w:sz w:val="16"/>
              </w:rPr>
              <w:t>Key</w:t>
            </w:r>
          </w:p>
        </w:tc>
        <w:tc>
          <w:tcPr>
            <w:tcW w:type="dxa" w:w="3175"/>
            <w:shd w:val="clear" w:fill="1F3B57"/>
          </w:tcPr>
          <w:p>
            <w:pPr>
              <w:spacing w:after="20" w:before="20" w:line="240" w:lineRule="auto"/>
            </w:pPr>
            <w:r/>
            <w:r>
              <w:rPr>
                <w:rFonts w:ascii="Calibri" w:hAnsi="Calibri"/>
                <w:b/>
                <w:color w:val="FFFFFF"/>
                <w:sz w:val="16"/>
              </w:rPr>
              <w:t>Parameter</w:t>
            </w:r>
          </w:p>
        </w:tc>
        <w:tc>
          <w:tcPr>
            <w:tcW w:type="dxa" w:w="1020"/>
            <w:shd w:val="clear" w:fill="1F3B57"/>
          </w:tcPr>
          <w:p>
            <w:pPr>
              <w:spacing w:after="20" w:before="20" w:line="240" w:lineRule="auto"/>
            </w:pPr>
            <w:r/>
            <w:r>
              <w:rPr>
                <w:rFonts w:ascii="Calibri" w:hAnsi="Calibri"/>
                <w:b/>
                <w:color w:val="FFFFFF"/>
                <w:sz w:val="16"/>
              </w:rPr>
              <w:t>Value</w:t>
            </w:r>
          </w:p>
        </w:tc>
        <w:tc>
          <w:tcPr>
            <w:tcW w:type="dxa" w:w="794"/>
            <w:shd w:val="clear" w:fill="1F3B57"/>
          </w:tcPr>
          <w:p>
            <w:pPr>
              <w:spacing w:after="20" w:before="20" w:line="240" w:lineRule="auto"/>
            </w:pPr>
            <w:r/>
            <w:r>
              <w:rPr>
                <w:rFonts w:ascii="Calibri" w:hAnsi="Calibri"/>
                <w:b/>
                <w:color w:val="FFFFFF"/>
                <w:sz w:val="16"/>
              </w:rPr>
              <w:t>Unit</w:t>
            </w:r>
          </w:p>
        </w:tc>
        <w:tc>
          <w:tcPr>
            <w:tcW w:type="dxa" w:w="1361"/>
            <w:shd w:val="clear" w:fill="1F3B57"/>
          </w:tcPr>
          <w:p>
            <w:pPr>
              <w:spacing w:after="20" w:before="20" w:line="240" w:lineRule="auto"/>
            </w:pPr>
            <w:r/>
            <w:r>
              <w:rPr>
                <w:rFonts w:ascii="Calibri" w:hAnsi="Calibri"/>
                <w:b/>
                <w:color w:val="FFFFFF"/>
                <w:sz w:val="16"/>
              </w:rPr>
              <w:t>Working range</w:t>
            </w:r>
          </w:p>
        </w:tc>
        <w:tc>
          <w:tcPr>
            <w:tcW w:type="dxa" w:w="1134"/>
            <w:shd w:val="clear" w:fill="1F3B57"/>
          </w:tcPr>
          <w:p>
            <w:pPr>
              <w:spacing w:after="20" w:before="20" w:line="240" w:lineRule="auto"/>
            </w:pPr>
            <w:r/>
            <w:r>
              <w:rPr>
                <w:rFonts w:ascii="Calibri" w:hAnsi="Calibri"/>
                <w:b/>
                <w:color w:val="FFFFFF"/>
                <w:sz w:val="16"/>
              </w:rPr>
              <w:t>Owner</w:t>
            </w:r>
          </w:p>
        </w:tc>
      </w:tr>
      <w:tr>
        <w:tc>
          <w:tcPr>
            <w:tcW w:type="dxa" w:w="2268"/>
          </w:tcPr>
          <w:p>
            <w:pPr>
              <w:spacing w:after="20" w:before="20" w:line="240" w:lineRule="auto"/>
            </w:pPr>
            <w:r/>
            <w:r>
              <w:rPr>
                <w:rFonts w:ascii="Calibri" w:hAnsi="Calibri"/>
                <w:b w:val="0"/>
                <w:sz w:val="16"/>
              </w:rPr>
              <w:t>funding_cut_pct</w:t>
            </w:r>
          </w:p>
        </w:tc>
        <w:tc>
          <w:tcPr>
            <w:tcW w:type="dxa" w:w="3175"/>
          </w:tcPr>
          <w:p>
            <w:pPr>
              <w:spacing w:after="20" w:before="20" w:line="240" w:lineRule="auto"/>
            </w:pPr>
            <w:r/>
            <w:r>
              <w:rPr>
                <w:rFonts w:ascii="Calibri" w:hAnsi="Calibri"/>
                <w:b w:val="0"/>
                <w:sz w:val="16"/>
              </w:rPr>
              <w:t>Funding reduction</w:t>
            </w:r>
          </w:p>
        </w:tc>
        <w:tc>
          <w:tcPr>
            <w:tcW w:type="dxa" w:w="1020"/>
          </w:tcPr>
          <w:p>
            <w:pPr>
              <w:spacing w:after="20" w:before="20" w:line="240" w:lineRule="auto"/>
              <w:jc w:val="center"/>
            </w:pPr>
            <w:r/>
            <w:r>
              <w:rPr>
                <w:rFonts w:ascii="Calibri" w:hAnsi="Calibri"/>
                <w:b w:val="0"/>
                <w:sz w:val="16"/>
              </w:rPr>
              <w:t>0.00%</w:t>
            </w:r>
          </w:p>
        </w:tc>
        <w:tc>
          <w:tcPr>
            <w:tcW w:type="dxa" w:w="794"/>
          </w:tcPr>
          <w:p>
            <w:pPr>
              <w:spacing w:after="20" w:before="20" w:line="240" w:lineRule="auto"/>
              <w:jc w:val="center"/>
            </w:pPr>
            <w:r/>
            <w:r>
              <w:rPr>
                <w:rFonts w:ascii="Calibri" w:hAnsi="Calibri"/>
                <w:b w:val="0"/>
                <w:sz w:val="16"/>
              </w:rPr>
              <w:t>%</w:t>
            </w:r>
          </w:p>
        </w:tc>
        <w:tc>
          <w:tcPr>
            <w:tcW w:type="dxa" w:w="1361"/>
          </w:tcPr>
          <w:p>
            <w:pPr>
              <w:spacing w:after="20" w:before="20" w:line="240" w:lineRule="auto"/>
            </w:pPr>
            <w:r/>
            <w:r>
              <w:rPr>
                <w:rFonts w:ascii="Calibri" w:hAnsi="Calibri"/>
                <w:b w:val="0"/>
                <w:sz w:val="16"/>
              </w:rPr>
              <w:t>0.0 – 0.6</w:t>
            </w:r>
          </w:p>
        </w:tc>
        <w:tc>
          <w:tcPr>
            <w:tcW w:type="dxa" w:w="1134"/>
          </w:tcPr>
          <w:p>
            <w:pPr>
              <w:spacing w:after="20" w:before="20" w:line="240" w:lineRule="auto"/>
            </w:pPr>
            <w:r/>
            <w:r>
              <w:rPr>
                <w:rFonts w:ascii="Calibri" w:hAnsi="Calibri"/>
                <w:b w:val="0"/>
                <w:sz w:val="16"/>
              </w:rPr>
              <w:t>Finance &amp; Grants</w:t>
            </w:r>
          </w:p>
        </w:tc>
      </w:tr>
      <w:tr>
        <w:tc>
          <w:tcPr>
            <w:tcW w:type="dxa" w:w="2268"/>
            <w:shd w:val="clear" w:fill="F7F9FB"/>
          </w:tcPr>
          <w:p>
            <w:pPr>
              <w:spacing w:after="20" w:before="20" w:line="240" w:lineRule="auto"/>
            </w:pPr>
            <w:r/>
            <w:r>
              <w:rPr>
                <w:rFonts w:ascii="Calibri" w:hAnsi="Calibri"/>
                <w:b w:val="0"/>
                <w:sz w:val="16"/>
              </w:rPr>
              <w:t>budget_growth_pct</w:t>
            </w:r>
          </w:p>
        </w:tc>
        <w:tc>
          <w:tcPr>
            <w:tcW w:type="dxa" w:w="3175"/>
            <w:shd w:val="clear" w:fill="F7F9FB"/>
          </w:tcPr>
          <w:p>
            <w:pPr>
              <w:spacing w:after="20" w:before="20" w:line="240" w:lineRule="auto"/>
            </w:pPr>
            <w:r/>
            <w:r>
              <w:rPr>
                <w:rFonts w:ascii="Calibri" w:hAnsi="Calibri"/>
                <w:b w:val="0"/>
                <w:sz w:val="16"/>
              </w:rPr>
              <w:t>Budget growth / reallocation</w:t>
            </w:r>
          </w:p>
        </w:tc>
        <w:tc>
          <w:tcPr>
            <w:tcW w:type="dxa" w:w="1020"/>
            <w:shd w:val="clear" w:fill="F7F9FB"/>
          </w:tcPr>
          <w:p>
            <w:pPr>
              <w:spacing w:after="20" w:before="20" w:line="240" w:lineRule="auto"/>
              <w:jc w:val="center"/>
            </w:pPr>
            <w:r/>
            <w:r>
              <w:rPr>
                <w:rFonts w:ascii="Calibri" w:hAnsi="Calibri"/>
                <w:b w:val="0"/>
                <w:sz w:val="16"/>
              </w:rPr>
              <w:t>0.00%</w:t>
            </w:r>
          </w:p>
        </w:tc>
        <w:tc>
          <w:tcPr>
            <w:tcW w:type="dxa" w:w="794"/>
            <w:shd w:val="clear" w:fill="F7F9FB"/>
          </w:tcPr>
          <w:p>
            <w:pPr>
              <w:spacing w:after="20" w:before="20" w:line="240" w:lineRule="auto"/>
              <w:jc w:val="center"/>
            </w:pPr>
            <w:r/>
            <w:r>
              <w:rPr>
                <w:rFonts w:ascii="Calibri" w:hAnsi="Calibri"/>
                <w:b w:val="0"/>
                <w:sz w:val="16"/>
              </w:rPr>
              <w:t>%</w:t>
            </w:r>
          </w:p>
        </w:tc>
        <w:tc>
          <w:tcPr>
            <w:tcW w:type="dxa" w:w="1361"/>
            <w:shd w:val="clear" w:fill="F7F9FB"/>
          </w:tcPr>
          <w:p>
            <w:pPr>
              <w:spacing w:after="20" w:before="20" w:line="240" w:lineRule="auto"/>
            </w:pPr>
            <w:r/>
            <w:r>
              <w:rPr>
                <w:rFonts w:ascii="Calibri" w:hAnsi="Calibri"/>
                <w:b w:val="0"/>
                <w:sz w:val="16"/>
              </w:rPr>
              <w:t>-0.3 – 0.5</w:t>
            </w:r>
          </w:p>
        </w:tc>
        <w:tc>
          <w:tcPr>
            <w:tcW w:type="dxa" w:w="1134"/>
            <w:shd w:val="clear" w:fill="F7F9FB"/>
          </w:tcPr>
          <w:p>
            <w:pPr>
              <w:spacing w:after="20" w:before="20" w:line="240" w:lineRule="auto"/>
            </w:pPr>
            <w:r/>
            <w:r>
              <w:rPr>
                <w:rFonts w:ascii="Calibri" w:hAnsi="Calibri"/>
                <w:b w:val="0"/>
                <w:sz w:val="16"/>
              </w:rPr>
              <w:t>Finance &amp; Grants</w:t>
            </w:r>
          </w:p>
        </w:tc>
      </w:tr>
    </w:tbl>
    <w:p>
      <w:pPr>
        <w:spacing w:after="20"/>
      </w:pPr>
    </w:p>
    <w:p>
      <w:pPr>
        <w:pStyle w:val="Heading2"/>
      </w:pPr>
      <w:r>
        <w:t>15.2 Thresholds</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trPr>
        <w:tc>
          <w:tcPr>
            <w:tcW w:type="dxa" w:w="680"/>
            <w:shd w:val="clear" w:fill="1F3B57"/>
          </w:tcPr>
          <w:p>
            <w:pPr>
              <w:spacing w:after="20" w:before="20" w:line="240" w:lineRule="auto"/>
            </w:pPr>
            <w:r/>
            <w:r>
              <w:rPr>
                <w:rFonts w:ascii="Calibri" w:hAnsi="Calibri"/>
                <w:b/>
                <w:color w:val="FFFFFF"/>
                <w:sz w:val="15"/>
              </w:rPr>
              <w:t>Ref</w:t>
            </w:r>
          </w:p>
        </w:tc>
        <w:tc>
          <w:tcPr>
            <w:tcW w:type="dxa" w:w="2948"/>
            <w:shd w:val="clear" w:fill="1F3B57"/>
          </w:tcPr>
          <w:p>
            <w:pPr>
              <w:spacing w:after="20" w:before="20" w:line="240" w:lineRule="auto"/>
            </w:pPr>
            <w:r/>
            <w:r>
              <w:rPr>
                <w:rFonts w:ascii="Calibri" w:hAnsi="Calibri"/>
                <w:b/>
                <w:color w:val="FFFFFF"/>
                <w:sz w:val="15"/>
              </w:rPr>
              <w:t>Threshold</w:t>
            </w:r>
          </w:p>
        </w:tc>
        <w:tc>
          <w:tcPr>
            <w:tcW w:type="dxa" w:w="1474"/>
            <w:shd w:val="clear" w:fill="1F3B57"/>
          </w:tcPr>
          <w:p>
            <w:pPr>
              <w:spacing w:after="20" w:before="20" w:line="240" w:lineRule="auto"/>
            </w:pPr>
            <w:r/>
            <w:r>
              <w:rPr>
                <w:rFonts w:ascii="Calibri" w:hAnsi="Calibri"/>
                <w:b/>
                <w:color w:val="FFFFFF"/>
                <w:sz w:val="15"/>
              </w:rPr>
              <w:t>Value</w:t>
            </w:r>
          </w:p>
        </w:tc>
        <w:tc>
          <w:tcPr>
            <w:tcW w:type="dxa" w:w="907"/>
            <w:shd w:val="clear" w:fill="1F3B57"/>
          </w:tcPr>
          <w:p>
            <w:pPr>
              <w:spacing w:after="20" w:before="20" w:line="240" w:lineRule="auto"/>
            </w:pPr>
            <w:r/>
            <w:r>
              <w:rPr>
                <w:rFonts w:ascii="Calibri" w:hAnsi="Calibri"/>
                <w:b/>
                <w:color w:val="FFFFFF"/>
                <w:sz w:val="15"/>
              </w:rPr>
              <w:t>Unit</w:t>
            </w:r>
          </w:p>
        </w:tc>
        <w:tc>
          <w:tcPr>
            <w:tcW w:type="dxa" w:w="3742"/>
            <w:shd w:val="clear" w:fill="1F3B57"/>
          </w:tcPr>
          <w:p>
            <w:pPr>
              <w:spacing w:after="20" w:before="20" w:line="240" w:lineRule="auto"/>
            </w:pPr>
            <w:r/>
            <w:r>
              <w:rPr>
                <w:rFonts w:ascii="Calibri" w:hAnsi="Calibri"/>
                <w:b/>
                <w:color w:val="FFFFFF"/>
                <w:sz w:val="15"/>
              </w:rPr>
              <w:t>How it is used</w:t>
            </w:r>
          </w:p>
        </w:tc>
      </w:tr>
      <w:tr>
        <w:tc>
          <w:tcPr>
            <w:tcW w:type="dxa" w:w="680"/>
          </w:tcPr>
          <w:p>
            <w:pPr>
              <w:spacing w:after="20" w:before="20" w:line="240" w:lineRule="auto"/>
              <w:jc w:val="center"/>
            </w:pPr>
            <w:r/>
            <w:r>
              <w:rPr>
                <w:rFonts w:ascii="Calibri" w:hAnsi="Calibri"/>
                <w:b w:val="0"/>
                <w:sz w:val="15"/>
              </w:rPr>
              <w:t>P-01</w:t>
            </w:r>
          </w:p>
        </w:tc>
        <w:tc>
          <w:tcPr>
            <w:tcW w:type="dxa" w:w="2948"/>
          </w:tcPr>
          <w:p>
            <w:pPr>
              <w:spacing w:after="20" w:before="20" w:line="240" w:lineRule="auto"/>
            </w:pPr>
            <w:r/>
            <w:r>
              <w:rPr>
                <w:rFonts w:ascii="Calibri" w:hAnsi="Calibri"/>
                <w:b w:val="0"/>
                <w:sz w:val="15"/>
              </w:rPr>
              <w:t>Data as at (report date)</w:t>
            </w:r>
          </w:p>
        </w:tc>
        <w:tc>
          <w:tcPr>
            <w:tcW w:type="dxa" w:w="1474"/>
          </w:tcPr>
          <w:p>
            <w:pPr>
              <w:spacing w:after="20" w:before="20" w:line="240" w:lineRule="auto"/>
              <w:jc w:val="center"/>
            </w:pPr>
            <w:r/>
            <w:r>
              <w:rPr>
                <w:rFonts w:ascii="Calibri" w:hAnsi="Calibri"/>
                <w:b w:val="0"/>
                <w:sz w:val="15"/>
              </w:rPr>
              <w:t>auto (from load log)</w:t>
            </w:r>
          </w:p>
        </w:tc>
        <w:tc>
          <w:tcPr>
            <w:tcW w:type="dxa" w:w="907"/>
          </w:tcPr>
          <w:p>
            <w:pPr>
              <w:spacing w:after="20" w:before="20" w:line="240" w:lineRule="auto"/>
              <w:jc w:val="center"/>
            </w:pPr>
            <w:r/>
            <w:r>
              <w:rPr>
                <w:rFonts w:ascii="Calibri" w:hAnsi="Calibri"/>
                <w:b w:val="0"/>
                <w:sz w:val="15"/>
              </w:rPr>
              <w:t>Date</w:t>
            </w:r>
          </w:p>
        </w:tc>
        <w:tc>
          <w:tcPr>
            <w:tcW w:type="dxa" w:w="3742"/>
          </w:tcPr>
          <w:p>
            <w:pPr>
              <w:spacing w:after="20" w:before="20" w:line="240" w:lineRule="auto"/>
            </w:pPr>
            <w:r/>
            <w:r>
              <w:rPr>
                <w:rFonts w:ascii="Calibri" w:hAnsi="Calibri"/>
                <w:b w:val="0"/>
                <w:sz w:val="15"/>
              </w:rPr>
              <w:t>Later of last successful load and last closed period; shown on every page and stamped on every answer</w:t>
            </w:r>
          </w:p>
        </w:tc>
      </w:tr>
      <w:tr>
        <w:tc>
          <w:tcPr>
            <w:tcW w:type="dxa" w:w="680"/>
            <w:shd w:val="clear" w:fill="F7F9FB"/>
          </w:tcPr>
          <w:p>
            <w:pPr>
              <w:spacing w:after="20" w:before="20" w:line="240" w:lineRule="auto"/>
              <w:jc w:val="center"/>
            </w:pPr>
            <w:r/>
            <w:r>
              <w:rPr>
                <w:rFonts w:ascii="Calibri" w:hAnsi="Calibri"/>
                <w:b w:val="0"/>
                <w:sz w:val="15"/>
              </w:rPr>
              <w:t>P-02</w:t>
            </w:r>
          </w:p>
        </w:tc>
        <w:tc>
          <w:tcPr>
            <w:tcW w:type="dxa" w:w="2948"/>
            <w:shd w:val="clear" w:fill="F7F9FB"/>
          </w:tcPr>
          <w:p>
            <w:pPr>
              <w:spacing w:after="20" w:before="20" w:line="240" w:lineRule="auto"/>
            </w:pPr>
            <w:r/>
            <w:r>
              <w:rPr>
                <w:rFonts w:ascii="Calibri" w:hAnsi="Calibri"/>
                <w:b w:val="0"/>
                <w:sz w:val="15"/>
              </w:rPr>
              <w:t>Consumption-to-investment ratio band</w:t>
            </w:r>
          </w:p>
        </w:tc>
        <w:tc>
          <w:tcPr>
            <w:tcW w:type="dxa" w:w="1474"/>
            <w:shd w:val="clear" w:fill="F7F9FB"/>
          </w:tcPr>
          <w:p>
            <w:pPr>
              <w:spacing w:after="20" w:before="20" w:line="240" w:lineRule="auto"/>
              <w:jc w:val="center"/>
            </w:pPr>
            <w:r/>
            <w:r>
              <w:rPr>
                <w:rFonts w:ascii="Calibri" w:hAnsi="Calibri"/>
                <w:b w:val="0"/>
                <w:sz w:val="15"/>
              </w:rPr>
              <w:t>0.80-1.05</w:t>
            </w:r>
          </w:p>
        </w:tc>
        <w:tc>
          <w:tcPr>
            <w:tcW w:type="dxa" w:w="907"/>
            <w:shd w:val="clear" w:fill="F7F9FB"/>
          </w:tcPr>
          <w:p>
            <w:pPr>
              <w:spacing w:after="20" w:before="20" w:line="240" w:lineRule="auto"/>
              <w:jc w:val="center"/>
            </w:pPr>
            <w:r/>
            <w:r>
              <w:rPr>
                <w:rFonts w:ascii="Calibri" w:hAnsi="Calibri"/>
                <w:b w:val="0"/>
                <w:sz w:val="15"/>
              </w:rPr>
              <w:t>Ratio</w:t>
            </w:r>
          </w:p>
        </w:tc>
        <w:tc>
          <w:tcPr>
            <w:tcW w:type="dxa" w:w="3742"/>
            <w:shd w:val="clear" w:fill="F7F9FB"/>
          </w:tcPr>
          <w:p>
            <w:pPr>
              <w:spacing w:after="20" w:before="20" w:line="240" w:lineRule="auto"/>
            </w:pPr>
            <w:r/>
            <w:r>
              <w:rPr>
                <w:rFonts w:ascii="Calibri" w:hAnsi="Calibri"/>
                <w:b w:val="0"/>
                <w:sz w:val="15"/>
              </w:rPr>
              <w:t>Below 0.80 = over-purchasing; above 1.05 = drawing down opening stock</w:t>
            </w:r>
          </w:p>
        </w:tc>
      </w:tr>
      <w:tr>
        <w:tc>
          <w:tcPr>
            <w:tcW w:type="dxa" w:w="680"/>
          </w:tcPr>
          <w:p>
            <w:pPr>
              <w:spacing w:after="20" w:before="20" w:line="240" w:lineRule="auto"/>
              <w:jc w:val="center"/>
            </w:pPr>
            <w:r/>
            <w:r>
              <w:rPr>
                <w:rFonts w:ascii="Calibri" w:hAnsi="Calibri"/>
                <w:b w:val="0"/>
                <w:sz w:val="15"/>
              </w:rPr>
              <w:t>P-03</w:t>
            </w:r>
          </w:p>
        </w:tc>
        <w:tc>
          <w:tcPr>
            <w:tcW w:type="dxa" w:w="2948"/>
          </w:tcPr>
          <w:p>
            <w:pPr>
              <w:spacing w:after="20" w:before="20" w:line="240" w:lineRule="auto"/>
            </w:pPr>
            <w:r/>
            <w:r>
              <w:rPr>
                <w:rFonts w:ascii="Calibri" w:hAnsi="Calibri"/>
                <w:b w:val="0"/>
                <w:sz w:val="15"/>
              </w:rPr>
              <w:t>Consumption variance vs budget - investigate above</w:t>
            </w:r>
          </w:p>
        </w:tc>
        <w:tc>
          <w:tcPr>
            <w:tcW w:type="dxa" w:w="1474"/>
          </w:tcPr>
          <w:p>
            <w:pPr>
              <w:spacing w:after="20" w:before="20" w:line="240" w:lineRule="auto"/>
              <w:jc w:val="center"/>
            </w:pPr>
            <w:r/>
            <w:r>
              <w:rPr>
                <w:rFonts w:ascii="Calibri" w:hAnsi="Calibri"/>
                <w:b w:val="0"/>
                <w:sz w:val="15"/>
              </w:rPr>
              <w:t>15%</w:t>
            </w:r>
          </w:p>
        </w:tc>
        <w:tc>
          <w:tcPr>
            <w:tcW w:type="dxa" w:w="907"/>
          </w:tcPr>
          <w:p>
            <w:pPr>
              <w:spacing w:after="20" w:before="20" w:line="240" w:lineRule="auto"/>
              <w:jc w:val="center"/>
            </w:pPr>
            <w:r/>
            <w:r>
              <w:rPr>
                <w:rFonts w:ascii="Calibri" w:hAnsi="Calibri"/>
                <w:b w:val="0"/>
                <w:sz w:val="15"/>
              </w:rPr>
              <w:t>%</w:t>
            </w:r>
          </w:p>
        </w:tc>
        <w:tc>
          <w:tcPr>
            <w:tcW w:type="dxa" w:w="3742"/>
          </w:tcPr>
          <w:p>
            <w:pPr>
              <w:spacing w:after="20" w:before="20" w:line="240" w:lineRule="auto"/>
            </w:pPr>
            <w:r/>
            <w:r>
              <w:rPr>
                <w:rFonts w:ascii="Calibri" w:hAnsi="Calibri"/>
                <w:b w:val="0"/>
                <w:sz w:val="15"/>
              </w:rPr>
              <w:t>Beyond this band the variance requires written commentary and an owner</w:t>
            </w:r>
          </w:p>
        </w:tc>
      </w:tr>
      <w:tr>
        <w:tc>
          <w:tcPr>
            <w:tcW w:type="dxa" w:w="680"/>
            <w:shd w:val="clear" w:fill="F7F9FB"/>
          </w:tcPr>
          <w:p>
            <w:pPr>
              <w:spacing w:after="20" w:before="20" w:line="240" w:lineRule="auto"/>
              <w:jc w:val="center"/>
            </w:pPr>
            <w:r/>
            <w:r>
              <w:rPr>
                <w:rFonts w:ascii="Calibri" w:hAnsi="Calibri"/>
                <w:b w:val="0"/>
                <w:sz w:val="15"/>
              </w:rPr>
              <w:t>P-04</w:t>
            </w:r>
          </w:p>
        </w:tc>
        <w:tc>
          <w:tcPr>
            <w:tcW w:type="dxa" w:w="2948"/>
            <w:shd w:val="clear" w:fill="F7F9FB"/>
          </w:tcPr>
          <w:p>
            <w:pPr>
              <w:spacing w:after="20" w:before="20" w:line="240" w:lineRule="auto"/>
            </w:pPr>
            <w:r/>
            <w:r>
              <w:rPr>
                <w:rFonts w:ascii="Calibri" w:hAnsi="Calibri"/>
                <w:b w:val="0"/>
                <w:sz w:val="15"/>
              </w:rPr>
              <w:t>Materiality for mandatory commentary</w:t>
            </w:r>
          </w:p>
        </w:tc>
        <w:tc>
          <w:tcPr>
            <w:tcW w:type="dxa" w:w="1474"/>
            <w:shd w:val="clear" w:fill="F7F9FB"/>
          </w:tcPr>
          <w:p>
            <w:pPr>
              <w:spacing w:after="20" w:before="20" w:line="240" w:lineRule="auto"/>
              <w:jc w:val="center"/>
            </w:pPr>
            <w:r/>
            <w:r>
              <w:rPr>
                <w:rFonts w:ascii="Calibri" w:hAnsi="Calibri"/>
                <w:b w:val="0"/>
                <w:sz w:val="15"/>
              </w:rPr>
              <w:t>PKR 250,000</w:t>
            </w:r>
          </w:p>
        </w:tc>
        <w:tc>
          <w:tcPr>
            <w:tcW w:type="dxa" w:w="907"/>
            <w:shd w:val="clear" w:fill="F7F9FB"/>
          </w:tcPr>
          <w:p>
            <w:pPr>
              <w:spacing w:after="20" w:before="20" w:line="240" w:lineRule="auto"/>
              <w:jc w:val="center"/>
            </w:pPr>
            <w:r/>
            <w:r>
              <w:rPr>
                <w:rFonts w:ascii="Calibri" w:hAnsi="Calibri"/>
                <w:b w:val="0"/>
                <w:sz w:val="15"/>
              </w:rPr>
              <w:t>PKR</w:t>
            </w:r>
          </w:p>
        </w:tc>
        <w:tc>
          <w:tcPr>
            <w:tcW w:type="dxa" w:w="3742"/>
            <w:shd w:val="clear" w:fill="F7F9FB"/>
          </w:tcPr>
          <w:p>
            <w:pPr>
              <w:spacing w:after="20" w:before="20" w:line="240" w:lineRule="auto"/>
            </w:pPr>
            <w:r/>
            <w:r>
              <w:rPr>
                <w:rFonts w:ascii="Calibri" w:hAnsi="Calibri"/>
                <w:b w:val="0"/>
                <w:sz w:val="15"/>
              </w:rPr>
              <w:t>PKR 250,000 or 10% of the category budget, whichever is lower</w:t>
            </w:r>
          </w:p>
        </w:tc>
      </w:tr>
      <w:tr>
        <w:tc>
          <w:tcPr>
            <w:tcW w:type="dxa" w:w="680"/>
          </w:tcPr>
          <w:p>
            <w:pPr>
              <w:spacing w:after="20" w:before="20" w:line="240" w:lineRule="auto"/>
              <w:jc w:val="center"/>
            </w:pPr>
            <w:r/>
            <w:r>
              <w:rPr>
                <w:rFonts w:ascii="Calibri" w:hAnsi="Calibri"/>
                <w:b w:val="0"/>
                <w:sz w:val="15"/>
              </w:rPr>
              <w:t>P-05</w:t>
            </w:r>
          </w:p>
        </w:tc>
        <w:tc>
          <w:tcPr>
            <w:tcW w:type="dxa" w:w="2948"/>
          </w:tcPr>
          <w:p>
            <w:pPr>
              <w:spacing w:after="20" w:before="20" w:line="240" w:lineRule="auto"/>
            </w:pPr>
            <w:r/>
            <w:r>
              <w:rPr>
                <w:rFonts w:ascii="Calibri" w:hAnsi="Calibri"/>
                <w:b w:val="0"/>
                <w:sz w:val="15"/>
              </w:rPr>
              <w:t>Days of cover - critical threshold</w:t>
            </w:r>
          </w:p>
        </w:tc>
        <w:tc>
          <w:tcPr>
            <w:tcW w:type="dxa" w:w="1474"/>
          </w:tcPr>
          <w:p>
            <w:pPr>
              <w:spacing w:after="20" w:before="20" w:line="240" w:lineRule="auto"/>
              <w:jc w:val="center"/>
            </w:pPr>
            <w:r/>
            <w:r>
              <w:rPr>
                <w:rFonts w:ascii="Calibri" w:hAnsi="Calibri"/>
                <w:b w:val="0"/>
                <w:sz w:val="15"/>
              </w:rPr>
              <w:t>30</w:t>
            </w:r>
          </w:p>
        </w:tc>
        <w:tc>
          <w:tcPr>
            <w:tcW w:type="dxa" w:w="907"/>
          </w:tcPr>
          <w:p>
            <w:pPr>
              <w:spacing w:after="20" w:before="20" w:line="240" w:lineRule="auto"/>
              <w:jc w:val="center"/>
            </w:pPr>
            <w:r/>
            <w:r>
              <w:rPr>
                <w:rFonts w:ascii="Calibri" w:hAnsi="Calibri"/>
                <w:b w:val="0"/>
                <w:sz w:val="15"/>
              </w:rPr>
              <w:t>Days</w:t>
            </w:r>
          </w:p>
        </w:tc>
        <w:tc>
          <w:tcPr>
            <w:tcW w:type="dxa" w:w="3742"/>
          </w:tcPr>
          <w:p>
            <w:pPr>
              <w:spacing w:after="20" w:before="20" w:line="240" w:lineRule="auto"/>
            </w:pPr>
            <w:r/>
            <w:r>
              <w:rPr>
                <w:rFonts w:ascii="Calibri" w:hAnsi="Calibri"/>
                <w:b w:val="0"/>
                <w:sz w:val="15"/>
              </w:rPr>
              <w:t>Raise a purchase requisition or transfer immediately</w:t>
            </w:r>
          </w:p>
        </w:tc>
      </w:tr>
      <w:tr>
        <w:tc>
          <w:tcPr>
            <w:tcW w:type="dxa" w:w="680"/>
            <w:shd w:val="clear" w:fill="F7F9FB"/>
          </w:tcPr>
          <w:p>
            <w:pPr>
              <w:spacing w:after="20" w:before="20" w:line="240" w:lineRule="auto"/>
              <w:jc w:val="center"/>
            </w:pPr>
            <w:r/>
            <w:r>
              <w:rPr>
                <w:rFonts w:ascii="Calibri" w:hAnsi="Calibri"/>
                <w:b w:val="0"/>
                <w:sz w:val="15"/>
              </w:rPr>
              <w:t>P-06</w:t>
            </w:r>
          </w:p>
        </w:tc>
        <w:tc>
          <w:tcPr>
            <w:tcW w:type="dxa" w:w="2948"/>
            <w:shd w:val="clear" w:fill="F7F9FB"/>
          </w:tcPr>
          <w:p>
            <w:pPr>
              <w:spacing w:after="20" w:before="20" w:line="240" w:lineRule="auto"/>
            </w:pPr>
            <w:r/>
            <w:r>
              <w:rPr>
                <w:rFonts w:ascii="Calibri" w:hAnsi="Calibri"/>
                <w:b w:val="0"/>
                <w:sz w:val="15"/>
              </w:rPr>
              <w:t>Days of cover - watch threshold</w:t>
            </w:r>
          </w:p>
        </w:tc>
        <w:tc>
          <w:tcPr>
            <w:tcW w:type="dxa" w:w="1474"/>
            <w:shd w:val="clear" w:fill="F7F9FB"/>
          </w:tcPr>
          <w:p>
            <w:pPr>
              <w:spacing w:after="20" w:before="20" w:line="240" w:lineRule="auto"/>
              <w:jc w:val="center"/>
            </w:pPr>
            <w:r/>
            <w:r>
              <w:rPr>
                <w:rFonts w:ascii="Calibri" w:hAnsi="Calibri"/>
                <w:b w:val="0"/>
                <w:sz w:val="15"/>
              </w:rPr>
              <w:t>60</w:t>
            </w:r>
          </w:p>
        </w:tc>
        <w:tc>
          <w:tcPr>
            <w:tcW w:type="dxa" w:w="907"/>
            <w:shd w:val="clear" w:fill="F7F9FB"/>
          </w:tcPr>
          <w:p>
            <w:pPr>
              <w:spacing w:after="20" w:before="20" w:line="240" w:lineRule="auto"/>
              <w:jc w:val="center"/>
            </w:pPr>
            <w:r/>
            <w:r>
              <w:rPr>
                <w:rFonts w:ascii="Calibri" w:hAnsi="Calibri"/>
                <w:b w:val="0"/>
                <w:sz w:val="15"/>
              </w:rPr>
              <w:t>Days</w:t>
            </w:r>
          </w:p>
        </w:tc>
        <w:tc>
          <w:tcPr>
            <w:tcW w:type="dxa" w:w="3742"/>
            <w:shd w:val="clear" w:fill="F7F9FB"/>
          </w:tcPr>
          <w:p>
            <w:pPr>
              <w:spacing w:after="20" w:before="20" w:line="240" w:lineRule="auto"/>
            </w:pPr>
            <w:r/>
            <w:r>
              <w:rPr>
                <w:rFonts w:ascii="Calibri" w:hAnsi="Calibri"/>
                <w:b w:val="0"/>
                <w:sz w:val="15"/>
              </w:rPr>
              <w:t>Include in the next monthly purchase plan</w:t>
            </w:r>
          </w:p>
        </w:tc>
      </w:tr>
      <w:tr>
        <w:tc>
          <w:tcPr>
            <w:tcW w:type="dxa" w:w="680"/>
          </w:tcPr>
          <w:p>
            <w:pPr>
              <w:spacing w:after="20" w:before="20" w:line="240" w:lineRule="auto"/>
              <w:jc w:val="center"/>
            </w:pPr>
            <w:r/>
            <w:r>
              <w:rPr>
                <w:rFonts w:ascii="Calibri" w:hAnsi="Calibri"/>
                <w:b w:val="0"/>
                <w:sz w:val="15"/>
              </w:rPr>
              <w:t>P-07</w:t>
            </w:r>
          </w:p>
        </w:tc>
        <w:tc>
          <w:tcPr>
            <w:tcW w:type="dxa" w:w="2948"/>
          </w:tcPr>
          <w:p>
            <w:pPr>
              <w:spacing w:after="20" w:before="20" w:line="240" w:lineRule="auto"/>
            </w:pPr>
            <w:r/>
            <w:r>
              <w:rPr>
                <w:rFonts w:ascii="Calibri" w:hAnsi="Calibri"/>
                <w:b w:val="0"/>
                <w:sz w:val="15"/>
              </w:rPr>
              <w:t>Days of cover - overstock threshold</w:t>
            </w:r>
          </w:p>
        </w:tc>
        <w:tc>
          <w:tcPr>
            <w:tcW w:type="dxa" w:w="1474"/>
          </w:tcPr>
          <w:p>
            <w:pPr>
              <w:spacing w:after="20" w:before="20" w:line="240" w:lineRule="auto"/>
              <w:jc w:val="center"/>
            </w:pPr>
            <w:r/>
            <w:r>
              <w:rPr>
                <w:rFonts w:ascii="Calibri" w:hAnsi="Calibri"/>
                <w:b w:val="0"/>
                <w:sz w:val="15"/>
              </w:rPr>
              <w:t>180</w:t>
            </w:r>
          </w:p>
        </w:tc>
        <w:tc>
          <w:tcPr>
            <w:tcW w:type="dxa" w:w="907"/>
          </w:tcPr>
          <w:p>
            <w:pPr>
              <w:spacing w:after="20" w:before="20" w:line="240" w:lineRule="auto"/>
              <w:jc w:val="center"/>
            </w:pPr>
            <w:r/>
            <w:r>
              <w:rPr>
                <w:rFonts w:ascii="Calibri" w:hAnsi="Calibri"/>
                <w:b w:val="0"/>
                <w:sz w:val="15"/>
              </w:rPr>
              <w:t>Days</w:t>
            </w:r>
          </w:p>
        </w:tc>
        <w:tc>
          <w:tcPr>
            <w:tcW w:type="dxa" w:w="3742"/>
          </w:tcPr>
          <w:p>
            <w:pPr>
              <w:spacing w:after="20" w:before="20" w:line="240" w:lineRule="auto"/>
            </w:pPr>
            <w:r/>
            <w:r>
              <w:rPr>
                <w:rFonts w:ascii="Calibri" w:hAnsi="Calibri"/>
                <w:b w:val="0"/>
                <w:sz w:val="15"/>
              </w:rPr>
              <w:t>Freeze re-ordering and review redistribution</w:t>
            </w:r>
          </w:p>
        </w:tc>
      </w:tr>
      <w:tr>
        <w:tc>
          <w:tcPr>
            <w:tcW w:type="dxa" w:w="680"/>
            <w:shd w:val="clear" w:fill="F7F9FB"/>
          </w:tcPr>
          <w:p>
            <w:pPr>
              <w:spacing w:after="20" w:before="20" w:line="240" w:lineRule="auto"/>
              <w:jc w:val="center"/>
            </w:pPr>
            <w:r/>
            <w:r>
              <w:rPr>
                <w:rFonts w:ascii="Calibri" w:hAnsi="Calibri"/>
                <w:b w:val="0"/>
                <w:sz w:val="15"/>
              </w:rPr>
              <w:t>P-08</w:t>
            </w:r>
          </w:p>
        </w:tc>
        <w:tc>
          <w:tcPr>
            <w:tcW w:type="dxa" w:w="2948"/>
            <w:shd w:val="clear" w:fill="F7F9FB"/>
          </w:tcPr>
          <w:p>
            <w:pPr>
              <w:spacing w:after="20" w:before="20" w:line="240" w:lineRule="auto"/>
            </w:pPr>
            <w:r/>
            <w:r>
              <w:rPr>
                <w:rFonts w:ascii="Calibri" w:hAnsi="Calibri"/>
                <w:b w:val="0"/>
                <w:sz w:val="15"/>
              </w:rPr>
              <w:t>Expiry alert window</w:t>
            </w:r>
          </w:p>
        </w:tc>
        <w:tc>
          <w:tcPr>
            <w:tcW w:type="dxa" w:w="1474"/>
            <w:shd w:val="clear" w:fill="F7F9FB"/>
          </w:tcPr>
          <w:p>
            <w:pPr>
              <w:spacing w:after="20" w:before="20" w:line="240" w:lineRule="auto"/>
              <w:jc w:val="center"/>
            </w:pPr>
            <w:r/>
            <w:r>
              <w:rPr>
                <w:rFonts w:ascii="Calibri" w:hAnsi="Calibri"/>
                <w:b w:val="0"/>
                <w:sz w:val="15"/>
              </w:rPr>
              <w:t>60</w:t>
            </w:r>
          </w:p>
        </w:tc>
        <w:tc>
          <w:tcPr>
            <w:tcW w:type="dxa" w:w="907"/>
            <w:shd w:val="clear" w:fill="F7F9FB"/>
          </w:tcPr>
          <w:p>
            <w:pPr>
              <w:spacing w:after="20" w:before="20" w:line="240" w:lineRule="auto"/>
              <w:jc w:val="center"/>
            </w:pPr>
            <w:r/>
            <w:r>
              <w:rPr>
                <w:rFonts w:ascii="Calibri" w:hAnsi="Calibri"/>
                <w:b w:val="0"/>
                <w:sz w:val="15"/>
              </w:rPr>
              <w:t>Days</w:t>
            </w:r>
          </w:p>
        </w:tc>
        <w:tc>
          <w:tcPr>
            <w:tcW w:type="dxa" w:w="3742"/>
            <w:shd w:val="clear" w:fill="F7F9FB"/>
          </w:tcPr>
          <w:p>
            <w:pPr>
              <w:spacing w:after="20" w:before="20" w:line="240" w:lineRule="auto"/>
            </w:pPr>
            <w:r/>
            <w:r>
              <w:rPr>
                <w:rFonts w:ascii="Calibri" w:hAnsi="Calibri"/>
                <w:b w:val="0"/>
                <w:sz w:val="15"/>
              </w:rPr>
              <w:t>Redistribute, consume first, or write off before expiry</w:t>
            </w:r>
          </w:p>
        </w:tc>
      </w:tr>
      <w:tr>
        <w:tc>
          <w:tcPr>
            <w:tcW w:type="dxa" w:w="680"/>
          </w:tcPr>
          <w:p>
            <w:pPr>
              <w:spacing w:after="20" w:before="20" w:line="240" w:lineRule="auto"/>
              <w:jc w:val="center"/>
            </w:pPr>
            <w:r/>
            <w:r>
              <w:rPr>
                <w:rFonts w:ascii="Calibri" w:hAnsi="Calibri"/>
                <w:b w:val="0"/>
                <w:sz w:val="15"/>
              </w:rPr>
              <w:t>P-09</w:t>
            </w:r>
          </w:p>
        </w:tc>
        <w:tc>
          <w:tcPr>
            <w:tcW w:type="dxa" w:w="2948"/>
          </w:tcPr>
          <w:p>
            <w:pPr>
              <w:spacing w:after="20" w:before="20" w:line="240" w:lineRule="auto"/>
            </w:pPr>
            <w:r/>
            <w:r>
              <w:rPr>
                <w:rFonts w:ascii="Calibri" w:hAnsi="Calibri"/>
                <w:b w:val="0"/>
                <w:sz w:val="15"/>
              </w:rPr>
              <w:t>Price variance - investigate above</w:t>
            </w:r>
          </w:p>
        </w:tc>
        <w:tc>
          <w:tcPr>
            <w:tcW w:type="dxa" w:w="1474"/>
          </w:tcPr>
          <w:p>
            <w:pPr>
              <w:spacing w:after="20" w:before="20" w:line="240" w:lineRule="auto"/>
              <w:jc w:val="center"/>
            </w:pPr>
            <w:r/>
            <w:r>
              <w:rPr>
                <w:rFonts w:ascii="Calibri" w:hAnsi="Calibri"/>
                <w:b w:val="0"/>
                <w:sz w:val="15"/>
              </w:rPr>
              <w:t>10%</w:t>
            </w:r>
          </w:p>
        </w:tc>
        <w:tc>
          <w:tcPr>
            <w:tcW w:type="dxa" w:w="907"/>
          </w:tcPr>
          <w:p>
            <w:pPr>
              <w:spacing w:after="20" w:before="20" w:line="240" w:lineRule="auto"/>
              <w:jc w:val="center"/>
            </w:pPr>
            <w:r/>
            <w:r>
              <w:rPr>
                <w:rFonts w:ascii="Calibri" w:hAnsi="Calibri"/>
                <w:b w:val="0"/>
                <w:sz w:val="15"/>
              </w:rPr>
              <w:t>%</w:t>
            </w:r>
          </w:p>
        </w:tc>
        <w:tc>
          <w:tcPr>
            <w:tcW w:type="dxa" w:w="3742"/>
          </w:tcPr>
          <w:p>
            <w:pPr>
              <w:spacing w:after="20" w:before="20" w:line="240" w:lineRule="auto"/>
            </w:pPr>
            <w:r/>
            <w:r>
              <w:rPr>
                <w:rFonts w:ascii="Calibri" w:hAnsi="Calibri"/>
                <w:b w:val="0"/>
                <w:sz w:val="15"/>
              </w:rPr>
              <w:t>Compare supplier quotes and check contract validity</w:t>
            </w:r>
          </w:p>
        </w:tc>
      </w:tr>
      <w:tr>
        <w:tc>
          <w:tcPr>
            <w:tcW w:type="dxa" w:w="680"/>
            <w:shd w:val="clear" w:fill="F7F9FB"/>
          </w:tcPr>
          <w:p>
            <w:pPr>
              <w:spacing w:after="20" w:before="20" w:line="240" w:lineRule="auto"/>
              <w:jc w:val="center"/>
            </w:pPr>
            <w:r/>
            <w:r>
              <w:rPr>
                <w:rFonts w:ascii="Calibri" w:hAnsi="Calibri"/>
                <w:b w:val="0"/>
                <w:sz w:val="15"/>
              </w:rPr>
              <w:t>P-10</w:t>
            </w:r>
          </w:p>
        </w:tc>
        <w:tc>
          <w:tcPr>
            <w:tcW w:type="dxa" w:w="2948"/>
            <w:shd w:val="clear" w:fill="F7F9FB"/>
          </w:tcPr>
          <w:p>
            <w:pPr>
              <w:spacing w:after="20" w:before="20" w:line="240" w:lineRule="auto"/>
            </w:pPr>
            <w:r/>
            <w:r>
              <w:rPr>
                <w:rFonts w:ascii="Calibri" w:hAnsi="Calibri"/>
                <w:b w:val="0"/>
                <w:sz w:val="15"/>
              </w:rPr>
              <w:t>Unattributed consumption ceiling</w:t>
            </w:r>
          </w:p>
        </w:tc>
        <w:tc>
          <w:tcPr>
            <w:tcW w:type="dxa" w:w="1474"/>
            <w:shd w:val="clear" w:fill="F7F9FB"/>
          </w:tcPr>
          <w:p>
            <w:pPr>
              <w:spacing w:after="20" w:before="20" w:line="240" w:lineRule="auto"/>
              <w:jc w:val="center"/>
            </w:pPr>
            <w:r/>
            <w:r>
              <w:rPr>
                <w:rFonts w:ascii="Calibri" w:hAnsi="Calibri"/>
                <w:b w:val="0"/>
                <w:sz w:val="15"/>
              </w:rPr>
              <w:t>1%</w:t>
            </w:r>
          </w:p>
        </w:tc>
        <w:tc>
          <w:tcPr>
            <w:tcW w:type="dxa" w:w="907"/>
            <w:shd w:val="clear" w:fill="F7F9FB"/>
          </w:tcPr>
          <w:p>
            <w:pPr>
              <w:spacing w:after="20" w:before="20" w:line="240" w:lineRule="auto"/>
              <w:jc w:val="center"/>
            </w:pPr>
            <w:r/>
            <w:r>
              <w:rPr>
                <w:rFonts w:ascii="Calibri" w:hAnsi="Calibri"/>
                <w:b w:val="0"/>
                <w:sz w:val="15"/>
              </w:rPr>
              <w:t>%</w:t>
            </w:r>
          </w:p>
        </w:tc>
        <w:tc>
          <w:tcPr>
            <w:tcW w:type="dxa" w:w="3742"/>
            <w:shd w:val="clear" w:fill="F7F9FB"/>
          </w:tcPr>
          <w:p>
            <w:pPr>
              <w:spacing w:after="20" w:before="20" w:line="240" w:lineRule="auto"/>
            </w:pPr>
            <w:r/>
            <w:r>
              <w:rPr>
                <w:rFonts w:ascii="Calibri" w:hAnsi="Calibri"/>
                <w:b w:val="0"/>
                <w:sz w:val="15"/>
              </w:rPr>
              <w:t>Above this, escalate to the project-coding owner</w:t>
            </w:r>
          </w:p>
        </w:tc>
      </w:tr>
      <w:tr>
        <w:tc>
          <w:tcPr>
            <w:tcW w:type="dxa" w:w="680"/>
          </w:tcPr>
          <w:p>
            <w:pPr>
              <w:spacing w:after="20" w:before="20" w:line="240" w:lineRule="auto"/>
              <w:jc w:val="center"/>
            </w:pPr>
            <w:r/>
            <w:r>
              <w:rPr>
                <w:rFonts w:ascii="Calibri" w:hAnsi="Calibri"/>
                <w:b w:val="0"/>
                <w:sz w:val="15"/>
              </w:rPr>
              <w:t>P-11</w:t>
            </w:r>
          </w:p>
        </w:tc>
        <w:tc>
          <w:tcPr>
            <w:tcW w:type="dxa" w:w="2948"/>
          </w:tcPr>
          <w:p>
            <w:pPr>
              <w:spacing w:after="20" w:before="20" w:line="240" w:lineRule="auto"/>
            </w:pPr>
            <w:r/>
            <w:r>
              <w:rPr>
                <w:rFonts w:ascii="Calibri" w:hAnsi="Calibri"/>
                <w:b w:val="0"/>
                <w:sz w:val="15"/>
              </w:rPr>
              <w:t>Exception ageing before escalation</w:t>
            </w:r>
          </w:p>
        </w:tc>
        <w:tc>
          <w:tcPr>
            <w:tcW w:type="dxa" w:w="1474"/>
          </w:tcPr>
          <w:p>
            <w:pPr>
              <w:spacing w:after="20" w:before="20" w:line="240" w:lineRule="auto"/>
              <w:jc w:val="center"/>
            </w:pPr>
            <w:r/>
            <w:r>
              <w:rPr>
                <w:rFonts w:ascii="Calibri" w:hAnsi="Calibri"/>
                <w:b w:val="0"/>
                <w:sz w:val="15"/>
              </w:rPr>
              <w:t>30</w:t>
            </w:r>
          </w:p>
        </w:tc>
        <w:tc>
          <w:tcPr>
            <w:tcW w:type="dxa" w:w="907"/>
          </w:tcPr>
          <w:p>
            <w:pPr>
              <w:spacing w:after="20" w:before="20" w:line="240" w:lineRule="auto"/>
              <w:jc w:val="center"/>
            </w:pPr>
            <w:r/>
            <w:r>
              <w:rPr>
                <w:rFonts w:ascii="Calibri" w:hAnsi="Calibri"/>
                <w:b w:val="0"/>
                <w:sz w:val="15"/>
              </w:rPr>
              <w:t>Days</w:t>
            </w:r>
          </w:p>
        </w:tc>
        <w:tc>
          <w:tcPr>
            <w:tcW w:type="dxa" w:w="3742"/>
          </w:tcPr>
          <w:p>
            <w:pPr>
              <w:spacing w:after="20" w:before="20" w:line="240" w:lineRule="auto"/>
            </w:pPr>
            <w:r/>
            <w:r>
              <w:rPr>
                <w:rFonts w:ascii="Calibri" w:hAnsi="Calibri"/>
                <w:b w:val="0"/>
                <w:sz w:val="15"/>
              </w:rPr>
              <w:t>Escalate to the Head of Procurement</w:t>
            </w:r>
          </w:p>
        </w:tc>
      </w:tr>
      <w:tr>
        <w:tc>
          <w:tcPr>
            <w:tcW w:type="dxa" w:w="680"/>
            <w:shd w:val="clear" w:fill="F7F9FB"/>
          </w:tcPr>
          <w:p>
            <w:pPr>
              <w:spacing w:after="20" w:before="20" w:line="240" w:lineRule="auto"/>
              <w:jc w:val="center"/>
            </w:pPr>
            <w:r/>
            <w:r>
              <w:rPr>
                <w:rFonts w:ascii="Calibri" w:hAnsi="Calibri"/>
                <w:b w:val="0"/>
                <w:sz w:val="15"/>
              </w:rPr>
              <w:t>P-12</w:t>
            </w:r>
          </w:p>
        </w:tc>
        <w:tc>
          <w:tcPr>
            <w:tcW w:type="dxa" w:w="2948"/>
            <w:shd w:val="clear" w:fill="F7F9FB"/>
          </w:tcPr>
          <w:p>
            <w:pPr>
              <w:spacing w:after="20" w:before="20" w:line="240" w:lineRule="auto"/>
            </w:pPr>
            <w:r/>
            <w:r>
              <w:rPr>
                <w:rFonts w:ascii="Calibri" w:hAnsi="Calibri"/>
                <w:b w:val="0"/>
                <w:sz w:val="15"/>
              </w:rPr>
              <w:t>Slow-moving lookback</w:t>
            </w:r>
          </w:p>
        </w:tc>
        <w:tc>
          <w:tcPr>
            <w:tcW w:type="dxa" w:w="1474"/>
            <w:shd w:val="clear" w:fill="F7F9FB"/>
          </w:tcPr>
          <w:p>
            <w:pPr>
              <w:spacing w:after="20" w:before="20" w:line="240" w:lineRule="auto"/>
              <w:jc w:val="center"/>
            </w:pPr>
            <w:r/>
            <w:r>
              <w:rPr>
                <w:rFonts w:ascii="Calibri" w:hAnsi="Calibri"/>
                <w:b w:val="0"/>
                <w:sz w:val="15"/>
              </w:rPr>
              <w:t>6</w:t>
            </w:r>
          </w:p>
        </w:tc>
        <w:tc>
          <w:tcPr>
            <w:tcW w:type="dxa" w:w="907"/>
            <w:shd w:val="clear" w:fill="F7F9FB"/>
          </w:tcPr>
          <w:p>
            <w:pPr>
              <w:spacing w:after="20" w:before="20" w:line="240" w:lineRule="auto"/>
              <w:jc w:val="center"/>
            </w:pPr>
            <w:r/>
            <w:r>
              <w:rPr>
                <w:rFonts w:ascii="Calibri" w:hAnsi="Calibri"/>
                <w:b w:val="0"/>
                <w:sz w:val="15"/>
              </w:rPr>
              <w:t>Months</w:t>
            </w:r>
          </w:p>
        </w:tc>
        <w:tc>
          <w:tcPr>
            <w:tcW w:type="dxa" w:w="3742"/>
            <w:shd w:val="clear" w:fill="F7F9FB"/>
          </w:tcPr>
          <w:p>
            <w:pPr>
              <w:spacing w:after="20" w:before="20" w:line="240" w:lineRule="auto"/>
            </w:pPr>
            <w:r/>
            <w:r>
              <w:rPr>
                <w:rFonts w:ascii="Calibri" w:hAnsi="Calibri"/>
                <w:b w:val="0"/>
                <w:sz w:val="15"/>
              </w:rPr>
              <w:t>Zero issues in the lookback with stock on hand = slow-moving</w:t>
            </w:r>
          </w:p>
        </w:tc>
      </w:tr>
      <w:tr>
        <w:tc>
          <w:tcPr>
            <w:tcW w:type="dxa" w:w="680"/>
          </w:tcPr>
          <w:p>
            <w:pPr>
              <w:spacing w:after="20" w:before="20" w:line="240" w:lineRule="auto"/>
              <w:jc w:val="center"/>
            </w:pPr>
            <w:r/>
            <w:r>
              <w:rPr>
                <w:rFonts w:ascii="Calibri" w:hAnsi="Calibri"/>
                <w:b w:val="0"/>
                <w:sz w:val="15"/>
              </w:rPr>
              <w:t>P-13</w:t>
            </w:r>
          </w:p>
        </w:tc>
        <w:tc>
          <w:tcPr>
            <w:tcW w:type="dxa" w:w="2948"/>
          </w:tcPr>
          <w:p>
            <w:pPr>
              <w:spacing w:after="20" w:before="20" w:line="240" w:lineRule="auto"/>
            </w:pPr>
            <w:r/>
            <w:r>
              <w:rPr>
                <w:rFonts w:ascii="Calibri" w:hAnsi="Calibri"/>
                <w:b w:val="0"/>
                <w:sz w:val="15"/>
              </w:rPr>
              <w:t>Requirement-proposal cover target</w:t>
            </w:r>
          </w:p>
        </w:tc>
        <w:tc>
          <w:tcPr>
            <w:tcW w:type="dxa" w:w="1474"/>
          </w:tcPr>
          <w:p>
            <w:pPr>
              <w:spacing w:after="20" w:before="20" w:line="240" w:lineRule="auto"/>
              <w:jc w:val="center"/>
            </w:pPr>
            <w:r/>
            <w:r>
              <w:rPr>
                <w:rFonts w:ascii="Calibri" w:hAnsi="Calibri"/>
                <w:b w:val="0"/>
                <w:sz w:val="15"/>
              </w:rPr>
              <w:t>90</w:t>
            </w:r>
          </w:p>
        </w:tc>
        <w:tc>
          <w:tcPr>
            <w:tcW w:type="dxa" w:w="907"/>
          </w:tcPr>
          <w:p>
            <w:pPr>
              <w:spacing w:after="20" w:before="20" w:line="240" w:lineRule="auto"/>
              <w:jc w:val="center"/>
            </w:pPr>
            <w:r/>
            <w:r>
              <w:rPr>
                <w:rFonts w:ascii="Calibri" w:hAnsi="Calibri"/>
                <w:b w:val="0"/>
                <w:sz w:val="15"/>
              </w:rPr>
              <w:t>Days</w:t>
            </w:r>
          </w:p>
        </w:tc>
        <w:tc>
          <w:tcPr>
            <w:tcW w:type="dxa" w:w="3742"/>
          </w:tcPr>
          <w:p>
            <w:pPr>
              <w:spacing w:after="20" w:before="20" w:line="240" w:lineRule="auto"/>
            </w:pPr>
            <w:r/>
            <w:r>
              <w:rPr>
                <w:rFonts w:ascii="Calibri" w:hAnsi="Calibri"/>
                <w:b w:val="0"/>
                <w:sz w:val="15"/>
              </w:rPr>
              <w:t>Basis of the indicative purchase quantity (BRD FR-40)</w:t>
            </w:r>
          </w:p>
        </w:tc>
      </w:tr>
      <w:tr>
        <w:tc>
          <w:tcPr>
            <w:tcW w:type="dxa" w:w="680"/>
            <w:shd w:val="clear" w:fill="F7F9FB"/>
          </w:tcPr>
          <w:p>
            <w:pPr>
              <w:spacing w:after="20" w:before="20" w:line="240" w:lineRule="auto"/>
              <w:jc w:val="center"/>
            </w:pPr>
            <w:r/>
            <w:r>
              <w:rPr>
                <w:rFonts w:ascii="Calibri" w:hAnsi="Calibri"/>
                <w:b w:val="0"/>
                <w:sz w:val="15"/>
              </w:rPr>
              <w:t>P-14</w:t>
            </w:r>
          </w:p>
        </w:tc>
        <w:tc>
          <w:tcPr>
            <w:tcW w:type="dxa" w:w="2948"/>
            <w:shd w:val="clear" w:fill="F7F9FB"/>
          </w:tcPr>
          <w:p>
            <w:pPr>
              <w:spacing w:after="20" w:before="20" w:line="240" w:lineRule="auto"/>
            </w:pPr>
            <w:r/>
            <w:r>
              <w:rPr>
                <w:rFonts w:ascii="Calibri" w:hAnsi="Calibri"/>
                <w:b w:val="0"/>
                <w:sz w:val="15"/>
              </w:rPr>
              <w:t>Stock-out tolerance</w:t>
            </w:r>
          </w:p>
        </w:tc>
        <w:tc>
          <w:tcPr>
            <w:tcW w:type="dxa" w:w="1474"/>
            <w:shd w:val="clear" w:fill="F7F9FB"/>
          </w:tcPr>
          <w:p>
            <w:pPr>
              <w:spacing w:after="20" w:before="20" w:line="240" w:lineRule="auto"/>
              <w:jc w:val="center"/>
            </w:pPr>
            <w:r/>
            <w:r>
              <w:rPr>
                <w:rFonts w:ascii="Calibri" w:hAnsi="Calibri"/>
                <w:b w:val="0"/>
                <w:sz w:val="15"/>
              </w:rPr>
              <w:t>0</w:t>
            </w:r>
          </w:p>
        </w:tc>
        <w:tc>
          <w:tcPr>
            <w:tcW w:type="dxa" w:w="907"/>
            <w:shd w:val="clear" w:fill="F7F9FB"/>
          </w:tcPr>
          <w:p>
            <w:pPr>
              <w:spacing w:after="20" w:before="20" w:line="240" w:lineRule="auto"/>
              <w:jc w:val="center"/>
            </w:pPr>
            <w:r/>
            <w:r>
              <w:rPr>
                <w:rFonts w:ascii="Calibri" w:hAnsi="Calibri"/>
                <w:b w:val="0"/>
                <w:sz w:val="15"/>
              </w:rPr>
              <w:t>Items</w:t>
            </w:r>
          </w:p>
        </w:tc>
        <w:tc>
          <w:tcPr>
            <w:tcW w:type="dxa" w:w="3742"/>
            <w:shd w:val="clear" w:fill="F7F9FB"/>
          </w:tcPr>
          <w:p>
            <w:pPr>
              <w:spacing w:after="20" w:before="20" w:line="240" w:lineRule="auto"/>
            </w:pPr>
            <w:r/>
            <w:r>
              <w:rPr>
                <w:rFonts w:ascii="Calibri" w:hAnsi="Calibri"/>
                <w:b w:val="0"/>
                <w:sz w:val="15"/>
              </w:rPr>
              <w:t>Any critical item below 15 days of cover is a service risk</w:t>
            </w:r>
          </w:p>
        </w:tc>
      </w:tr>
      <w:tr>
        <w:tc>
          <w:tcPr>
            <w:tcW w:type="dxa" w:w="680"/>
          </w:tcPr>
          <w:p>
            <w:pPr>
              <w:spacing w:after="20" w:before="20" w:line="240" w:lineRule="auto"/>
              <w:jc w:val="center"/>
            </w:pPr>
            <w:r/>
            <w:r>
              <w:rPr>
                <w:rFonts w:ascii="Calibri" w:hAnsi="Calibri"/>
                <w:b w:val="0"/>
                <w:sz w:val="15"/>
              </w:rPr>
              <w:t>P-15</w:t>
            </w:r>
          </w:p>
        </w:tc>
        <w:tc>
          <w:tcPr>
            <w:tcW w:type="dxa" w:w="2948"/>
          </w:tcPr>
          <w:p>
            <w:pPr>
              <w:spacing w:after="20" w:before="20" w:line="240" w:lineRule="auto"/>
            </w:pPr>
            <w:r/>
            <w:r>
              <w:rPr>
                <w:rFonts w:ascii="Calibri" w:hAnsi="Calibri"/>
                <w:b w:val="0"/>
                <w:sz w:val="15"/>
              </w:rPr>
              <w:t>Budget utilisation expectation</w:t>
            </w:r>
          </w:p>
        </w:tc>
        <w:tc>
          <w:tcPr>
            <w:tcW w:type="dxa" w:w="1474"/>
          </w:tcPr>
          <w:p>
            <w:pPr>
              <w:spacing w:after="20" w:before="20" w:line="240" w:lineRule="auto"/>
              <w:jc w:val="center"/>
            </w:pPr>
            <w:r/>
            <w:r>
              <w:rPr>
                <w:rFonts w:ascii="Calibri" w:hAnsi="Calibri"/>
                <w:b w:val="0"/>
                <w:sz w:val="15"/>
              </w:rPr>
              <w:t>elapsed+/-15%</w:t>
            </w:r>
          </w:p>
        </w:tc>
        <w:tc>
          <w:tcPr>
            <w:tcW w:type="dxa" w:w="907"/>
          </w:tcPr>
          <w:p>
            <w:pPr>
              <w:spacing w:after="20" w:before="20" w:line="240" w:lineRule="auto"/>
              <w:jc w:val="center"/>
            </w:pPr>
            <w:r/>
            <w:r>
              <w:rPr>
                <w:rFonts w:ascii="Calibri" w:hAnsi="Calibri"/>
                <w:b w:val="0"/>
                <w:sz w:val="15"/>
              </w:rPr>
              <w:t>%</w:t>
            </w:r>
          </w:p>
        </w:tc>
        <w:tc>
          <w:tcPr>
            <w:tcW w:type="dxa" w:w="3742"/>
          </w:tcPr>
          <w:p>
            <w:pPr>
              <w:spacing w:after="20" w:before="20" w:line="240" w:lineRule="auto"/>
            </w:pPr>
            <w:r/>
            <w:r>
              <w:rPr>
                <w:rFonts w:ascii="Calibri" w:hAnsi="Calibri"/>
                <w:b w:val="0"/>
                <w:sz w:val="15"/>
              </w:rPr>
              <w:t>Under or over this band requires explanation</w:t>
            </w:r>
          </w:p>
        </w:tc>
      </w:tr>
    </w:tbl>
    <w:p>
      <w:pPr>
        <w:spacing w:after="20"/>
      </w:pPr>
    </w:p>
    <w:p>
      <w:pPr>
        <w:pStyle w:val="Heading2"/>
      </w:pPr>
      <w:r>
        <w:t>15.3 Change control</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trPr>
        <w:tc>
          <w:tcPr>
            <w:tcW w:type="dxa" w:w="2041"/>
            <w:shd w:val="clear" w:fill="1F3B57"/>
          </w:tcPr>
          <w:p>
            <w:pPr>
              <w:spacing w:after="20" w:before="20" w:line="240" w:lineRule="auto"/>
            </w:pPr>
            <w:r/>
            <w:r>
              <w:rPr>
                <w:rFonts w:ascii="Calibri" w:hAnsi="Calibri"/>
                <w:b/>
                <w:color w:val="FFFFFF"/>
                <w:sz w:val="16"/>
              </w:rPr>
              <w:t>Change</w:t>
            </w:r>
          </w:p>
        </w:tc>
        <w:tc>
          <w:tcPr>
            <w:tcW w:type="dxa" w:w="1928"/>
            <w:shd w:val="clear" w:fill="1F3B57"/>
          </w:tcPr>
          <w:p>
            <w:pPr>
              <w:spacing w:after="20" w:before="20" w:line="240" w:lineRule="auto"/>
            </w:pPr>
            <w:r/>
            <w:r>
              <w:rPr>
                <w:rFonts w:ascii="Calibri" w:hAnsi="Calibri"/>
                <w:b/>
                <w:color w:val="FFFFFF"/>
                <w:sz w:val="16"/>
              </w:rPr>
              <w:t>Approval</w:t>
            </w:r>
          </w:p>
        </w:tc>
        <w:tc>
          <w:tcPr>
            <w:tcW w:type="dxa" w:w="3628"/>
            <w:shd w:val="clear" w:fill="1F3B57"/>
          </w:tcPr>
          <w:p>
            <w:pPr>
              <w:spacing w:after="20" w:before="20" w:line="240" w:lineRule="auto"/>
            </w:pPr>
            <w:r/>
            <w:r>
              <w:rPr>
                <w:rFonts w:ascii="Calibri" w:hAnsi="Calibri"/>
                <w:b/>
                <w:color w:val="FFFFFF"/>
                <w:sz w:val="16"/>
              </w:rPr>
              <w:t>Effect</w:t>
            </w:r>
          </w:p>
        </w:tc>
        <w:tc>
          <w:tcPr>
            <w:tcW w:type="dxa" w:w="2154"/>
            <w:shd w:val="clear" w:fill="1F3B57"/>
          </w:tcPr>
          <w:p>
            <w:pPr>
              <w:spacing w:after="20" w:before="20" w:line="240" w:lineRule="auto"/>
            </w:pPr>
            <w:r/>
            <w:r>
              <w:rPr>
                <w:rFonts w:ascii="Calibri" w:hAnsi="Calibri"/>
                <w:b/>
                <w:color w:val="FFFFFF"/>
                <w:sz w:val="16"/>
              </w:rPr>
              <w:t>Recorded where</w:t>
            </w:r>
          </w:p>
        </w:tc>
      </w:tr>
      <w:tr>
        <w:tc>
          <w:tcPr>
            <w:tcW w:type="dxa" w:w="2041"/>
          </w:tcPr>
          <w:p>
            <w:pPr>
              <w:spacing w:after="20" w:before="20" w:line="240" w:lineRule="auto"/>
            </w:pPr>
            <w:r/>
            <w:r>
              <w:rPr>
                <w:rFonts w:ascii="Calibri" w:hAnsi="Calibri"/>
                <w:b w:val="0"/>
                <w:sz w:val="16"/>
              </w:rPr>
              <w:t>Threshold (status band)</w:t>
            </w:r>
          </w:p>
        </w:tc>
        <w:tc>
          <w:tcPr>
            <w:tcW w:type="dxa" w:w="1928"/>
          </w:tcPr>
          <w:p>
            <w:pPr>
              <w:spacing w:after="20" w:before="20" w:line="240" w:lineRule="auto"/>
            </w:pPr>
            <w:r/>
            <w:r>
              <w:rPr>
                <w:rFonts w:ascii="Calibri" w:hAnsi="Calibri"/>
                <w:b w:val="0"/>
                <w:sz w:val="16"/>
              </w:rPr>
              <w:t>Business owner</w:t>
            </w:r>
          </w:p>
        </w:tc>
        <w:tc>
          <w:tcPr>
            <w:tcW w:type="dxa" w:w="3628"/>
          </w:tcPr>
          <w:p>
            <w:pPr>
              <w:spacing w:after="20" w:before="20" w:line="240" w:lineRule="auto"/>
            </w:pPr>
            <w:r/>
            <w:r>
              <w:rPr>
                <w:rFonts w:ascii="Calibri" w:hAnsi="Calibri"/>
                <w:b w:val="0"/>
                <w:sz w:val="16"/>
              </w:rPr>
              <w:t>All status flags and commentary lines from the next refresh</w:t>
            </w:r>
          </w:p>
        </w:tc>
        <w:tc>
          <w:tcPr>
            <w:tcW w:type="dxa" w:w="2154"/>
          </w:tcPr>
          <w:p>
            <w:pPr>
              <w:spacing w:after="20" w:before="20" w:line="240" w:lineRule="auto"/>
            </w:pPr>
            <w:r/>
            <w:r>
              <w:rPr>
                <w:rFonts w:ascii="Calibri" w:hAnsi="Calibri"/>
                <w:b w:val="0"/>
                <w:sz w:val="16"/>
              </w:rPr>
              <w:t>Configuration history with old value, new value, reason, date</w:t>
            </w:r>
          </w:p>
        </w:tc>
      </w:tr>
      <w:tr>
        <w:tc>
          <w:tcPr>
            <w:tcW w:type="dxa" w:w="2041"/>
            <w:shd w:val="clear" w:fill="F7F9FB"/>
          </w:tcPr>
          <w:p>
            <w:pPr>
              <w:spacing w:after="20" w:before="20" w:line="240" w:lineRule="auto"/>
            </w:pPr>
            <w:r/>
            <w:r>
              <w:rPr>
                <w:rFonts w:ascii="Calibri" w:hAnsi="Calibri"/>
                <w:b w:val="0"/>
                <w:sz w:val="16"/>
              </w:rPr>
              <w:t>Model assumption</w:t>
            </w:r>
          </w:p>
        </w:tc>
        <w:tc>
          <w:tcPr>
            <w:tcW w:type="dxa" w:w="1928"/>
            <w:shd w:val="clear" w:fill="F7F9FB"/>
          </w:tcPr>
          <w:p>
            <w:pPr>
              <w:spacing w:after="20" w:before="20" w:line="240" w:lineRule="auto"/>
            </w:pPr>
            <w:r/>
            <w:r>
              <w:rPr>
                <w:rFonts w:ascii="Calibri" w:hAnsi="Calibri"/>
                <w:b w:val="0"/>
                <w:sz w:val="16"/>
              </w:rPr>
              <w:t>Business owner with Finance</w:t>
            </w:r>
          </w:p>
        </w:tc>
        <w:tc>
          <w:tcPr>
            <w:tcW w:type="dxa" w:w="3628"/>
            <w:shd w:val="clear" w:fill="F7F9FB"/>
          </w:tcPr>
          <w:p>
            <w:pPr>
              <w:spacing w:after="20" w:before="20" w:line="240" w:lineRule="auto"/>
            </w:pPr>
            <w:r/>
            <w:r>
              <w:rPr>
                <w:rFonts w:ascii="Calibri" w:hAnsi="Calibri"/>
                <w:b w:val="0"/>
                <w:sz w:val="16"/>
              </w:rPr>
              <w:t>Every what-if output and scenario</w:t>
            </w:r>
          </w:p>
        </w:tc>
        <w:tc>
          <w:tcPr>
            <w:tcW w:type="dxa" w:w="2154"/>
            <w:shd w:val="clear" w:fill="F7F9FB"/>
          </w:tcPr>
          <w:p>
            <w:pPr>
              <w:spacing w:after="20" w:before="20" w:line="240" w:lineRule="auto"/>
            </w:pPr>
            <w:r/>
            <w:r>
              <w:rPr>
                <w:rFonts w:ascii="Calibri" w:hAnsi="Calibri"/>
                <w:b w:val="0"/>
                <w:sz w:val="16"/>
              </w:rPr>
              <w:t>Same, plus a note in the quarterly review minutes</w:t>
            </w:r>
          </w:p>
        </w:tc>
      </w:tr>
      <w:tr>
        <w:tc>
          <w:tcPr>
            <w:tcW w:type="dxa" w:w="2041"/>
          </w:tcPr>
          <w:p>
            <w:pPr>
              <w:spacing w:after="20" w:before="20" w:line="240" w:lineRule="auto"/>
            </w:pPr>
            <w:r/>
            <w:r>
              <w:rPr>
                <w:rFonts w:ascii="Calibri" w:hAnsi="Calibri"/>
                <w:b w:val="0"/>
                <w:sz w:val="16"/>
              </w:rPr>
              <w:t>New or edited scenario</w:t>
            </w:r>
          </w:p>
        </w:tc>
        <w:tc>
          <w:tcPr>
            <w:tcW w:type="dxa" w:w="1928"/>
          </w:tcPr>
          <w:p>
            <w:pPr>
              <w:spacing w:after="20" w:before="20" w:line="240" w:lineRule="auto"/>
            </w:pPr>
            <w:r/>
            <w:r>
              <w:rPr>
                <w:rFonts w:ascii="Calibri" w:hAnsi="Calibri"/>
                <w:b w:val="0"/>
                <w:sz w:val="16"/>
              </w:rPr>
              <w:t>Business analyst, noted to the owner</w:t>
            </w:r>
          </w:p>
        </w:tc>
        <w:tc>
          <w:tcPr>
            <w:tcW w:type="dxa" w:w="3628"/>
          </w:tcPr>
          <w:p>
            <w:pPr>
              <w:spacing w:after="20" w:before="20" w:line="240" w:lineRule="auto"/>
            </w:pPr>
            <w:r/>
            <w:r>
              <w:rPr>
                <w:rFonts w:ascii="Calibri" w:hAnsi="Calibri"/>
                <w:b w:val="0"/>
                <w:sz w:val="16"/>
              </w:rPr>
              <w:t>Scenario summary, sensitivity and documents</w:t>
            </w:r>
          </w:p>
        </w:tc>
        <w:tc>
          <w:tcPr>
            <w:tcW w:type="dxa" w:w="2154"/>
          </w:tcPr>
          <w:p>
            <w:pPr>
              <w:spacing w:after="20" w:before="20" w:line="240" w:lineRule="auto"/>
            </w:pPr>
            <w:r/>
            <w:r>
              <w:rPr>
                <w:rFonts w:ascii="Calibri" w:hAnsi="Calibri"/>
                <w:b w:val="0"/>
                <w:sz w:val="16"/>
              </w:rPr>
              <w:t>Configuration file, with an identifier and a rationale</w:t>
            </w:r>
          </w:p>
        </w:tc>
      </w:tr>
      <w:tr>
        <w:tc>
          <w:tcPr>
            <w:tcW w:type="dxa" w:w="2041"/>
            <w:shd w:val="clear" w:fill="F7F9FB"/>
          </w:tcPr>
          <w:p>
            <w:pPr>
              <w:spacing w:after="20" w:before="20" w:line="240" w:lineRule="auto"/>
            </w:pPr>
            <w:r/>
            <w:r>
              <w:rPr>
                <w:rFonts w:ascii="Calibri" w:hAnsi="Calibri"/>
                <w:b w:val="0"/>
                <w:sz w:val="16"/>
              </w:rPr>
              <w:t>New question</w:t>
            </w:r>
          </w:p>
        </w:tc>
        <w:tc>
          <w:tcPr>
            <w:tcW w:type="dxa" w:w="1928"/>
            <w:shd w:val="clear" w:fill="F7F9FB"/>
          </w:tcPr>
          <w:p>
            <w:pPr>
              <w:spacing w:after="20" w:before="20" w:line="240" w:lineRule="auto"/>
            </w:pPr>
            <w:r/>
            <w:r>
              <w:rPr>
                <w:rFonts w:ascii="Calibri" w:hAnsi="Calibri"/>
                <w:b w:val="0"/>
                <w:sz w:val="16"/>
              </w:rPr>
              <w:t>Business owner</w:t>
            </w:r>
          </w:p>
        </w:tc>
        <w:tc>
          <w:tcPr>
            <w:tcW w:type="dxa" w:w="3628"/>
            <w:shd w:val="clear" w:fill="F7F9FB"/>
          </w:tcPr>
          <w:p>
            <w:pPr>
              <w:spacing w:after="20" w:before="20" w:line="240" w:lineRule="auto"/>
            </w:pPr>
            <w:r/>
            <w:r>
              <w:rPr>
                <w:rFonts w:ascii="Calibri" w:hAnsi="Calibri"/>
                <w:b w:val="0"/>
                <w:sz w:val="16"/>
              </w:rPr>
              <w:t>Question bank and coverage map</w:t>
            </w:r>
          </w:p>
        </w:tc>
        <w:tc>
          <w:tcPr>
            <w:tcW w:type="dxa" w:w="2154"/>
            <w:shd w:val="clear" w:fill="F7F9FB"/>
          </w:tcPr>
          <w:p>
            <w:pPr>
              <w:spacing w:after="20" w:before="20" w:line="240" w:lineRule="auto"/>
            </w:pPr>
            <w:r/>
            <w:r>
              <w:rPr>
                <w:rFonts w:ascii="Calibri" w:hAnsi="Calibri"/>
                <w:b w:val="0"/>
                <w:sz w:val="16"/>
              </w:rPr>
              <w:t>Question bank with a BRD reference</w:t>
            </w:r>
          </w:p>
        </w:tc>
      </w:tr>
      <w:tr>
        <w:tc>
          <w:tcPr>
            <w:tcW w:type="dxa" w:w="2041"/>
          </w:tcPr>
          <w:p>
            <w:pPr>
              <w:spacing w:after="20" w:before="20" w:line="240" w:lineRule="auto"/>
            </w:pPr>
            <w:r/>
            <w:r>
              <w:rPr>
                <w:rFonts w:ascii="Calibri" w:hAnsi="Calibri"/>
                <w:b w:val="0"/>
                <w:sz w:val="16"/>
              </w:rPr>
              <w:t>KPI definition change</w:t>
            </w:r>
          </w:p>
        </w:tc>
        <w:tc>
          <w:tcPr>
            <w:tcW w:type="dxa" w:w="1928"/>
          </w:tcPr>
          <w:p>
            <w:pPr>
              <w:spacing w:after="20" w:before="20" w:line="240" w:lineRule="auto"/>
            </w:pPr>
            <w:r/>
            <w:r>
              <w:rPr>
                <w:rFonts w:ascii="Calibri" w:hAnsi="Calibri"/>
                <w:b w:val="0"/>
                <w:sz w:val="16"/>
              </w:rPr>
              <w:t>Steering group</w:t>
            </w:r>
          </w:p>
        </w:tc>
        <w:tc>
          <w:tcPr>
            <w:tcW w:type="dxa" w:w="3628"/>
          </w:tcPr>
          <w:p>
            <w:pPr>
              <w:spacing w:after="20" w:before="20" w:line="240" w:lineRule="auto"/>
            </w:pPr>
            <w:r/>
            <w:r>
              <w:rPr>
                <w:rFonts w:ascii="Calibri" w:hAnsi="Calibri"/>
                <w:b w:val="0"/>
                <w:sz w:val="16"/>
              </w:rPr>
              <w:t>Every reported figure, and comparability with history</w:t>
            </w:r>
          </w:p>
        </w:tc>
        <w:tc>
          <w:tcPr>
            <w:tcW w:type="dxa" w:w="2154"/>
          </w:tcPr>
          <w:p>
            <w:pPr>
              <w:spacing w:after="20" w:before="20" w:line="240" w:lineRule="auto"/>
            </w:pPr>
            <w:r/>
            <w:r>
              <w:rPr>
                <w:rFonts w:ascii="Calibri" w:hAnsi="Calibri"/>
                <w:b w:val="0"/>
                <w:sz w:val="16"/>
              </w:rPr>
              <w:t>BRD change control log</w:t>
            </w:r>
          </w:p>
        </w:tc>
      </w:tr>
    </w:tbl>
    <w:p>
      <w:pPr>
        <w:spacing w:after="20"/>
      </w:pPr>
    </w:p>
    <w:p>
      <w:pPr>
        <w:pStyle w:val="Heading2"/>
      </w:pPr>
      <w:r>
        <w:t>15.4 Rules for changing a parameter</w:t>
      </w:r>
    </w:p>
    <w:p>
      <w:pPr>
        <w:pStyle w:val="ListBullet"/>
        <w:spacing w:after="50"/>
        <w:ind w:left="340"/>
      </w:pPr>
      <w:r>
        <w:t xml:space="preserve"> Change the value in the configuration file, never in a report or a workbook cell.</w:t>
      </w:r>
    </w:p>
    <w:p>
      <w:pPr>
        <w:pStyle w:val="ListBullet"/>
        <w:spacing w:after="50"/>
        <w:ind w:left="340"/>
      </w:pPr>
      <w:r>
        <w:t xml:space="preserve"> Record the old value, the new value, the reason, the approver and the effective date before the next refresh.</w:t>
      </w:r>
    </w:p>
    <w:p>
      <w:pPr>
        <w:pStyle w:val="ListBullet"/>
        <w:spacing w:after="50"/>
        <w:ind w:left="340"/>
      </w:pPr>
      <w:r>
        <w:t xml:space="preserve"> Re-run the full refresh so that every artefact is rebuilt from the same numbers; do not hand-edit outputs.</w:t>
      </w:r>
    </w:p>
    <w:p>
      <w:pPr>
        <w:pStyle w:val="ListBullet"/>
        <w:spacing w:after="50"/>
        <w:ind w:left="340"/>
      </w:pPr>
      <w:r>
        <w:t xml:space="preserve"> A parameter change applies from the next refresh forward. Historical snapshots keep the parameters they were built with.</w:t>
      </w:r>
    </w:p>
    <w:p>
      <w:pPr>
        <w:pStyle w:val="ListBullet"/>
        <w:spacing w:after="50"/>
        <w:ind w:left="340"/>
      </w:pPr>
      <w:r>
        <w:t xml:space="preserve"> Re-read the affected commentary: a threshold change can close open actions or open new ones, and both need a decision.</w:t>
      </w:r>
    </w:p>
    <w:p>
      <w:pPr>
        <w:pStyle w:val="ListBullet"/>
        <w:spacing w:after="50"/>
        <w:ind w:left="340"/>
      </w:pPr>
      <w:r>
        <w:t xml:space="preserve"> Review the whole set twice a year, and after any structural change such as a new grant, a new project or a system change.</w:t>
      </w:r>
    </w:p>
    <w:p/>
    <w:p>
      <w:pPr>
        <w:spacing w:after="100"/>
        <w:jc w:val="center"/>
      </w:pPr>
      <w:r>
        <w:rPr>
          <w:b w:val="0"/>
          <w:i/>
          <w:color w:val="595959"/>
          <w:sz w:val="17"/>
        </w:rPr>
        <w:t>— End of document —</w:t>
      </w:r>
    </w:p>
    <w:sectPr w:rsidR="00FC693F" w:rsidRPr="0006063C" w:rsidSect="00034616">
      <w:footerReference w:type="default" r:id="rId9"/>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5"/>
      </w:rPr>
      <w:t xml:space="preserve">Vital Pakistan Trust  |  Analytics Question Bank &amp; Data Commentary Guide  |  v1.0  |  Internal – Confidential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0"/>
      <w:outlineLvl w:val="0"/>
    </w:pPr>
    <w:rPr>
      <w:rFonts w:asciiTheme="majorHAnsi" w:eastAsiaTheme="majorEastAsia" w:hAnsiTheme="majorHAnsi" w:cstheme="majorBidi" w:ascii="Calibri" w:hAnsi="Calibri"/>
      <w:b/>
      <w:bCs/>
      <w:color w:val="1F3B57"/>
      <w:sz w:val="28"/>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ascii="Calibri" w:hAnsi="Calibri"/>
      <w:b/>
      <w:bCs/>
      <w:color w:val="1F3B5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9595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