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b/>
          <w:color w:val="595959"/>
          <w:sz w:val="22"/>
        </w:rPr>
        <w:t>VITAL PAKISTAN TRUST</w:t>
      </w:r>
    </w:p>
    <w:p>
      <w:pPr>
        <w:spacing w:after="40"/>
      </w:pPr>
      <w:r>
        <w:rPr>
          <w:b/>
          <w:color w:val="1F3B57"/>
          <w:sz w:val="60"/>
        </w:rPr>
        <w:t>Business Requirements Document</w:t>
      </w:r>
    </w:p>
    <w:p>
      <w:pPr>
        <w:spacing w:after="0"/>
      </w:pPr>
      <w:r>
        <w:rPr>
          <w:color w:val="1F3B57"/>
          <w:sz w:val="40"/>
        </w:rPr>
        <w:t>Consumption Analysis Dashboard</w:t>
      </w:r>
    </w:p>
    <w:p>
      <w:pPr>
        <w:spacing w:after="280"/>
        <w:pBdr>
          <w:bottom w:val="single" w:sz="8" w:space="3" w:color="1F3B57"/>
        </w:pBdr>
      </w:pPr>
      <w:r>
        <w:rPr>
          <w:color w:val="595959"/>
          <w:sz w:val="24"/>
        </w:rPr>
        <w:t>Consumption Analysis in View of Current Projects and Products</w:t>
      </w:r>
    </w:p>
    <w:tbl>
      <w:tblPr>
        <w:tblStyle w:val="TableGrid"/>
        <w:tblW w:type="auto" w:w="0"/>
        <w:jc w:val="center"/>
        <w:tblLayout w:type="fixed"/>
        <w:tblLook w:firstColumn="1" w:firstRow="1" w:lastColumn="0" w:lastRow="0" w:noHBand="0" w:noVBand="1" w:val="04A0"/>
      </w:tblPr>
      <w:tblGrid>
        <w:gridCol w:w="5043"/>
        <w:gridCol w:w="5043"/>
      </w:tblGrid>
      <w:tr>
        <w:trPr>
          <w:tblHeader/>
        </w:trPr>
        <w:tc>
          <w:tcPr>
            <w:tcW w:type="dxa" w:w="2381"/>
            <w:shd w:val="clear" w:fill="1F3B57"/>
          </w:tcPr>
          <w:p>
            <w:pPr>
              <w:spacing w:after="20" w:before="20" w:line="240" w:lineRule="auto"/>
            </w:pPr>
            <w:r/>
            <w:r>
              <w:rPr>
                <w:rFonts w:ascii="Calibri" w:hAnsi="Calibri"/>
                <w:b/>
                <w:color w:val="FFFFFF"/>
                <w:sz w:val="18"/>
              </w:rPr>
              <w:t>Item</w:t>
            </w:r>
          </w:p>
        </w:tc>
        <w:tc>
          <w:tcPr>
            <w:tcW w:type="dxa" w:w="7370"/>
            <w:shd w:val="clear" w:fill="1F3B57"/>
          </w:tcPr>
          <w:p>
            <w:pPr>
              <w:spacing w:after="20" w:before="20" w:line="240" w:lineRule="auto"/>
            </w:pPr>
            <w:r/>
            <w:r>
              <w:rPr>
                <w:rFonts w:ascii="Calibri" w:hAnsi="Calibri"/>
                <w:b/>
                <w:color w:val="FFFFFF"/>
                <w:sz w:val="18"/>
              </w:rPr>
              <w:t>Detail</w:t>
            </w:r>
          </w:p>
        </w:tc>
      </w:tr>
      <w:tr>
        <w:tc>
          <w:tcPr>
            <w:tcW w:type="dxa" w:w="2381"/>
          </w:tcPr>
          <w:p>
            <w:pPr>
              <w:spacing w:after="20" w:before="20" w:line="240" w:lineRule="auto"/>
            </w:pPr>
            <w:r/>
            <w:r>
              <w:rPr>
                <w:rFonts w:ascii="Calibri" w:hAnsi="Calibri"/>
                <w:b w:val="0"/>
                <w:sz w:val="18"/>
              </w:rPr>
              <w:t>Document reference</w:t>
            </w:r>
          </w:p>
        </w:tc>
        <w:tc>
          <w:tcPr>
            <w:tcW w:type="dxa" w:w="7370"/>
          </w:tcPr>
          <w:p>
            <w:pPr>
              <w:spacing w:after="20" w:before="20" w:line="240" w:lineRule="auto"/>
            </w:pPr>
            <w:r/>
            <w:r>
              <w:rPr>
                <w:rFonts w:ascii="Calibri" w:hAnsi="Calibri"/>
                <w:b w:val="0"/>
                <w:sz w:val="18"/>
              </w:rPr>
              <w:t>VPT-BRD-PRC-001</w:t>
            </w:r>
          </w:p>
        </w:tc>
      </w:tr>
      <w:tr>
        <w:tc>
          <w:tcPr>
            <w:tcW w:type="dxa" w:w="2381"/>
            <w:shd w:val="clear" w:fill="F7F9FB"/>
          </w:tcPr>
          <w:p>
            <w:pPr>
              <w:spacing w:after="20" w:before="20" w:line="240" w:lineRule="auto"/>
            </w:pPr>
            <w:r/>
            <w:r>
              <w:rPr>
                <w:rFonts w:ascii="Calibri" w:hAnsi="Calibri"/>
                <w:b w:val="0"/>
                <w:sz w:val="18"/>
              </w:rPr>
              <w:t>Version</w:t>
            </w:r>
          </w:p>
        </w:tc>
        <w:tc>
          <w:tcPr>
            <w:tcW w:type="dxa" w:w="7370"/>
            <w:shd w:val="clear" w:fill="F7F9FB"/>
          </w:tcPr>
          <w:p>
            <w:pPr>
              <w:spacing w:after="20" w:before="20" w:line="240" w:lineRule="auto"/>
            </w:pPr>
            <w:r/>
            <w:r>
              <w:rPr>
                <w:rFonts w:ascii="Calibri" w:hAnsi="Calibri"/>
                <w:b w:val="0"/>
                <w:sz w:val="18"/>
              </w:rPr>
              <w:t>1.0 – For Review and Approval</w:t>
            </w:r>
          </w:p>
        </w:tc>
      </w:tr>
      <w:tr>
        <w:tc>
          <w:tcPr>
            <w:tcW w:type="dxa" w:w="2381"/>
          </w:tcPr>
          <w:p>
            <w:pPr>
              <w:spacing w:after="20" w:before="20" w:line="240" w:lineRule="auto"/>
            </w:pPr>
            <w:r/>
            <w:r>
              <w:rPr>
                <w:rFonts w:ascii="Calibri" w:hAnsi="Calibri"/>
                <w:b w:val="0"/>
                <w:sz w:val="18"/>
              </w:rPr>
              <w:t>Date</w:t>
            </w:r>
          </w:p>
        </w:tc>
        <w:tc>
          <w:tcPr>
            <w:tcW w:type="dxa" w:w="7370"/>
          </w:tcPr>
          <w:p>
            <w:pPr>
              <w:spacing w:after="20" w:before="20" w:line="240" w:lineRule="auto"/>
            </w:pPr>
            <w:r/>
            <w:r>
              <w:rPr>
                <w:rFonts w:ascii="Calibri" w:hAnsi="Calibri"/>
                <w:b w:val="0"/>
                <w:sz w:val="18"/>
              </w:rPr>
              <w:t>29 October 2026</w:t>
            </w:r>
          </w:p>
        </w:tc>
      </w:tr>
      <w:tr>
        <w:tc>
          <w:tcPr>
            <w:tcW w:type="dxa" w:w="2381"/>
            <w:shd w:val="clear" w:fill="F7F9FB"/>
          </w:tcPr>
          <w:p>
            <w:pPr>
              <w:spacing w:after="20" w:before="20" w:line="240" w:lineRule="auto"/>
            </w:pPr>
            <w:r/>
            <w:r>
              <w:rPr>
                <w:rFonts w:ascii="Calibri" w:hAnsi="Calibri"/>
                <w:b w:val="0"/>
                <w:sz w:val="18"/>
              </w:rPr>
              <w:t>Business owner</w:t>
            </w:r>
          </w:p>
        </w:tc>
        <w:tc>
          <w:tcPr>
            <w:tcW w:type="dxa" w:w="7370"/>
            <w:shd w:val="clear" w:fill="F7F9FB"/>
          </w:tcPr>
          <w:p>
            <w:pPr>
              <w:spacing w:after="20" w:before="20" w:line="240" w:lineRule="auto"/>
            </w:pPr>
            <w:r/>
            <w:r>
              <w:rPr>
                <w:rFonts w:ascii="Calibri" w:hAnsi="Calibri"/>
                <w:b w:val="0"/>
                <w:sz w:val="18"/>
              </w:rPr>
              <w:t>Head of Procurement &amp; Supply Chain</w:t>
            </w:r>
          </w:p>
        </w:tc>
      </w:tr>
      <w:tr>
        <w:tc>
          <w:tcPr>
            <w:tcW w:type="dxa" w:w="2381"/>
          </w:tcPr>
          <w:p>
            <w:pPr>
              <w:spacing w:after="20" w:before="20" w:line="240" w:lineRule="auto"/>
            </w:pPr>
            <w:r/>
            <w:r>
              <w:rPr>
                <w:rFonts w:ascii="Calibri" w:hAnsi="Calibri"/>
                <w:b w:val="0"/>
                <w:sz w:val="18"/>
              </w:rPr>
              <w:t>Co-owners</w:t>
            </w:r>
          </w:p>
        </w:tc>
        <w:tc>
          <w:tcPr>
            <w:tcW w:type="dxa" w:w="7370"/>
          </w:tcPr>
          <w:p>
            <w:pPr>
              <w:spacing w:after="20" w:before="20" w:line="240" w:lineRule="auto"/>
            </w:pPr>
            <w:r/>
            <w:r>
              <w:rPr>
                <w:rFonts w:ascii="Calibri" w:hAnsi="Calibri"/>
                <w:b w:val="0"/>
                <w:sz w:val="18"/>
              </w:rPr>
              <w:t>Director Programme; Manager Finance &amp; Grants</w:t>
            </w:r>
          </w:p>
        </w:tc>
      </w:tr>
      <w:tr>
        <w:tc>
          <w:tcPr>
            <w:tcW w:type="dxa" w:w="2381"/>
            <w:shd w:val="clear" w:fill="F7F9FB"/>
          </w:tcPr>
          <w:p>
            <w:pPr>
              <w:spacing w:after="20" w:before="20" w:line="240" w:lineRule="auto"/>
            </w:pPr>
            <w:r/>
            <w:r>
              <w:rPr>
                <w:rFonts w:ascii="Calibri" w:hAnsi="Calibri"/>
                <w:b w:val="0"/>
                <w:sz w:val="18"/>
              </w:rPr>
              <w:t>Prepared by</w:t>
            </w:r>
          </w:p>
        </w:tc>
        <w:tc>
          <w:tcPr>
            <w:tcW w:type="dxa" w:w="7370"/>
            <w:shd w:val="clear" w:fill="F7F9FB"/>
          </w:tcPr>
          <w:p>
            <w:pPr>
              <w:spacing w:after="20" w:before="20" w:line="240" w:lineRule="auto"/>
            </w:pPr>
            <w:r/>
            <w:r>
              <w:rPr>
                <w:rFonts w:ascii="Calibri" w:hAnsi="Calibri"/>
                <w:b w:val="0"/>
                <w:sz w:val="18"/>
              </w:rPr>
              <w:t>Business Analysis – Digital Transformation</w:t>
            </w:r>
          </w:p>
        </w:tc>
      </w:tr>
      <w:tr>
        <w:tc>
          <w:tcPr>
            <w:tcW w:type="dxa" w:w="2381"/>
          </w:tcPr>
          <w:p>
            <w:pPr>
              <w:spacing w:after="20" w:before="20" w:line="240" w:lineRule="auto"/>
            </w:pPr>
            <w:r/>
            <w:r>
              <w:rPr>
                <w:rFonts w:ascii="Calibri" w:hAnsi="Calibri"/>
                <w:b w:val="0"/>
                <w:sz w:val="18"/>
              </w:rPr>
              <w:t>Solution type</w:t>
            </w:r>
          </w:p>
        </w:tc>
        <w:tc>
          <w:tcPr>
            <w:tcW w:type="dxa" w:w="7370"/>
          </w:tcPr>
          <w:p>
            <w:pPr>
              <w:spacing w:after="20" w:before="20" w:line="240" w:lineRule="auto"/>
            </w:pPr>
            <w:r/>
            <w:r>
              <w:rPr>
                <w:rFonts w:ascii="Calibri" w:hAnsi="Calibri"/>
                <w:b w:val="0"/>
                <w:sz w:val="18"/>
              </w:rPr>
              <w:t>Management dashboard (Power BI) over an Oracle-sourced reporting mart</w:t>
            </w:r>
          </w:p>
        </w:tc>
      </w:tr>
      <w:tr>
        <w:tc>
          <w:tcPr>
            <w:tcW w:type="dxa" w:w="2381"/>
            <w:shd w:val="clear" w:fill="F7F9FB"/>
          </w:tcPr>
          <w:p>
            <w:pPr>
              <w:spacing w:after="20" w:before="20" w:line="240" w:lineRule="auto"/>
            </w:pPr>
            <w:r/>
            <w:r>
              <w:rPr>
                <w:rFonts w:ascii="Calibri" w:hAnsi="Calibri"/>
                <w:b w:val="0"/>
                <w:sz w:val="18"/>
              </w:rPr>
              <w:t>Primary data source</w:t>
            </w:r>
          </w:p>
        </w:tc>
        <w:tc>
          <w:tcPr>
            <w:tcW w:type="dxa" w:w="7370"/>
            <w:shd w:val="clear" w:fill="F7F9FB"/>
          </w:tcPr>
          <w:p>
            <w:pPr>
              <w:spacing w:after="20" w:before="20" w:line="240" w:lineRule="auto"/>
            </w:pPr>
            <w:r/>
            <w:r>
              <w:rPr>
                <w:rFonts w:ascii="Calibri" w:hAnsi="Calibri"/>
                <w:b w:val="0"/>
                <w:sz w:val="18"/>
              </w:rPr>
              <w:t>Oracle ERP – Procurement (PO), Inventory (GRN, Issues, Stock), Finance (cost, budget)</w:t>
            </w:r>
          </w:p>
        </w:tc>
      </w:tr>
      <w:tr>
        <w:tc>
          <w:tcPr>
            <w:tcW w:type="dxa" w:w="2381"/>
          </w:tcPr>
          <w:p>
            <w:pPr>
              <w:spacing w:after="20" w:before="20" w:line="240" w:lineRule="auto"/>
            </w:pPr>
            <w:r/>
            <w:r>
              <w:rPr>
                <w:rFonts w:ascii="Calibri" w:hAnsi="Calibri"/>
                <w:b w:val="0"/>
                <w:sz w:val="18"/>
              </w:rPr>
              <w:t>Companion documents</w:t>
            </w:r>
          </w:p>
        </w:tc>
        <w:tc>
          <w:tcPr>
            <w:tcW w:type="dxa" w:w="7370"/>
          </w:tcPr>
          <w:p>
            <w:pPr>
              <w:spacing w:after="20" w:before="20" w:line="240" w:lineRule="auto"/>
            </w:pPr>
            <w:r/>
            <w:r>
              <w:rPr>
                <w:rFonts w:ascii="Calibri" w:hAnsi="Calibri"/>
                <w:b w:val="0"/>
                <w:sz w:val="18"/>
              </w:rPr>
              <w:t>Problem Statement v1.0; Sample Dataset (VPT_Consumption_Dataset.xlsx); Analysis &amp; KPI Workbook</w:t>
            </w:r>
          </w:p>
        </w:tc>
      </w:tr>
      <w:tr>
        <w:tc>
          <w:tcPr>
            <w:tcW w:type="dxa" w:w="2381"/>
            <w:shd w:val="clear" w:fill="F7F9FB"/>
          </w:tcPr>
          <w:p>
            <w:pPr>
              <w:spacing w:after="20" w:before="20" w:line="240" w:lineRule="auto"/>
            </w:pPr>
            <w:r/>
            <w:r>
              <w:rPr>
                <w:rFonts w:ascii="Calibri" w:hAnsi="Calibri"/>
                <w:b w:val="0"/>
                <w:sz w:val="18"/>
              </w:rPr>
              <w:t>Distribution</w:t>
            </w:r>
          </w:p>
        </w:tc>
        <w:tc>
          <w:tcPr>
            <w:tcW w:type="dxa" w:w="7370"/>
            <w:shd w:val="clear" w:fill="F7F9FB"/>
          </w:tcPr>
          <w:p>
            <w:pPr>
              <w:spacing w:after="20" w:before="20" w:line="240" w:lineRule="auto"/>
            </w:pPr>
            <w:r/>
            <w:r>
              <w:rPr>
                <w:rFonts w:ascii="Calibri" w:hAnsi="Calibri"/>
                <w:b w:val="0"/>
                <w:sz w:val="18"/>
              </w:rPr>
              <w:t>Internal – Confidential. Not for circulation outside VPT without approval.</w:t>
            </w:r>
          </w:p>
        </w:tc>
      </w:tr>
    </w:tbl>
    <w:p>
      <w:pPr>
        <w:spacing w:after="20"/>
      </w:pPr>
    </w:p>
    <w:p/>
    <w:p>
      <w:pPr>
        <w:spacing w:after="100"/>
      </w:pPr>
      <w:r>
        <w:rPr>
          <w:b w:val="0"/>
          <w:i/>
          <w:color w:val="595959"/>
          <w:sz w:val="17"/>
        </w:rPr>
        <w:t>Approval of this document authorises the requirements baseline. Any subsequent change to scope, requirement priority or KPI definitions is subject to the change-control process in Section 22.</w:t>
      </w:r>
    </w:p>
    <w:p>
      <w:r>
        <w:br w:type="page"/>
      </w:r>
    </w:p>
    <w:p>
      <w:pPr>
        <w:pStyle w:val="Heading1"/>
      </w:pPr>
      <w:r>
        <w:t>Contents</w:t>
      </w:r>
    </w:p>
    <w:p>
      <w:pPr>
        <w:tabs>
          <w:tab w:pos="680" w:val="left"/>
        </w:tabs>
        <w:spacing w:after="20"/>
        <w:ind w:left="227"/>
      </w:pPr>
      <w:r>
        <w:rPr>
          <w:sz w:val="19"/>
        </w:rPr>
        <w:t>1.</w:t>
        <w:tab/>
        <w:t>Executive Summary</w:t>
      </w:r>
    </w:p>
    <w:p>
      <w:pPr>
        <w:tabs>
          <w:tab w:pos="680" w:val="left"/>
        </w:tabs>
        <w:spacing w:after="20"/>
        <w:ind w:left="227"/>
      </w:pPr>
      <w:r>
        <w:rPr>
          <w:sz w:val="19"/>
        </w:rPr>
        <w:t>2.</w:t>
        <w:tab/>
        <w:t>Introduction and Purpose</w:t>
      </w:r>
    </w:p>
    <w:p>
      <w:pPr>
        <w:tabs>
          <w:tab w:pos="680" w:val="left"/>
        </w:tabs>
        <w:spacing w:after="20"/>
        <w:ind w:left="227"/>
      </w:pPr>
      <w:r>
        <w:rPr>
          <w:sz w:val="19"/>
        </w:rPr>
        <w:t>3.</w:t>
        <w:tab/>
        <w:t>Business Context and Objectives</w:t>
      </w:r>
    </w:p>
    <w:p>
      <w:pPr>
        <w:tabs>
          <w:tab w:pos="680" w:val="left"/>
        </w:tabs>
        <w:spacing w:after="20"/>
        <w:ind w:left="227"/>
      </w:pPr>
      <w:r>
        <w:rPr>
          <w:sz w:val="19"/>
        </w:rPr>
        <w:t>4.</w:t>
        <w:tab/>
        <w:t>Problem Statement</w:t>
      </w:r>
    </w:p>
    <w:p>
      <w:pPr>
        <w:tabs>
          <w:tab w:pos="680" w:val="left"/>
        </w:tabs>
        <w:spacing w:after="20"/>
        <w:ind w:left="227"/>
      </w:pPr>
      <w:r>
        <w:rPr>
          <w:sz w:val="19"/>
        </w:rPr>
        <w:t>5.</w:t>
        <w:tab/>
        <w:t>Scope</w:t>
      </w:r>
    </w:p>
    <w:p>
      <w:pPr>
        <w:tabs>
          <w:tab w:pos="680" w:val="left"/>
        </w:tabs>
        <w:spacing w:after="20"/>
        <w:ind w:left="227"/>
      </w:pPr>
      <w:r>
        <w:rPr>
          <w:sz w:val="19"/>
        </w:rPr>
        <w:t>6.</w:t>
        <w:tab/>
        <w:t>Stakeholders, Users and RACI</w:t>
      </w:r>
    </w:p>
    <w:p>
      <w:pPr>
        <w:tabs>
          <w:tab w:pos="680" w:val="left"/>
        </w:tabs>
        <w:spacing w:after="20"/>
        <w:ind w:left="227"/>
      </w:pPr>
      <w:r>
        <w:rPr>
          <w:sz w:val="19"/>
        </w:rPr>
        <w:t>7.</w:t>
        <w:tab/>
        <w:t>Current State (As-Is)</w:t>
      </w:r>
    </w:p>
    <w:p>
      <w:pPr>
        <w:tabs>
          <w:tab w:pos="680" w:val="left"/>
        </w:tabs>
        <w:spacing w:after="20"/>
        <w:ind w:left="227"/>
      </w:pPr>
      <w:r>
        <w:rPr>
          <w:sz w:val="19"/>
        </w:rPr>
        <w:t>8.</w:t>
        <w:tab/>
        <w:t>Future State (To-Be)</w:t>
      </w:r>
    </w:p>
    <w:p>
      <w:pPr>
        <w:tabs>
          <w:tab w:pos="680" w:val="left"/>
        </w:tabs>
        <w:spacing w:after="20"/>
        <w:ind w:left="227"/>
      </w:pPr>
      <w:r>
        <w:rPr>
          <w:sz w:val="19"/>
        </w:rPr>
        <w:t>9.</w:t>
        <w:tab/>
        <w:t>Business Requirements</w:t>
      </w:r>
    </w:p>
    <w:p>
      <w:pPr>
        <w:tabs>
          <w:tab w:pos="680" w:val="left"/>
        </w:tabs>
        <w:spacing w:after="20"/>
        <w:ind w:left="227"/>
      </w:pPr>
      <w:r>
        <w:rPr>
          <w:sz w:val="19"/>
        </w:rPr>
        <w:t>10.</w:t>
        <w:tab/>
        <w:t>Functional Requirements</w:t>
      </w:r>
    </w:p>
    <w:p>
      <w:pPr>
        <w:tabs>
          <w:tab w:pos="680" w:val="left"/>
        </w:tabs>
        <w:spacing w:after="20"/>
        <w:ind w:left="227"/>
      </w:pPr>
      <w:r>
        <w:rPr>
          <w:sz w:val="19"/>
        </w:rPr>
        <w:t>11.</w:t>
        <w:tab/>
        <w:t>Dashboard and Report Specification</w:t>
      </w:r>
    </w:p>
    <w:p>
      <w:pPr>
        <w:tabs>
          <w:tab w:pos="680" w:val="left"/>
        </w:tabs>
        <w:spacing w:after="20"/>
        <w:ind w:left="227"/>
      </w:pPr>
      <w:r>
        <w:rPr>
          <w:sz w:val="19"/>
        </w:rPr>
        <w:t>12.</w:t>
        <w:tab/>
        <w:t>KPI Dictionary</w:t>
      </w:r>
    </w:p>
    <w:p>
      <w:pPr>
        <w:tabs>
          <w:tab w:pos="680" w:val="left"/>
        </w:tabs>
        <w:spacing w:after="20"/>
        <w:ind w:left="227"/>
      </w:pPr>
      <w:r>
        <w:rPr>
          <w:sz w:val="19"/>
        </w:rPr>
        <w:t>13.</w:t>
        <w:tab/>
        <w:t>Data Requirements and Oracle Source Mapping</w:t>
      </w:r>
    </w:p>
    <w:p>
      <w:pPr>
        <w:tabs>
          <w:tab w:pos="680" w:val="left"/>
        </w:tabs>
        <w:spacing w:after="20"/>
        <w:ind w:left="227"/>
      </w:pPr>
      <w:r>
        <w:rPr>
          <w:sz w:val="19"/>
        </w:rPr>
        <w:t>14.</w:t>
        <w:tab/>
        <w:t>Business Rules and Calculations</w:t>
      </w:r>
    </w:p>
    <w:p>
      <w:pPr>
        <w:tabs>
          <w:tab w:pos="680" w:val="left"/>
        </w:tabs>
        <w:spacing w:after="20"/>
        <w:ind w:left="227"/>
      </w:pPr>
      <w:r>
        <w:rPr>
          <w:sz w:val="19"/>
        </w:rPr>
        <w:t>15.</w:t>
        <w:tab/>
        <w:t>Data Quality Requirements</w:t>
      </w:r>
    </w:p>
    <w:p>
      <w:pPr>
        <w:tabs>
          <w:tab w:pos="680" w:val="left"/>
        </w:tabs>
        <w:spacing w:after="20"/>
        <w:ind w:left="227"/>
      </w:pPr>
      <w:r>
        <w:rPr>
          <w:sz w:val="19"/>
        </w:rPr>
        <w:t>16.</w:t>
        <w:tab/>
        <w:t>Non-Functional Requirements</w:t>
      </w:r>
    </w:p>
    <w:p>
      <w:pPr>
        <w:tabs>
          <w:tab w:pos="680" w:val="left"/>
        </w:tabs>
        <w:spacing w:after="20"/>
        <w:ind w:left="227"/>
      </w:pPr>
      <w:r>
        <w:rPr>
          <w:sz w:val="19"/>
        </w:rPr>
        <w:t>17.</w:t>
        <w:tab/>
        <w:t>Assumptions, Constraints and Dependencies</w:t>
      </w:r>
    </w:p>
    <w:p>
      <w:pPr>
        <w:tabs>
          <w:tab w:pos="680" w:val="left"/>
        </w:tabs>
        <w:spacing w:after="20"/>
        <w:ind w:left="227"/>
      </w:pPr>
      <w:r>
        <w:rPr>
          <w:sz w:val="19"/>
        </w:rPr>
        <w:t>18.</w:t>
        <w:tab/>
        <w:t>Risks and Mitigation</w:t>
      </w:r>
    </w:p>
    <w:p>
      <w:pPr>
        <w:tabs>
          <w:tab w:pos="680" w:val="left"/>
        </w:tabs>
        <w:spacing w:after="20"/>
        <w:ind w:left="227"/>
      </w:pPr>
      <w:r>
        <w:rPr>
          <w:sz w:val="19"/>
        </w:rPr>
        <w:t>19.</w:t>
        <w:tab/>
        <w:t>Acceptance Criteria and UAT</w:t>
      </w:r>
    </w:p>
    <w:p>
      <w:pPr>
        <w:tabs>
          <w:tab w:pos="680" w:val="left"/>
        </w:tabs>
        <w:spacing w:after="20"/>
        <w:ind w:left="227"/>
      </w:pPr>
      <w:r>
        <w:rPr>
          <w:sz w:val="19"/>
        </w:rPr>
        <w:t>20.</w:t>
        <w:tab/>
        <w:t>Delivery Approach, Phases and Timeline</w:t>
      </w:r>
    </w:p>
    <w:p>
      <w:pPr>
        <w:tabs>
          <w:tab w:pos="680" w:val="left"/>
        </w:tabs>
        <w:spacing w:after="20"/>
        <w:ind w:left="227"/>
      </w:pPr>
      <w:r>
        <w:rPr>
          <w:sz w:val="19"/>
        </w:rPr>
        <w:t>21.</w:t>
        <w:tab/>
        <w:t>Benefits and Success Measurement</w:t>
      </w:r>
    </w:p>
    <w:p>
      <w:pPr>
        <w:tabs>
          <w:tab w:pos="680" w:val="left"/>
        </w:tabs>
        <w:spacing w:after="20"/>
        <w:ind w:left="227"/>
      </w:pPr>
      <w:r>
        <w:rPr>
          <w:sz w:val="19"/>
        </w:rPr>
        <w:t>22.</w:t>
        <w:tab/>
        <w:t>Governance, Change Control and Support</w:t>
      </w:r>
    </w:p>
    <w:p>
      <w:pPr>
        <w:tabs>
          <w:tab w:pos="680" w:val="left"/>
        </w:tabs>
        <w:spacing w:after="20"/>
        <w:ind w:left="227"/>
      </w:pPr>
      <w:r>
        <w:rPr>
          <w:sz w:val="19"/>
        </w:rPr>
        <w:t>23.</w:t>
        <w:tab/>
        <w:t>Glossary</w:t>
      </w:r>
    </w:p>
    <w:p>
      <w:pPr>
        <w:tabs>
          <w:tab w:pos="680" w:val="left"/>
        </w:tabs>
        <w:spacing w:after="20"/>
        <w:ind w:left="227"/>
      </w:pPr>
      <w:r>
        <w:rPr>
          <w:sz w:val="19"/>
        </w:rPr>
        <w:t>A.</w:t>
        <w:tab/>
        <w:t>Appendix A – Reporting Data Model</w:t>
      </w:r>
    </w:p>
    <w:p>
      <w:pPr>
        <w:tabs>
          <w:tab w:pos="680" w:val="left"/>
        </w:tabs>
        <w:spacing w:after="20"/>
        <w:ind w:left="227"/>
      </w:pPr>
      <w:r>
        <w:rPr>
          <w:sz w:val="19"/>
        </w:rPr>
        <w:t>B.</w:t>
        <w:tab/>
        <w:t>Appendix B – Indicative Oracle Table Mapping</w:t>
      </w:r>
    </w:p>
    <w:p>
      <w:pPr>
        <w:tabs>
          <w:tab w:pos="680" w:val="left"/>
        </w:tabs>
        <w:spacing w:after="20"/>
        <w:ind w:left="227"/>
      </w:pPr>
      <w:r>
        <w:rPr>
          <w:sz w:val="19"/>
        </w:rPr>
        <w:t>C.</w:t>
        <w:tab/>
        <w:t>Appendix C – Dashboard Layout Wireframes</w:t>
      </w:r>
    </w:p>
    <w:p>
      <w:pPr>
        <w:tabs>
          <w:tab w:pos="680" w:val="left"/>
        </w:tabs>
        <w:spacing w:after="20"/>
        <w:ind w:left="227"/>
      </w:pPr>
      <w:r>
        <w:rPr>
          <w:sz w:val="19"/>
        </w:rPr>
        <w:t>D.</w:t>
        <w:tab/>
        <w:t>Appendix D – Sample Dataset Description</w:t>
      </w:r>
    </w:p>
    <w:p>
      <w:pPr>
        <w:tabs>
          <w:tab w:pos="680" w:val="left"/>
        </w:tabs>
        <w:spacing w:after="20"/>
        <w:ind w:left="227"/>
      </w:pPr>
      <w:r>
        <w:rPr>
          <w:sz w:val="19"/>
        </w:rPr>
        <w:t>E.</w:t>
        <w:tab/>
        <w:t>Appendix E – Requirement Traceability to Objectives</w:t>
      </w:r>
    </w:p>
    <w:p>
      <w:pPr>
        <w:pStyle w:val="Heading1"/>
      </w:pPr>
      <w:r>
        <w:t>1. Executive Summary</w:t>
      </w:r>
    </w:p>
    <w:p>
      <w:pPr>
        <w:spacing w:after="100"/>
      </w:pPr>
      <w:r>
        <w:rPr>
          <w:b w:val="0"/>
          <w:i w:val="0"/>
        </w:rPr>
        <w:t>Vital Pakistan Trust (VPT) runs ten concurrent health and nutrition projects funded by seven different donors and own sources. Each project consumes a continuous stream of medicines, consumables, laboratory supplies, nutrition commodities, equipment and general items. The transactions that record this consumption already exist in the Oracle ERP, but they are not presented in a form that allows management to compare what has been consumed against what has been purchased, by project and by product, over time.</w:t>
      </w:r>
    </w:p>
    <w:p>
      <w:pPr>
        <w:spacing w:after="100"/>
      </w:pPr>
      <w:r>
        <w:rPr>
          <w:b w:val="0"/>
          <w:i w:val="0"/>
        </w:rPr>
        <w:t>This Business Requirements Document (BRD) specifies a Consumption Analysis Dashboard that closes that gap. It defines what the business needs to see, how each measure is calculated, where the data comes from, and how the solution will be accepted. It does not prescribe the technical build in detail; the technical design, data model implementation and Power BI development follow in a separate solution design document.</w:t>
      </w:r>
    </w:p>
    <w:p>
      <w:pPr>
        <w:pStyle w:val="Heading2"/>
      </w:pPr>
      <w:r>
        <w:t>1.1 What the business will get</w:t>
      </w:r>
    </w:p>
    <w:p>
      <w:pPr>
        <w:pStyle w:val="ListBullet"/>
        <w:spacing w:after="50"/>
        <w:ind w:left="340"/>
      </w:pPr>
      <w:r>
        <w:rPr>
          <w:b/>
        </w:rPr>
        <w:t xml:space="preserve">One number. </w:t>
      </w:r>
      <w:r>
        <w:t>A single trusted view of consumption by project, product, category, warehouse and period, refreshed from Oracle without manual compilation.</w:t>
      </w:r>
    </w:p>
    <w:p>
      <w:pPr>
        <w:pStyle w:val="ListBullet"/>
        <w:spacing w:after="50"/>
        <w:ind w:left="340"/>
      </w:pPr>
      <w:r>
        <w:rPr>
          <w:b/>
        </w:rPr>
        <w:t xml:space="preserve">Consumption versus investment. </w:t>
      </w:r>
      <w:r>
        <w:t>Consumption value against procurement investment, per project and per product, with the ratio and variance made explicit — the core question this initiative exists to answer.</w:t>
      </w:r>
    </w:p>
    <w:p>
      <w:pPr>
        <w:pStyle w:val="ListBullet"/>
        <w:spacing w:after="50"/>
        <w:ind w:left="340"/>
      </w:pPr>
      <w:r>
        <w:rPr>
          <w:b/>
        </w:rPr>
        <w:t xml:space="preserve">Trend, not snapshots. </w:t>
      </w:r>
      <w:r>
        <w:t>Month-on-month trend, seasonality, growth and abnormal movements, with drill-down to the individual issue, PO and batch.</w:t>
      </w:r>
    </w:p>
    <w:p>
      <w:pPr>
        <w:pStyle w:val="ListBullet"/>
        <w:spacing w:after="50"/>
        <w:ind w:left="340"/>
      </w:pPr>
      <w:r>
        <w:rPr>
          <w:b/>
        </w:rPr>
        <w:t xml:space="preserve">Forward-looking procurement. </w:t>
      </w:r>
      <w:r>
        <w:t>Days of cover, stock turnover, slow-moving and near-expiry stock, stock-outs and open commitments — the evidence on which procurement plans are built.</w:t>
      </w:r>
    </w:p>
    <w:p>
      <w:pPr>
        <w:pStyle w:val="ListBullet"/>
        <w:spacing w:after="50"/>
        <w:ind w:left="340"/>
      </w:pPr>
      <w:r>
        <w:rPr>
          <w:b/>
        </w:rPr>
        <w:t xml:space="preserve">Value for money. </w:t>
      </w:r>
      <w:r>
        <w:t>Cost per beneficiary and cost per patient visit, linking product consumption to programme output.</w:t>
      </w:r>
    </w:p>
    <w:p>
      <w:pPr>
        <w:pStyle w:val="ListBullet"/>
        <w:spacing w:after="50"/>
        <w:ind w:left="340"/>
      </w:pPr>
      <w:r>
        <w:rPr>
          <w:b/>
        </w:rPr>
        <w:t xml:space="preserve">Controls and audit readiness. </w:t>
      </w:r>
      <w:r>
        <w:t>Automatic surfacing of unattributed consumption, zero-value purchases, duplicate receipts, cancelled orders and price variance.</w:t>
      </w:r>
    </w:p>
    <w:p>
      <w:pPr>
        <w:pStyle w:val="Heading2"/>
      </w:pPr>
      <w:r>
        <w:t>1.2 Headline requirements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trPr>
        <w:tc>
          <w:tcPr>
            <w:tcW w:type="dxa" w:w="567"/>
            <w:shd w:val="clear" w:fill="1F3B57"/>
          </w:tcPr>
          <w:p>
            <w:pPr>
              <w:spacing w:after="20" w:before="20" w:line="240" w:lineRule="auto"/>
            </w:pPr>
            <w:r/>
            <w:r>
              <w:rPr>
                <w:rFonts w:ascii="Calibri" w:hAnsi="Calibri"/>
                <w:b/>
                <w:color w:val="FFFFFF"/>
                <w:sz w:val="17"/>
              </w:rPr>
              <w:t>#</w:t>
            </w:r>
          </w:p>
        </w:tc>
        <w:tc>
          <w:tcPr>
            <w:tcW w:type="dxa" w:w="7824"/>
            <w:shd w:val="clear" w:fill="1F3B57"/>
          </w:tcPr>
          <w:p>
            <w:pPr>
              <w:spacing w:after="20" w:before="20" w:line="240" w:lineRule="auto"/>
            </w:pPr>
            <w:r/>
            <w:r>
              <w:rPr>
                <w:rFonts w:ascii="Calibri" w:hAnsi="Calibri"/>
                <w:b/>
                <w:color w:val="FFFFFF"/>
                <w:sz w:val="17"/>
              </w:rPr>
              <w:t>Requirement</w:t>
            </w:r>
          </w:p>
        </w:tc>
        <w:tc>
          <w:tcPr>
            <w:tcW w:type="dxa" w:w="1361"/>
            <w:shd w:val="clear" w:fill="1F3B57"/>
          </w:tcPr>
          <w:p>
            <w:pPr>
              <w:spacing w:after="20" w:before="20" w:line="240" w:lineRule="auto"/>
            </w:pPr>
            <w:r/>
            <w:r>
              <w:rPr>
                <w:rFonts w:ascii="Calibri" w:hAnsi="Calibri"/>
                <w:b/>
                <w:color w:val="FFFFFF"/>
                <w:sz w:val="17"/>
              </w:rPr>
              <w:t>Priority</w:t>
            </w:r>
          </w:p>
        </w:tc>
      </w:tr>
      <w:tr>
        <w:tc>
          <w:tcPr>
            <w:tcW w:type="dxa" w:w="567"/>
          </w:tcPr>
          <w:p>
            <w:pPr>
              <w:spacing w:after="20" w:before="20" w:line="240" w:lineRule="auto"/>
              <w:jc w:val="center"/>
            </w:pPr>
            <w:r/>
            <w:r>
              <w:rPr>
                <w:rFonts w:ascii="Calibri" w:hAnsi="Calibri"/>
                <w:b w:val="0"/>
                <w:sz w:val="17"/>
              </w:rPr>
              <w:t>1</w:t>
            </w:r>
          </w:p>
        </w:tc>
        <w:tc>
          <w:tcPr>
            <w:tcW w:type="dxa" w:w="7824"/>
          </w:tcPr>
          <w:p>
            <w:pPr>
              <w:spacing w:after="20" w:before="20" w:line="240" w:lineRule="auto"/>
            </w:pPr>
            <w:r/>
            <w:r>
              <w:rPr>
                <w:rFonts w:ascii="Calibri" w:hAnsi="Calibri"/>
                <w:b w:val="0"/>
                <w:sz w:val="17"/>
              </w:rPr>
              <w:t>Project-wise and product-wise consumption analysis for any selected period, with drill-down to transaction level.</w:t>
            </w:r>
          </w:p>
        </w:tc>
        <w:tc>
          <w:tcPr>
            <w:tcW w:type="dxa" w:w="1361"/>
          </w:tcPr>
          <w:p>
            <w:pPr>
              <w:spacing w:after="20" w:before="20" w:line="240" w:lineRule="auto"/>
              <w:jc w:val="center"/>
            </w:pPr>
            <w:r/>
            <w:r>
              <w:rPr>
                <w:rFonts w:ascii="Calibri" w:hAnsi="Calibri"/>
                <w:b w:val="0"/>
                <w:sz w:val="17"/>
              </w:rPr>
              <w:t>Must</w:t>
            </w:r>
          </w:p>
        </w:tc>
      </w:tr>
      <w:tr>
        <w:tc>
          <w:tcPr>
            <w:tcW w:type="dxa" w:w="567"/>
            <w:shd w:val="clear" w:fill="F7F9FB"/>
          </w:tcPr>
          <w:p>
            <w:pPr>
              <w:spacing w:after="20" w:before="20" w:line="240" w:lineRule="auto"/>
              <w:jc w:val="center"/>
            </w:pPr>
            <w:r/>
            <w:r>
              <w:rPr>
                <w:rFonts w:ascii="Calibri" w:hAnsi="Calibri"/>
                <w:b w:val="0"/>
                <w:sz w:val="17"/>
              </w:rPr>
              <w:t>2</w:t>
            </w:r>
          </w:p>
        </w:tc>
        <w:tc>
          <w:tcPr>
            <w:tcW w:type="dxa" w:w="7824"/>
            <w:shd w:val="clear" w:fill="F7F9FB"/>
          </w:tcPr>
          <w:p>
            <w:pPr>
              <w:spacing w:after="20" w:before="20" w:line="240" w:lineRule="auto"/>
            </w:pPr>
            <w:r/>
            <w:r>
              <w:rPr>
                <w:rFonts w:ascii="Calibri" w:hAnsi="Calibri"/>
                <w:b w:val="0"/>
                <w:sz w:val="17"/>
              </w:rPr>
              <w:t>Comparison of consumption value with procurement investment, showing ratio, variance and open commitments.</w:t>
            </w:r>
          </w:p>
        </w:tc>
        <w:tc>
          <w:tcPr>
            <w:tcW w:type="dxa" w:w="1361"/>
            <w:shd w:val="clear" w:fill="F7F9FB"/>
          </w:tcPr>
          <w:p>
            <w:pPr>
              <w:spacing w:after="20" w:before="20" w:line="240" w:lineRule="auto"/>
              <w:jc w:val="center"/>
            </w:pPr>
            <w:r/>
            <w:r>
              <w:rPr>
                <w:rFonts w:ascii="Calibri" w:hAnsi="Calibri"/>
                <w:b w:val="0"/>
                <w:sz w:val="17"/>
              </w:rPr>
              <w:t>Must</w:t>
            </w:r>
          </w:p>
        </w:tc>
      </w:tr>
      <w:tr>
        <w:tc>
          <w:tcPr>
            <w:tcW w:type="dxa" w:w="567"/>
          </w:tcPr>
          <w:p>
            <w:pPr>
              <w:spacing w:after="20" w:before="20" w:line="240" w:lineRule="auto"/>
              <w:jc w:val="center"/>
            </w:pPr>
            <w:r/>
            <w:r>
              <w:rPr>
                <w:rFonts w:ascii="Calibri" w:hAnsi="Calibri"/>
                <w:b w:val="0"/>
                <w:sz w:val="17"/>
              </w:rPr>
              <w:t>3</w:t>
            </w:r>
          </w:p>
        </w:tc>
        <w:tc>
          <w:tcPr>
            <w:tcW w:type="dxa" w:w="7824"/>
          </w:tcPr>
          <w:p>
            <w:pPr>
              <w:spacing w:after="20" w:before="20" w:line="240" w:lineRule="auto"/>
            </w:pPr>
            <w:r/>
            <w:r>
              <w:rPr>
                <w:rFonts w:ascii="Calibri" w:hAnsi="Calibri"/>
                <w:b w:val="0"/>
                <w:sz w:val="17"/>
              </w:rPr>
              <w:t>Trend analysis (month-on-month, moving average, seasonality) at total, project and product level.</w:t>
            </w:r>
          </w:p>
        </w:tc>
        <w:tc>
          <w:tcPr>
            <w:tcW w:type="dxa" w:w="1361"/>
          </w:tcPr>
          <w:p>
            <w:pPr>
              <w:spacing w:after="20" w:before="20" w:line="240" w:lineRule="auto"/>
              <w:jc w:val="center"/>
            </w:pPr>
            <w:r/>
            <w:r>
              <w:rPr>
                <w:rFonts w:ascii="Calibri" w:hAnsi="Calibri"/>
                <w:b w:val="0"/>
                <w:sz w:val="17"/>
              </w:rPr>
              <w:t>Must</w:t>
            </w:r>
          </w:p>
        </w:tc>
      </w:tr>
      <w:tr>
        <w:tc>
          <w:tcPr>
            <w:tcW w:type="dxa" w:w="567"/>
            <w:shd w:val="clear" w:fill="F7F9FB"/>
          </w:tcPr>
          <w:p>
            <w:pPr>
              <w:spacing w:after="20" w:before="20" w:line="240" w:lineRule="auto"/>
              <w:jc w:val="center"/>
            </w:pPr>
            <w:r/>
            <w:r>
              <w:rPr>
                <w:rFonts w:ascii="Calibri" w:hAnsi="Calibri"/>
                <w:b w:val="0"/>
                <w:sz w:val="17"/>
              </w:rPr>
              <w:t>4</w:t>
            </w:r>
          </w:p>
        </w:tc>
        <w:tc>
          <w:tcPr>
            <w:tcW w:type="dxa" w:w="7824"/>
            <w:shd w:val="clear" w:fill="F7F9FB"/>
          </w:tcPr>
          <w:p>
            <w:pPr>
              <w:spacing w:after="20" w:before="20" w:line="240" w:lineRule="auto"/>
            </w:pPr>
            <w:r/>
            <w:r>
              <w:rPr>
                <w:rFonts w:ascii="Calibri" w:hAnsi="Calibri"/>
                <w:b w:val="0"/>
                <w:sz w:val="17"/>
              </w:rPr>
              <w:t>Stock health analytics: on-hand, days of cover, turnover, slow-moving, near-expiry, expired and stock-out.</w:t>
            </w:r>
          </w:p>
        </w:tc>
        <w:tc>
          <w:tcPr>
            <w:tcW w:type="dxa" w:w="1361"/>
            <w:shd w:val="clear" w:fill="F7F9FB"/>
          </w:tcPr>
          <w:p>
            <w:pPr>
              <w:spacing w:after="20" w:before="20" w:line="240" w:lineRule="auto"/>
              <w:jc w:val="center"/>
            </w:pPr>
            <w:r/>
            <w:r>
              <w:rPr>
                <w:rFonts w:ascii="Calibri" w:hAnsi="Calibri"/>
                <w:b w:val="0"/>
                <w:sz w:val="17"/>
              </w:rPr>
              <w:t>Must</w:t>
            </w:r>
          </w:p>
        </w:tc>
      </w:tr>
      <w:tr>
        <w:tc>
          <w:tcPr>
            <w:tcW w:type="dxa" w:w="567"/>
          </w:tcPr>
          <w:p>
            <w:pPr>
              <w:spacing w:after="20" w:before="20" w:line="240" w:lineRule="auto"/>
              <w:jc w:val="center"/>
            </w:pPr>
            <w:r/>
            <w:r>
              <w:rPr>
                <w:rFonts w:ascii="Calibri" w:hAnsi="Calibri"/>
                <w:b w:val="0"/>
                <w:sz w:val="17"/>
              </w:rPr>
              <w:t>5</w:t>
            </w:r>
          </w:p>
        </w:tc>
        <w:tc>
          <w:tcPr>
            <w:tcW w:type="dxa" w:w="7824"/>
          </w:tcPr>
          <w:p>
            <w:pPr>
              <w:spacing w:after="20" w:before="20" w:line="240" w:lineRule="auto"/>
            </w:pPr>
            <w:r/>
            <w:r>
              <w:rPr>
                <w:rFonts w:ascii="Calibri" w:hAnsi="Calibri"/>
                <w:b w:val="0"/>
                <w:sz w:val="17"/>
              </w:rPr>
              <w:t>Budget versus consumption variance and burn rate by project and expense category.</w:t>
            </w:r>
          </w:p>
        </w:tc>
        <w:tc>
          <w:tcPr>
            <w:tcW w:type="dxa" w:w="1361"/>
          </w:tcPr>
          <w:p>
            <w:pPr>
              <w:spacing w:after="20" w:before="20" w:line="240" w:lineRule="auto"/>
              <w:jc w:val="center"/>
            </w:pPr>
            <w:r/>
            <w:r>
              <w:rPr>
                <w:rFonts w:ascii="Calibri" w:hAnsi="Calibri"/>
                <w:b w:val="0"/>
                <w:sz w:val="17"/>
              </w:rPr>
              <w:t>Must</w:t>
            </w:r>
          </w:p>
        </w:tc>
      </w:tr>
      <w:tr>
        <w:tc>
          <w:tcPr>
            <w:tcW w:type="dxa" w:w="567"/>
            <w:shd w:val="clear" w:fill="F7F9FB"/>
          </w:tcPr>
          <w:p>
            <w:pPr>
              <w:spacing w:after="20" w:before="20" w:line="240" w:lineRule="auto"/>
              <w:jc w:val="center"/>
            </w:pPr>
            <w:r/>
            <w:r>
              <w:rPr>
                <w:rFonts w:ascii="Calibri" w:hAnsi="Calibri"/>
                <w:b w:val="0"/>
                <w:sz w:val="17"/>
              </w:rPr>
              <w:t>6</w:t>
            </w:r>
          </w:p>
        </w:tc>
        <w:tc>
          <w:tcPr>
            <w:tcW w:type="dxa" w:w="7824"/>
            <w:shd w:val="clear" w:fill="F7F9FB"/>
          </w:tcPr>
          <w:p>
            <w:pPr>
              <w:spacing w:after="20" w:before="20" w:line="240" w:lineRule="auto"/>
            </w:pPr>
            <w:r/>
            <w:r>
              <w:rPr>
                <w:rFonts w:ascii="Calibri" w:hAnsi="Calibri"/>
                <w:b w:val="0"/>
                <w:sz w:val="17"/>
              </w:rPr>
              <w:t>Price-variance and supplier analytics to evidence value for money.</w:t>
            </w:r>
          </w:p>
        </w:tc>
        <w:tc>
          <w:tcPr>
            <w:tcW w:type="dxa" w:w="1361"/>
            <w:shd w:val="clear" w:fill="F7F9FB"/>
          </w:tcPr>
          <w:p>
            <w:pPr>
              <w:spacing w:after="20" w:before="20" w:line="240" w:lineRule="auto"/>
              <w:jc w:val="center"/>
            </w:pPr>
            <w:r/>
            <w:r>
              <w:rPr>
                <w:rFonts w:ascii="Calibri" w:hAnsi="Calibri"/>
                <w:b w:val="0"/>
                <w:sz w:val="17"/>
              </w:rPr>
              <w:t>Should</w:t>
            </w:r>
          </w:p>
        </w:tc>
      </w:tr>
      <w:tr>
        <w:tc>
          <w:tcPr>
            <w:tcW w:type="dxa" w:w="567"/>
          </w:tcPr>
          <w:p>
            <w:pPr>
              <w:spacing w:after="20" w:before="20" w:line="240" w:lineRule="auto"/>
              <w:jc w:val="center"/>
            </w:pPr>
            <w:r/>
            <w:r>
              <w:rPr>
                <w:rFonts w:ascii="Calibri" w:hAnsi="Calibri"/>
                <w:b w:val="0"/>
                <w:sz w:val="17"/>
              </w:rPr>
              <w:t>7</w:t>
            </w:r>
          </w:p>
        </w:tc>
        <w:tc>
          <w:tcPr>
            <w:tcW w:type="dxa" w:w="7824"/>
          </w:tcPr>
          <w:p>
            <w:pPr>
              <w:spacing w:after="20" w:before="20" w:line="240" w:lineRule="auto"/>
            </w:pPr>
            <w:r/>
            <w:r>
              <w:rPr>
                <w:rFonts w:ascii="Calibri" w:hAnsi="Calibri"/>
                <w:b w:val="0"/>
                <w:sz w:val="17"/>
              </w:rPr>
              <w:t>Cost per beneficiary and cost per visit using programme service-delivery counts.</w:t>
            </w:r>
          </w:p>
        </w:tc>
        <w:tc>
          <w:tcPr>
            <w:tcW w:type="dxa" w:w="1361"/>
          </w:tcPr>
          <w:p>
            <w:pPr>
              <w:spacing w:after="20" w:before="20" w:line="240" w:lineRule="auto"/>
              <w:jc w:val="center"/>
            </w:pPr>
            <w:r/>
            <w:r>
              <w:rPr>
                <w:rFonts w:ascii="Calibri" w:hAnsi="Calibri"/>
                <w:b w:val="0"/>
                <w:sz w:val="17"/>
              </w:rPr>
              <w:t>Should</w:t>
            </w:r>
          </w:p>
        </w:tc>
      </w:tr>
      <w:tr>
        <w:tc>
          <w:tcPr>
            <w:tcW w:type="dxa" w:w="567"/>
            <w:shd w:val="clear" w:fill="F7F9FB"/>
          </w:tcPr>
          <w:p>
            <w:pPr>
              <w:spacing w:after="20" w:before="20" w:line="240" w:lineRule="auto"/>
              <w:jc w:val="center"/>
            </w:pPr>
            <w:r/>
            <w:r>
              <w:rPr>
                <w:rFonts w:ascii="Calibri" w:hAnsi="Calibri"/>
                <w:b w:val="0"/>
                <w:sz w:val="17"/>
              </w:rPr>
              <w:t>8</w:t>
            </w:r>
          </w:p>
        </w:tc>
        <w:tc>
          <w:tcPr>
            <w:tcW w:type="dxa" w:w="7824"/>
            <w:shd w:val="clear" w:fill="F7F9FB"/>
          </w:tcPr>
          <w:p>
            <w:pPr>
              <w:spacing w:after="20" w:before="20" w:line="240" w:lineRule="auto"/>
            </w:pPr>
            <w:r/>
            <w:r>
              <w:rPr>
                <w:rFonts w:ascii="Calibri" w:hAnsi="Calibri"/>
                <w:b w:val="0"/>
                <w:sz w:val="17"/>
              </w:rPr>
              <w:t>Exception and data-quality panel with named owners for resolution.</w:t>
            </w:r>
          </w:p>
        </w:tc>
        <w:tc>
          <w:tcPr>
            <w:tcW w:type="dxa" w:w="1361"/>
            <w:shd w:val="clear" w:fill="F7F9FB"/>
          </w:tcPr>
          <w:p>
            <w:pPr>
              <w:spacing w:after="20" w:before="20" w:line="240" w:lineRule="auto"/>
              <w:jc w:val="center"/>
            </w:pPr>
            <w:r/>
            <w:r>
              <w:rPr>
                <w:rFonts w:ascii="Calibri" w:hAnsi="Calibri"/>
                <w:b w:val="0"/>
                <w:sz w:val="17"/>
              </w:rPr>
              <w:t>Must</w:t>
            </w:r>
          </w:p>
        </w:tc>
      </w:tr>
      <w:tr>
        <w:tc>
          <w:tcPr>
            <w:tcW w:type="dxa" w:w="567"/>
          </w:tcPr>
          <w:p>
            <w:pPr>
              <w:spacing w:after="20" w:before="20" w:line="240" w:lineRule="auto"/>
              <w:jc w:val="center"/>
            </w:pPr>
            <w:r/>
            <w:r>
              <w:rPr>
                <w:rFonts w:ascii="Calibri" w:hAnsi="Calibri"/>
                <w:b w:val="0"/>
                <w:sz w:val="17"/>
              </w:rPr>
              <w:t>9</w:t>
            </w:r>
          </w:p>
        </w:tc>
        <w:tc>
          <w:tcPr>
            <w:tcW w:type="dxa" w:w="7824"/>
          </w:tcPr>
          <w:p>
            <w:pPr>
              <w:spacing w:after="20" w:before="20" w:line="240" w:lineRule="auto"/>
            </w:pPr>
            <w:r/>
            <w:r>
              <w:rPr>
                <w:rFonts w:ascii="Calibri" w:hAnsi="Calibri"/>
                <w:b w:val="0"/>
                <w:sz w:val="17"/>
              </w:rPr>
              <w:t>Role-based security: project and donor users see only their own data.</w:t>
            </w:r>
          </w:p>
        </w:tc>
        <w:tc>
          <w:tcPr>
            <w:tcW w:type="dxa" w:w="1361"/>
          </w:tcPr>
          <w:p>
            <w:pPr>
              <w:spacing w:after="20" w:before="20" w:line="240" w:lineRule="auto"/>
              <w:jc w:val="center"/>
            </w:pPr>
            <w:r/>
            <w:r>
              <w:rPr>
                <w:rFonts w:ascii="Calibri" w:hAnsi="Calibri"/>
                <w:b w:val="0"/>
                <w:sz w:val="17"/>
              </w:rPr>
              <w:t>Must</w:t>
            </w:r>
          </w:p>
        </w:tc>
      </w:tr>
      <w:tr>
        <w:tc>
          <w:tcPr>
            <w:tcW w:type="dxa" w:w="567"/>
            <w:shd w:val="clear" w:fill="F7F9FB"/>
          </w:tcPr>
          <w:p>
            <w:pPr>
              <w:spacing w:after="20" w:before="20" w:line="240" w:lineRule="auto"/>
              <w:jc w:val="center"/>
            </w:pPr>
            <w:r/>
            <w:r>
              <w:rPr>
                <w:rFonts w:ascii="Calibri" w:hAnsi="Calibri"/>
                <w:b w:val="0"/>
                <w:sz w:val="17"/>
              </w:rPr>
              <w:t>10</w:t>
            </w:r>
          </w:p>
        </w:tc>
        <w:tc>
          <w:tcPr>
            <w:tcW w:type="dxa" w:w="7824"/>
            <w:shd w:val="clear" w:fill="F7F9FB"/>
          </w:tcPr>
          <w:p>
            <w:pPr>
              <w:spacing w:after="20" w:before="20" w:line="240" w:lineRule="auto"/>
            </w:pPr>
            <w:r/>
            <w:r>
              <w:rPr>
                <w:rFonts w:ascii="Calibri" w:hAnsi="Calibri"/>
                <w:b w:val="0"/>
                <w:sz w:val="17"/>
              </w:rPr>
              <w:t>Automated daily refresh from Oracle with visible data-freshness status.</w:t>
            </w:r>
          </w:p>
        </w:tc>
        <w:tc>
          <w:tcPr>
            <w:tcW w:type="dxa" w:w="1361"/>
            <w:shd w:val="clear" w:fill="F7F9FB"/>
          </w:tcPr>
          <w:p>
            <w:pPr>
              <w:spacing w:after="20" w:before="20" w:line="240" w:lineRule="auto"/>
              <w:jc w:val="center"/>
            </w:pPr>
            <w:r/>
            <w:r>
              <w:rPr>
                <w:rFonts w:ascii="Calibri" w:hAnsi="Calibri"/>
                <w:b w:val="0"/>
                <w:sz w:val="17"/>
              </w:rPr>
              <w:t>Must</w:t>
            </w:r>
          </w:p>
        </w:tc>
      </w:tr>
    </w:tbl>
    <w:p>
      <w:pPr>
        <w:spacing w:after="20"/>
      </w:pPr>
    </w:p>
    <w:p>
      <w:pPr>
        <w:pStyle w:val="Heading2"/>
      </w:pPr>
      <w:r>
        <w:t>1.3 Investment logic and expected benefit</w:t>
      </w:r>
    </w:p>
    <w:p>
      <w:pPr>
        <w:spacing w:after="100"/>
      </w:pPr>
      <w:r>
        <w:rPr>
          <w:b w:val="0"/>
          <w:i w:val="0"/>
        </w:rPr>
        <w:t>The materiality is not marginal. Across the 27-month sample period used to validate this specification, VPT consumed approximately PKR 262 million of products against approximately PKR 301 million of procurement — a ratio of 0.87 — while product-related budget lines stood at approximately PKR 342 million. Even a two-percentage-point improvement in the alignment of purchasing to consumption represents several million rupees a year in released working capital and avoided expiry. Beyond the direct financial benefit, the dashboard provides the evidence base required for donor reporting and audit on end-use of supplied commodities.</w:t>
      </w:r>
    </w:p>
    <w:tbl>
      <w:tblPr>
        <w:tblStyle w:val="TableGrid"/>
        <w:tblW w:type="auto" w:w="0"/>
        <w:tblLook w:firstColumn="1" w:firstRow="1" w:lastColumn="0" w:lastRow="0" w:noHBand="0" w:noVBand="1" w:val="04A0"/>
      </w:tblPr>
      <w:tblGrid>
        <w:gridCol w:w="10086"/>
      </w:tblGrid>
      <w:tr>
        <w:tc>
          <w:tcPr>
            <w:tcW w:type="dxa" w:w="9751"/>
            <w:shd w:val="clear" w:fill="EEF3F8"/>
          </w:tcPr>
          <w:p>
            <w:pPr>
              <w:spacing w:after="20" w:before="20" w:line="240" w:lineRule="auto"/>
            </w:pPr>
            <w:r/>
            <w:r>
              <w:rPr>
                <w:rFonts w:ascii="Calibri" w:hAnsi="Calibri"/>
                <w:b w:val="0"/>
                <w:sz w:val="19"/>
              </w:rPr>
              <w:t>Success in one sentence: within two quarters of go-live, project managers and procurement plan from a shared, current view of consumption and investment — not from parallel spreadsheets compiled after the fact.</w:t>
            </w:r>
          </w:p>
        </w:tc>
      </w:tr>
    </w:tbl>
    <w:p>
      <w:pPr>
        <w:spacing w:after="20"/>
      </w:pPr>
    </w:p>
    <w:p>
      <w:r>
        <w:br w:type="page"/>
      </w:r>
    </w:p>
    <w:p>
      <w:pPr>
        <w:pStyle w:val="Heading1"/>
      </w:pPr>
      <w:r>
        <w:t>2. Introduction and Purpose</w:t>
      </w:r>
    </w:p>
    <w:p>
      <w:pPr>
        <w:pStyle w:val="Heading2"/>
      </w:pPr>
      <w:r>
        <w:t>2.1 Purpose of this document</w:t>
      </w:r>
    </w:p>
    <w:p>
      <w:pPr>
        <w:spacing w:after="100"/>
      </w:pPr>
      <w:r>
        <w:rPr>
          <w:b w:val="0"/>
          <w:i w:val="0"/>
        </w:rPr>
        <w:t>This document records the agreed business requirements for the Consumption Analysis Dashboard. It is written for business approvers (Procurement, Programme and Finance leadership), for the technical team that will design and build the solution, and for the testers who will confirm acceptance. It is the contractual baseline for scope.</w:t>
      </w:r>
    </w:p>
    <w:p>
      <w:pPr>
        <w:spacing w:after="100"/>
      </w:pPr>
      <w:r>
        <w:rPr>
          <w:b w:val="0"/>
          <w:i w:val="0"/>
        </w:rPr>
        <w:t>Specifically, the BRD aims to:</w:t>
      </w:r>
    </w:p>
    <w:p>
      <w:pPr>
        <w:pStyle w:val="ListBullet"/>
        <w:spacing w:after="50"/>
        <w:ind w:left="340"/>
      </w:pPr>
      <w:r>
        <w:t>state the business problem and the measurable outcome expected, so that the initiative is judged on business results rather than on delivery of features;</w:t>
      </w:r>
    </w:p>
    <w:p>
      <w:pPr>
        <w:pStyle w:val="ListBullet"/>
        <w:spacing w:after="50"/>
        <w:ind w:left="340"/>
      </w:pPr>
      <w:r>
        <w:t>specify the functional and non-functional requirements with unique identifiers, priorities and acceptance criteria;</w:t>
      </w:r>
    </w:p>
    <w:p>
      <w:pPr>
        <w:pStyle w:val="ListBullet"/>
        <w:spacing w:after="50"/>
        <w:ind w:left="340"/>
      </w:pPr>
      <w:r>
        <w:t>define every KPI precisely, including formula, grain, source and owner, so that a number has one meaning across the organisation;</w:t>
      </w:r>
    </w:p>
    <w:p>
      <w:pPr>
        <w:pStyle w:val="ListBullet"/>
        <w:spacing w:after="50"/>
        <w:ind w:left="340"/>
      </w:pPr>
      <w:r>
        <w:t>map each requirement to Oracle source data and state the business rules applied in transformation;</w:t>
      </w:r>
    </w:p>
    <w:p>
      <w:pPr>
        <w:pStyle w:val="ListBullet"/>
        <w:spacing w:after="50"/>
        <w:ind w:left="340"/>
      </w:pPr>
      <w:r>
        <w:t>define data-quality expectations and the treatment of known defects;</w:t>
      </w:r>
    </w:p>
    <w:p>
      <w:pPr>
        <w:pStyle w:val="ListBullet"/>
        <w:spacing w:after="50"/>
        <w:ind w:left="340"/>
      </w:pPr>
      <w:r>
        <w:t>set out the delivery approach, governance, risks and acceptance process.</w:t>
      </w:r>
    </w:p>
    <w:p>
      <w:pPr>
        <w:pStyle w:val="Heading2"/>
      </w:pPr>
      <w:r>
        <w:t>2.2 Intended audience and how to use it</w:t>
      </w:r>
    </w:p>
    <w:tbl>
      <w:tblPr>
        <w:tblStyle w:val="TableGrid"/>
        <w:tblW w:type="auto" w:w="0"/>
        <w:jc w:val="center"/>
        <w:tblLayout w:type="fixed"/>
        <w:tblLook w:firstColumn="1" w:firstRow="1" w:lastColumn="0" w:lastRow="0" w:noHBand="0" w:noVBand="1" w:val="04A0"/>
      </w:tblPr>
      <w:tblGrid>
        <w:gridCol w:w="5043"/>
        <w:gridCol w:w="5043"/>
      </w:tblGrid>
      <w:tr>
        <w:trPr>
          <w:tblHeader/>
        </w:trPr>
        <w:tc>
          <w:tcPr>
            <w:tcW w:type="dxa" w:w="3742"/>
            <w:shd w:val="clear" w:fill="1F3B57"/>
          </w:tcPr>
          <w:p>
            <w:pPr>
              <w:spacing w:after="20" w:before="20" w:line="240" w:lineRule="auto"/>
            </w:pPr>
            <w:r/>
            <w:r>
              <w:rPr>
                <w:rFonts w:ascii="Calibri" w:hAnsi="Calibri"/>
                <w:b/>
                <w:color w:val="FFFFFF"/>
                <w:sz w:val="17"/>
              </w:rPr>
              <w:t>Audience</w:t>
            </w:r>
          </w:p>
        </w:tc>
        <w:tc>
          <w:tcPr>
            <w:tcW w:type="dxa" w:w="6009"/>
            <w:shd w:val="clear" w:fill="1F3B57"/>
          </w:tcPr>
          <w:p>
            <w:pPr>
              <w:spacing w:after="20" w:before="20" w:line="240" w:lineRule="auto"/>
            </w:pPr>
            <w:r/>
            <w:r>
              <w:rPr>
                <w:rFonts w:ascii="Calibri" w:hAnsi="Calibri"/>
                <w:b/>
                <w:color w:val="FFFFFF"/>
                <w:sz w:val="17"/>
              </w:rPr>
              <w:t>Sections of primary interest</w:t>
            </w:r>
          </w:p>
        </w:tc>
      </w:tr>
      <w:tr>
        <w:tc>
          <w:tcPr>
            <w:tcW w:type="dxa" w:w="3742"/>
          </w:tcPr>
          <w:p>
            <w:pPr>
              <w:spacing w:after="20" w:before="20" w:line="240" w:lineRule="auto"/>
            </w:pPr>
            <w:r/>
            <w:r>
              <w:rPr>
                <w:rFonts w:ascii="Calibri" w:hAnsi="Calibri"/>
                <w:b w:val="0"/>
                <w:sz w:val="17"/>
              </w:rPr>
              <w:t>Executive management / approvers</w:t>
            </w:r>
          </w:p>
        </w:tc>
        <w:tc>
          <w:tcPr>
            <w:tcW w:type="dxa" w:w="6009"/>
          </w:tcPr>
          <w:p>
            <w:pPr>
              <w:spacing w:after="20" w:before="20" w:line="240" w:lineRule="auto"/>
            </w:pPr>
            <w:r/>
            <w:r>
              <w:rPr>
                <w:rFonts w:ascii="Calibri" w:hAnsi="Calibri"/>
                <w:b w:val="0"/>
                <w:sz w:val="17"/>
              </w:rPr>
              <w:t>1, 3, 4, 5, 21</w:t>
            </w:r>
          </w:p>
        </w:tc>
      </w:tr>
      <w:tr>
        <w:tc>
          <w:tcPr>
            <w:tcW w:type="dxa" w:w="3742"/>
            <w:shd w:val="clear" w:fill="F7F9FB"/>
          </w:tcPr>
          <w:p>
            <w:pPr>
              <w:spacing w:after="20" w:before="20" w:line="240" w:lineRule="auto"/>
            </w:pPr>
            <w:r/>
            <w:r>
              <w:rPr>
                <w:rFonts w:ascii="Calibri" w:hAnsi="Calibri"/>
                <w:b w:val="0"/>
                <w:sz w:val="17"/>
              </w:rPr>
              <w:t>Head of Procurement and supply chain team</w:t>
            </w:r>
          </w:p>
        </w:tc>
        <w:tc>
          <w:tcPr>
            <w:tcW w:type="dxa" w:w="6009"/>
            <w:shd w:val="clear" w:fill="F7F9FB"/>
          </w:tcPr>
          <w:p>
            <w:pPr>
              <w:spacing w:after="20" w:before="20" w:line="240" w:lineRule="auto"/>
            </w:pPr>
            <w:r/>
            <w:r>
              <w:rPr>
                <w:rFonts w:ascii="Calibri" w:hAnsi="Calibri"/>
                <w:b w:val="0"/>
                <w:sz w:val="17"/>
              </w:rPr>
              <w:t>7, 8, 9, 10, 12, 14</w:t>
            </w:r>
          </w:p>
        </w:tc>
      </w:tr>
      <w:tr>
        <w:tc>
          <w:tcPr>
            <w:tcW w:type="dxa" w:w="3742"/>
          </w:tcPr>
          <w:p>
            <w:pPr>
              <w:spacing w:after="20" w:before="20" w:line="240" w:lineRule="auto"/>
            </w:pPr>
            <w:r/>
            <w:r>
              <w:rPr>
                <w:rFonts w:ascii="Calibri" w:hAnsi="Calibri"/>
                <w:b w:val="0"/>
                <w:sz w:val="17"/>
              </w:rPr>
              <w:t>Programme and project managers</w:t>
            </w:r>
          </w:p>
        </w:tc>
        <w:tc>
          <w:tcPr>
            <w:tcW w:type="dxa" w:w="6009"/>
          </w:tcPr>
          <w:p>
            <w:pPr>
              <w:spacing w:after="20" w:before="20" w:line="240" w:lineRule="auto"/>
            </w:pPr>
            <w:r/>
            <w:r>
              <w:rPr>
                <w:rFonts w:ascii="Calibri" w:hAnsi="Calibri"/>
                <w:b w:val="0"/>
                <w:sz w:val="17"/>
              </w:rPr>
              <w:t>5, 8, 10, 11, 12</w:t>
            </w:r>
          </w:p>
        </w:tc>
      </w:tr>
      <w:tr>
        <w:tc>
          <w:tcPr>
            <w:tcW w:type="dxa" w:w="3742"/>
            <w:shd w:val="clear" w:fill="F7F9FB"/>
          </w:tcPr>
          <w:p>
            <w:pPr>
              <w:spacing w:after="20" w:before="20" w:line="240" w:lineRule="auto"/>
            </w:pPr>
            <w:r/>
            <w:r>
              <w:rPr>
                <w:rFonts w:ascii="Calibri" w:hAnsi="Calibri"/>
                <w:b w:val="0"/>
                <w:sz w:val="17"/>
              </w:rPr>
              <w:t>Finance and grants</w:t>
            </w:r>
          </w:p>
        </w:tc>
        <w:tc>
          <w:tcPr>
            <w:tcW w:type="dxa" w:w="6009"/>
            <w:shd w:val="clear" w:fill="F7F9FB"/>
          </w:tcPr>
          <w:p>
            <w:pPr>
              <w:spacing w:after="20" w:before="20" w:line="240" w:lineRule="auto"/>
            </w:pPr>
            <w:r/>
            <w:r>
              <w:rPr>
                <w:rFonts w:ascii="Calibri" w:hAnsi="Calibri"/>
                <w:b w:val="0"/>
                <w:sz w:val="17"/>
              </w:rPr>
              <w:t>9, 12, 13, 14</w:t>
            </w:r>
          </w:p>
        </w:tc>
      </w:tr>
      <w:tr>
        <w:tc>
          <w:tcPr>
            <w:tcW w:type="dxa" w:w="3742"/>
          </w:tcPr>
          <w:p>
            <w:pPr>
              <w:spacing w:after="20" w:before="20" w:line="240" w:lineRule="auto"/>
            </w:pPr>
            <w:r/>
            <w:r>
              <w:rPr>
                <w:rFonts w:ascii="Calibri" w:hAnsi="Calibri"/>
                <w:b w:val="0"/>
                <w:sz w:val="17"/>
              </w:rPr>
              <w:t>IT / ERP and data team</w:t>
            </w:r>
          </w:p>
        </w:tc>
        <w:tc>
          <w:tcPr>
            <w:tcW w:type="dxa" w:w="6009"/>
          </w:tcPr>
          <w:p>
            <w:pPr>
              <w:spacing w:after="20" w:before="20" w:line="240" w:lineRule="auto"/>
            </w:pPr>
            <w:r/>
            <w:r>
              <w:rPr>
                <w:rFonts w:ascii="Calibri" w:hAnsi="Calibri"/>
                <w:b w:val="0"/>
                <w:sz w:val="17"/>
              </w:rPr>
              <w:t>13, 15, 16, Appendix A and B</w:t>
            </w:r>
          </w:p>
        </w:tc>
      </w:tr>
      <w:tr>
        <w:tc>
          <w:tcPr>
            <w:tcW w:type="dxa" w:w="3742"/>
            <w:shd w:val="clear" w:fill="F7F9FB"/>
          </w:tcPr>
          <w:p>
            <w:pPr>
              <w:spacing w:after="20" w:before="20" w:line="240" w:lineRule="auto"/>
            </w:pPr>
            <w:r/>
            <w:r>
              <w:rPr>
                <w:rFonts w:ascii="Calibri" w:hAnsi="Calibri"/>
                <w:b w:val="0"/>
                <w:sz w:val="17"/>
              </w:rPr>
              <w:t>Developers and BI builders</w:t>
            </w:r>
          </w:p>
        </w:tc>
        <w:tc>
          <w:tcPr>
            <w:tcW w:type="dxa" w:w="6009"/>
            <w:shd w:val="clear" w:fill="F7F9FB"/>
          </w:tcPr>
          <w:p>
            <w:pPr>
              <w:spacing w:after="20" w:before="20" w:line="240" w:lineRule="auto"/>
            </w:pPr>
            <w:r/>
            <w:r>
              <w:rPr>
                <w:rFonts w:ascii="Calibri" w:hAnsi="Calibri"/>
                <w:b w:val="0"/>
                <w:sz w:val="17"/>
              </w:rPr>
              <w:t>10, 11, 12, 13, 14, 16, Appendices A–C</w:t>
            </w:r>
          </w:p>
        </w:tc>
      </w:tr>
      <w:tr>
        <w:tc>
          <w:tcPr>
            <w:tcW w:type="dxa" w:w="3742"/>
          </w:tcPr>
          <w:p>
            <w:pPr>
              <w:spacing w:after="20" w:before="20" w:line="240" w:lineRule="auto"/>
            </w:pPr>
            <w:r/>
            <w:r>
              <w:rPr>
                <w:rFonts w:ascii="Calibri" w:hAnsi="Calibri"/>
                <w:b w:val="0"/>
                <w:sz w:val="17"/>
              </w:rPr>
              <w:t>Testers and internal audit</w:t>
            </w:r>
          </w:p>
        </w:tc>
        <w:tc>
          <w:tcPr>
            <w:tcW w:type="dxa" w:w="6009"/>
          </w:tcPr>
          <w:p>
            <w:pPr>
              <w:spacing w:after="20" w:before="20" w:line="240" w:lineRule="auto"/>
            </w:pPr>
            <w:r/>
            <w:r>
              <w:rPr>
                <w:rFonts w:ascii="Calibri" w:hAnsi="Calibri"/>
                <w:b w:val="0"/>
                <w:sz w:val="17"/>
              </w:rPr>
              <w:t>15, 19</w:t>
            </w:r>
          </w:p>
        </w:tc>
      </w:tr>
    </w:tbl>
    <w:p>
      <w:pPr>
        <w:spacing w:after="20"/>
      </w:pPr>
    </w:p>
    <w:p>
      <w:pPr>
        <w:pStyle w:val="Heading2"/>
      </w:pPr>
      <w:r>
        <w:t>2.3 Definitions used in this document</w:t>
      </w:r>
    </w:p>
    <w:p>
      <w:pPr>
        <w:spacing w:after="100"/>
      </w:pPr>
      <w:r>
        <w:rPr>
          <w:b w:val="0"/>
          <w:i w:val="0"/>
        </w:rPr>
        <w:t>“Consumption” means the value and quantity of items issued from a VPT store against a project, as recorded in Oracle inventory issues. “Investment” means the committed and received value of products purchased for that project, as recorded in purchase orders and goods receipt notes. “Product” means any item in the item master. “Project” means a funded programme with a unique project code. “Period” means a calendar month unless otherwise stated; fiscal years run July to June.</w:t>
      </w:r>
    </w:p>
    <w:p>
      <w:pPr>
        <w:pStyle w:val="Heading1"/>
      </w:pPr>
      <w:r>
        <w:t>3. Business Context and Objectives</w:t>
      </w:r>
    </w:p>
    <w:p>
      <w:pPr>
        <w:pStyle w:val="Heading2"/>
      </w:pPr>
      <w:r>
        <w:t>3.1 Organisational context</w:t>
      </w:r>
    </w:p>
    <w:p>
      <w:pPr>
        <w:spacing w:after="100"/>
      </w:pPr>
      <w:r>
        <w:rPr>
          <w:b w:val="0"/>
          <w:i w:val="0"/>
        </w:rPr>
        <w:t>VPT delivers services through static facilities and mobile units across Karachi and interior Sindh. Funding is project-based and time-bound; each grant carries its own budget, reporting obligations and audit requirements. Products are procured centrally or at project level and stored in one central medical store and seven project or field stores. Consumption is recorded when items are issued to a service point or department and charged to a project code.</w:t>
      </w:r>
    </w:p>
    <w:p>
      <w:pPr>
        <w:spacing w:after="100"/>
      </w:pPr>
      <w:r>
        <w:rPr>
          <w:b w:val="0"/>
          <w:i w:val="0"/>
        </w:rPr>
        <w:t>Three structural characteristics shape the requirement: (a) many projects running simultaneously with overlapping product ranges, (b) product costs that move with inflation and exchange rates, making period comparisons sensitive to price as well as quantity, and (c) donor accountability that requires traceability from purchase to end use. Any solution must handle all three.</w:t>
      </w:r>
    </w:p>
    <w:p>
      <w:pPr>
        <w:pStyle w:val="Heading2"/>
      </w:pPr>
      <w:r>
        <w:t>3.2 Business objectives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trPr>
        <w:tc>
          <w:tcPr>
            <w:tcW w:type="dxa" w:w="737"/>
            <w:shd w:val="clear" w:fill="1F3B57"/>
          </w:tcPr>
          <w:p>
            <w:pPr>
              <w:spacing w:after="20" w:before="20" w:line="240" w:lineRule="auto"/>
            </w:pPr>
            <w:r/>
            <w:r>
              <w:rPr>
                <w:rFonts w:ascii="Calibri" w:hAnsi="Calibri"/>
                <w:b/>
                <w:color w:val="FFFFFF"/>
                <w:sz w:val="17"/>
              </w:rPr>
              <w:t>Ref</w:t>
            </w:r>
          </w:p>
        </w:tc>
        <w:tc>
          <w:tcPr>
            <w:tcW w:type="dxa" w:w="3855"/>
            <w:shd w:val="clear" w:fill="1F3B57"/>
          </w:tcPr>
          <w:p>
            <w:pPr>
              <w:spacing w:after="20" w:before="20" w:line="240" w:lineRule="auto"/>
            </w:pPr>
            <w:r/>
            <w:r>
              <w:rPr>
                <w:rFonts w:ascii="Calibri" w:hAnsi="Calibri"/>
                <w:b/>
                <w:color w:val="FFFFFF"/>
                <w:sz w:val="17"/>
              </w:rPr>
              <w:t>Business objective</w:t>
            </w:r>
          </w:p>
        </w:tc>
        <w:tc>
          <w:tcPr>
            <w:tcW w:type="dxa" w:w="5159"/>
            <w:shd w:val="clear" w:fill="1F3B57"/>
          </w:tcPr>
          <w:p>
            <w:pPr>
              <w:spacing w:after="20" w:before="20" w:line="240" w:lineRule="auto"/>
            </w:pPr>
            <w:r/>
            <w:r>
              <w:rPr>
                <w:rFonts w:ascii="Calibri" w:hAnsi="Calibri"/>
                <w:b/>
                <w:color w:val="FFFFFF"/>
                <w:sz w:val="17"/>
              </w:rPr>
              <w:t>Measure of achievement</w:t>
            </w:r>
          </w:p>
        </w:tc>
      </w:tr>
      <w:tr>
        <w:tc>
          <w:tcPr>
            <w:tcW w:type="dxa" w:w="737"/>
          </w:tcPr>
          <w:p>
            <w:pPr>
              <w:spacing w:after="20" w:before="20" w:line="240" w:lineRule="auto"/>
              <w:jc w:val="center"/>
            </w:pPr>
            <w:r/>
            <w:r>
              <w:rPr>
                <w:rFonts w:ascii="Calibri" w:hAnsi="Calibri"/>
                <w:b w:val="0"/>
                <w:sz w:val="17"/>
              </w:rPr>
              <w:t>BO-1</w:t>
            </w:r>
          </w:p>
        </w:tc>
        <w:tc>
          <w:tcPr>
            <w:tcW w:type="dxa" w:w="3855"/>
          </w:tcPr>
          <w:p>
            <w:pPr>
              <w:spacing w:after="20" w:before="20" w:line="240" w:lineRule="auto"/>
            </w:pPr>
            <w:r/>
            <w:r>
              <w:rPr>
                <w:rFonts w:ascii="Calibri" w:hAnsi="Calibri"/>
                <w:b w:val="0"/>
                <w:sz w:val="17"/>
              </w:rPr>
              <w:t>Make project and product consumption visible on a current basis</w:t>
            </w:r>
          </w:p>
        </w:tc>
        <w:tc>
          <w:tcPr>
            <w:tcW w:type="dxa" w:w="5159"/>
          </w:tcPr>
          <w:p>
            <w:pPr>
              <w:spacing w:after="20" w:before="20" w:line="240" w:lineRule="auto"/>
            </w:pPr>
            <w:r/>
            <w:r>
              <w:rPr>
                <w:rFonts w:ascii="Calibri" w:hAnsi="Calibri"/>
                <w:b w:val="0"/>
                <w:sz w:val="17"/>
              </w:rPr>
              <w:t>Dashboard in routine use by all project managers; consumption available within 3 working days of month close</w:t>
            </w:r>
          </w:p>
        </w:tc>
      </w:tr>
      <w:tr>
        <w:tc>
          <w:tcPr>
            <w:tcW w:type="dxa" w:w="737"/>
            <w:shd w:val="clear" w:fill="F7F9FB"/>
          </w:tcPr>
          <w:p>
            <w:pPr>
              <w:spacing w:after="20" w:before="20" w:line="240" w:lineRule="auto"/>
              <w:jc w:val="center"/>
            </w:pPr>
            <w:r/>
            <w:r>
              <w:rPr>
                <w:rFonts w:ascii="Calibri" w:hAnsi="Calibri"/>
                <w:b w:val="0"/>
                <w:sz w:val="17"/>
              </w:rPr>
              <w:t>BO-2</w:t>
            </w:r>
          </w:p>
        </w:tc>
        <w:tc>
          <w:tcPr>
            <w:tcW w:type="dxa" w:w="3855"/>
            <w:shd w:val="clear" w:fill="F7F9FB"/>
          </w:tcPr>
          <w:p>
            <w:pPr>
              <w:spacing w:after="20" w:before="20" w:line="240" w:lineRule="auto"/>
            </w:pPr>
            <w:r/>
            <w:r>
              <w:rPr>
                <w:rFonts w:ascii="Calibri" w:hAnsi="Calibri"/>
                <w:b w:val="0"/>
                <w:sz w:val="17"/>
              </w:rPr>
              <w:t>Align procurement with actual consumption and lead times</w:t>
            </w:r>
          </w:p>
        </w:tc>
        <w:tc>
          <w:tcPr>
            <w:tcW w:type="dxa" w:w="5159"/>
            <w:shd w:val="clear" w:fill="F7F9FB"/>
          </w:tcPr>
          <w:p>
            <w:pPr>
              <w:spacing w:after="20" w:before="20" w:line="240" w:lineRule="auto"/>
            </w:pPr>
            <w:r/>
            <w:r>
              <w:rPr>
                <w:rFonts w:ascii="Calibri" w:hAnsi="Calibri"/>
                <w:b w:val="0"/>
                <w:sz w:val="17"/>
              </w:rPr>
              <w:t>Reduction in over-purchase and expiry value; documented consumption-based procurement plans</w:t>
            </w:r>
          </w:p>
        </w:tc>
      </w:tr>
      <w:tr>
        <w:tc>
          <w:tcPr>
            <w:tcW w:type="dxa" w:w="737"/>
          </w:tcPr>
          <w:p>
            <w:pPr>
              <w:spacing w:after="20" w:before="20" w:line="240" w:lineRule="auto"/>
              <w:jc w:val="center"/>
            </w:pPr>
            <w:r/>
            <w:r>
              <w:rPr>
                <w:rFonts w:ascii="Calibri" w:hAnsi="Calibri"/>
                <w:b w:val="0"/>
                <w:sz w:val="17"/>
              </w:rPr>
              <w:t>BO-3</w:t>
            </w:r>
          </w:p>
        </w:tc>
        <w:tc>
          <w:tcPr>
            <w:tcW w:type="dxa" w:w="3855"/>
          </w:tcPr>
          <w:p>
            <w:pPr>
              <w:spacing w:after="20" w:before="20" w:line="240" w:lineRule="auto"/>
            </w:pPr>
            <w:r/>
            <w:r>
              <w:rPr>
                <w:rFonts w:ascii="Calibri" w:hAnsi="Calibri"/>
                <w:b w:val="0"/>
                <w:sz w:val="17"/>
              </w:rPr>
              <w:t>Evidence value for money to donors and management</w:t>
            </w:r>
          </w:p>
        </w:tc>
        <w:tc>
          <w:tcPr>
            <w:tcW w:type="dxa" w:w="5159"/>
          </w:tcPr>
          <w:p>
            <w:pPr>
              <w:spacing w:after="20" w:before="20" w:line="240" w:lineRule="auto"/>
            </w:pPr>
            <w:r/>
            <w:r>
              <w:rPr>
                <w:rFonts w:ascii="Calibri" w:hAnsi="Calibri"/>
                <w:b w:val="0"/>
                <w:sz w:val="17"/>
              </w:rPr>
              <w:t>Cost per beneficiary and per service available for every active project</w:t>
            </w:r>
          </w:p>
        </w:tc>
      </w:tr>
      <w:tr>
        <w:tc>
          <w:tcPr>
            <w:tcW w:type="dxa" w:w="737"/>
            <w:shd w:val="clear" w:fill="F7F9FB"/>
          </w:tcPr>
          <w:p>
            <w:pPr>
              <w:spacing w:after="20" w:before="20" w:line="240" w:lineRule="auto"/>
              <w:jc w:val="center"/>
            </w:pPr>
            <w:r/>
            <w:r>
              <w:rPr>
                <w:rFonts w:ascii="Calibri" w:hAnsi="Calibri"/>
                <w:b w:val="0"/>
                <w:sz w:val="17"/>
              </w:rPr>
              <w:t>BO-4</w:t>
            </w:r>
          </w:p>
        </w:tc>
        <w:tc>
          <w:tcPr>
            <w:tcW w:type="dxa" w:w="3855"/>
            <w:shd w:val="clear" w:fill="F7F9FB"/>
          </w:tcPr>
          <w:p>
            <w:pPr>
              <w:spacing w:after="20" w:before="20" w:line="240" w:lineRule="auto"/>
            </w:pPr>
            <w:r/>
            <w:r>
              <w:rPr>
                <w:rFonts w:ascii="Calibri" w:hAnsi="Calibri"/>
                <w:b w:val="0"/>
                <w:sz w:val="17"/>
              </w:rPr>
              <w:t>Reduce manual reporting effort and conflicting figures</w:t>
            </w:r>
          </w:p>
        </w:tc>
        <w:tc>
          <w:tcPr>
            <w:tcW w:type="dxa" w:w="5159"/>
            <w:shd w:val="clear" w:fill="F7F9FB"/>
          </w:tcPr>
          <w:p>
            <w:pPr>
              <w:spacing w:after="20" w:before="20" w:line="240" w:lineRule="auto"/>
            </w:pPr>
            <w:r/>
            <w:r>
              <w:rPr>
                <w:rFonts w:ascii="Calibri" w:hAnsi="Calibri"/>
                <w:b w:val="0"/>
                <w:sz w:val="17"/>
              </w:rPr>
              <w:t>At least 70% reduction in time spent compiling consumption reports; one agreed figure per KPI</w:t>
            </w:r>
          </w:p>
        </w:tc>
      </w:tr>
      <w:tr>
        <w:tc>
          <w:tcPr>
            <w:tcW w:type="dxa" w:w="737"/>
          </w:tcPr>
          <w:p>
            <w:pPr>
              <w:spacing w:after="20" w:before="20" w:line="240" w:lineRule="auto"/>
              <w:jc w:val="center"/>
            </w:pPr>
            <w:r/>
            <w:r>
              <w:rPr>
                <w:rFonts w:ascii="Calibri" w:hAnsi="Calibri"/>
                <w:b w:val="0"/>
                <w:sz w:val="17"/>
              </w:rPr>
              <w:t>BO-5</w:t>
            </w:r>
          </w:p>
        </w:tc>
        <w:tc>
          <w:tcPr>
            <w:tcW w:type="dxa" w:w="3855"/>
          </w:tcPr>
          <w:p>
            <w:pPr>
              <w:spacing w:after="20" w:before="20" w:line="240" w:lineRule="auto"/>
            </w:pPr>
            <w:r/>
            <w:r>
              <w:rPr>
                <w:rFonts w:ascii="Calibri" w:hAnsi="Calibri"/>
                <w:b w:val="0"/>
                <w:sz w:val="17"/>
              </w:rPr>
              <w:t>Strengthen control, traceability and audit readiness</w:t>
            </w:r>
          </w:p>
        </w:tc>
        <w:tc>
          <w:tcPr>
            <w:tcW w:type="dxa" w:w="5159"/>
          </w:tcPr>
          <w:p>
            <w:pPr>
              <w:spacing w:after="20" w:before="20" w:line="240" w:lineRule="auto"/>
            </w:pPr>
            <w:r/>
            <w:r>
              <w:rPr>
                <w:rFonts w:ascii="Calibri" w:hAnsi="Calibri"/>
                <w:b w:val="0"/>
                <w:sz w:val="17"/>
              </w:rPr>
              <w:t>Every consumption value traceable from PO to batch to issue; exceptions surfaced with owners</w:t>
            </w:r>
          </w:p>
        </w:tc>
      </w:tr>
      <w:tr>
        <w:tc>
          <w:tcPr>
            <w:tcW w:type="dxa" w:w="737"/>
            <w:shd w:val="clear" w:fill="F7F9FB"/>
          </w:tcPr>
          <w:p>
            <w:pPr>
              <w:spacing w:after="20" w:before="20" w:line="240" w:lineRule="auto"/>
              <w:jc w:val="center"/>
            </w:pPr>
            <w:r/>
            <w:r>
              <w:rPr>
                <w:rFonts w:ascii="Calibri" w:hAnsi="Calibri"/>
                <w:b w:val="0"/>
                <w:sz w:val="17"/>
              </w:rPr>
              <w:t>BO-6</w:t>
            </w:r>
          </w:p>
        </w:tc>
        <w:tc>
          <w:tcPr>
            <w:tcW w:type="dxa" w:w="3855"/>
            <w:shd w:val="clear" w:fill="F7F9FB"/>
          </w:tcPr>
          <w:p>
            <w:pPr>
              <w:spacing w:after="20" w:before="20" w:line="240" w:lineRule="auto"/>
            </w:pPr>
            <w:r/>
            <w:r>
              <w:rPr>
                <w:rFonts w:ascii="Calibri" w:hAnsi="Calibri"/>
                <w:b w:val="0"/>
                <w:sz w:val="17"/>
              </w:rPr>
              <w:t>Improve budget control and forecasting</w:t>
            </w:r>
          </w:p>
        </w:tc>
        <w:tc>
          <w:tcPr>
            <w:tcW w:type="dxa" w:w="5159"/>
            <w:shd w:val="clear" w:fill="F7F9FB"/>
          </w:tcPr>
          <w:p>
            <w:pPr>
              <w:spacing w:after="20" w:before="20" w:line="240" w:lineRule="auto"/>
            </w:pPr>
            <w:r/>
            <w:r>
              <w:rPr>
                <w:rFonts w:ascii="Calibri" w:hAnsi="Calibri"/>
                <w:b w:val="0"/>
                <w:sz w:val="17"/>
              </w:rPr>
              <w:t>Budget-versus-consumption variance visible monthly; burn rate and forecast at project level</w:t>
            </w:r>
          </w:p>
        </w:tc>
      </w:tr>
      <w:tr>
        <w:tc>
          <w:tcPr>
            <w:tcW w:type="dxa" w:w="737"/>
          </w:tcPr>
          <w:p>
            <w:pPr>
              <w:spacing w:after="20" w:before="20" w:line="240" w:lineRule="auto"/>
              <w:jc w:val="center"/>
            </w:pPr>
            <w:r/>
            <w:r>
              <w:rPr>
                <w:rFonts w:ascii="Calibri" w:hAnsi="Calibri"/>
                <w:b w:val="0"/>
                <w:sz w:val="17"/>
              </w:rPr>
              <w:t>BO-7</w:t>
            </w:r>
          </w:p>
        </w:tc>
        <w:tc>
          <w:tcPr>
            <w:tcW w:type="dxa" w:w="3855"/>
          </w:tcPr>
          <w:p>
            <w:pPr>
              <w:spacing w:after="20" w:before="20" w:line="240" w:lineRule="auto"/>
            </w:pPr>
            <w:r/>
            <w:r>
              <w:rPr>
                <w:rFonts w:ascii="Calibri" w:hAnsi="Calibri"/>
                <w:b w:val="0"/>
                <w:sz w:val="17"/>
              </w:rPr>
              <w:t>Build sustainable internal analytics capability</w:t>
            </w:r>
          </w:p>
        </w:tc>
        <w:tc>
          <w:tcPr>
            <w:tcW w:type="dxa" w:w="5159"/>
          </w:tcPr>
          <w:p>
            <w:pPr>
              <w:spacing w:after="20" w:before="20" w:line="240" w:lineRule="auto"/>
            </w:pPr>
            <w:r/>
            <w:r>
              <w:rPr>
                <w:rFonts w:ascii="Calibri" w:hAnsi="Calibri"/>
                <w:b w:val="0"/>
                <w:sz w:val="17"/>
              </w:rPr>
              <w:t>Solution maintained by VPT staff; documented model, definitions and support process</w:t>
            </w:r>
          </w:p>
        </w:tc>
      </w:tr>
    </w:tbl>
    <w:p>
      <w:pPr>
        <w:spacing w:after="20"/>
      </w:pPr>
    </w:p>
    <w:p>
      <w:pPr>
        <w:pStyle w:val="Heading2"/>
      </w:pPr>
      <w:r>
        <w:t>3.3 Alignment with organisational strategy</w:t>
      </w:r>
    </w:p>
    <w:p>
      <w:pPr>
        <w:spacing w:after="100"/>
      </w:pPr>
      <w:r>
        <w:rPr>
          <w:b w:val="0"/>
          <w:i w:val="0"/>
        </w:rPr>
        <w:t>The dashboard supports VPT's digital-transformation agenda by converting existing ERP data into decision support without buying new transactional systems, and by establishing reusable data definitions, security patterns and governance that later initiatives (procurement planning, asset management, grant profitability) can build on.</w:t>
      </w:r>
    </w:p>
    <w:p>
      <w:pPr>
        <w:pStyle w:val="Heading1"/>
      </w:pPr>
      <w:r>
        <w:t>4. Problem Statement</w:t>
      </w:r>
    </w:p>
    <w:tbl>
      <w:tblPr>
        <w:tblStyle w:val="TableGrid"/>
        <w:tblW w:type="auto" w:w="0"/>
        <w:tblLook w:firstColumn="1" w:firstRow="1" w:lastColumn="0" w:lastRow="0" w:noHBand="0" w:noVBand="1" w:val="04A0"/>
      </w:tblPr>
      <w:tblGrid>
        <w:gridCol w:w="10086"/>
      </w:tblGrid>
      <w:tr>
        <w:tc>
          <w:tcPr>
            <w:tcW w:type="dxa" w:w="9751"/>
            <w:shd w:val="clear" w:fill="EEF3F8"/>
          </w:tcPr>
          <w:p>
            <w:pPr>
              <w:spacing w:after="20" w:before="20" w:line="240" w:lineRule="auto"/>
            </w:pPr>
            <w:r/>
            <w:r>
              <w:rPr>
                <w:rFonts w:ascii="Calibri" w:hAnsi="Calibri"/>
                <w:b w:val="0"/>
                <w:sz w:val="19"/>
              </w:rPr>
              <w:t>Vital Pakistan Trust cannot currently determine, on a timely and reliable basis, how much of each product has been consumed by which project, at what cost, and whether that consumption represents value for the investment made in purchasing it. Because the underlying transactions sit in different Oracle modules and rely on inconsistently applied project codes, the analysis is manual, delayed and retrospective. Procurement therefore runs on estimated demand rather than evidence, and over-consumption, under-utilisation, price escalation and stock-out risk are identified too late to act upon.</w:t>
            </w:r>
          </w:p>
        </w:tc>
      </w:tr>
    </w:tbl>
    <w:p>
      <w:pPr>
        <w:spacing w:after="20"/>
      </w:pPr>
    </w:p>
    <w:p>
      <w:pPr>
        <w:pStyle w:val="Heading2"/>
      </w:pPr>
      <w:r>
        <w:t>4.1 Problem decomposition</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trPr>
        <w:tc>
          <w:tcPr>
            <w:tcW w:type="dxa" w:w="794"/>
            <w:shd w:val="clear" w:fill="1F3B57"/>
          </w:tcPr>
          <w:p>
            <w:pPr>
              <w:spacing w:after="20" w:before="20" w:line="240" w:lineRule="auto"/>
            </w:pPr>
            <w:r/>
            <w:r>
              <w:rPr>
                <w:rFonts w:ascii="Calibri" w:hAnsi="Calibri"/>
                <w:b/>
                <w:color w:val="FFFFFF"/>
                <w:sz w:val="17"/>
              </w:rPr>
              <w:t>Ref</w:t>
            </w:r>
          </w:p>
        </w:tc>
        <w:tc>
          <w:tcPr>
            <w:tcW w:type="dxa" w:w="4762"/>
            <w:shd w:val="clear" w:fill="1F3B57"/>
          </w:tcPr>
          <w:p>
            <w:pPr>
              <w:spacing w:after="20" w:before="20" w:line="240" w:lineRule="auto"/>
            </w:pPr>
            <w:r/>
            <w:r>
              <w:rPr>
                <w:rFonts w:ascii="Calibri" w:hAnsi="Calibri"/>
                <w:b/>
                <w:color w:val="FFFFFF"/>
                <w:sz w:val="17"/>
              </w:rPr>
              <w:t>Problem component</w:t>
            </w:r>
          </w:p>
        </w:tc>
        <w:tc>
          <w:tcPr>
            <w:tcW w:type="dxa" w:w="4195"/>
            <w:shd w:val="clear" w:fill="1F3B57"/>
          </w:tcPr>
          <w:p>
            <w:pPr>
              <w:spacing w:after="20" w:before="20" w:line="240" w:lineRule="auto"/>
            </w:pPr>
            <w:r/>
            <w:r>
              <w:rPr>
                <w:rFonts w:ascii="Calibri" w:hAnsi="Calibri"/>
                <w:b/>
                <w:color w:val="FFFFFF"/>
                <w:sz w:val="17"/>
              </w:rPr>
              <w:t>Business consequence</w:t>
            </w:r>
          </w:p>
        </w:tc>
      </w:tr>
      <w:tr>
        <w:tc>
          <w:tcPr>
            <w:tcW w:type="dxa" w:w="794"/>
          </w:tcPr>
          <w:p>
            <w:pPr>
              <w:spacing w:after="20" w:before="20" w:line="240" w:lineRule="auto"/>
              <w:jc w:val="center"/>
            </w:pPr>
            <w:r/>
            <w:r>
              <w:rPr>
                <w:rFonts w:ascii="Calibri" w:hAnsi="Calibri"/>
                <w:b w:val="0"/>
                <w:sz w:val="17"/>
              </w:rPr>
              <w:t>P-1</w:t>
            </w:r>
          </w:p>
        </w:tc>
        <w:tc>
          <w:tcPr>
            <w:tcW w:type="dxa" w:w="4762"/>
          </w:tcPr>
          <w:p>
            <w:pPr>
              <w:spacing w:after="20" w:before="20" w:line="240" w:lineRule="auto"/>
            </w:pPr>
            <w:r/>
            <w:r>
              <w:rPr>
                <w:rFonts w:ascii="Calibri" w:hAnsi="Calibri"/>
                <w:b w:val="0"/>
                <w:sz w:val="17"/>
              </w:rPr>
              <w:t>No consolidated project × product × period view; data assembled manually from multiple Oracle extracts</w:t>
            </w:r>
          </w:p>
        </w:tc>
        <w:tc>
          <w:tcPr>
            <w:tcW w:type="dxa" w:w="4195"/>
          </w:tcPr>
          <w:p>
            <w:pPr>
              <w:spacing w:after="20" w:before="20" w:line="240" w:lineRule="auto"/>
            </w:pPr>
            <w:r/>
            <w:r>
              <w:rPr>
                <w:rFonts w:ascii="Calibri" w:hAnsi="Calibri"/>
                <w:b w:val="0"/>
                <w:sz w:val="17"/>
              </w:rPr>
              <w:t>Analysis is slow, non-repeatable and dependent on individuals</w:t>
            </w:r>
          </w:p>
        </w:tc>
      </w:tr>
      <w:tr>
        <w:tc>
          <w:tcPr>
            <w:tcW w:type="dxa" w:w="794"/>
            <w:shd w:val="clear" w:fill="F7F9FB"/>
          </w:tcPr>
          <w:p>
            <w:pPr>
              <w:spacing w:after="20" w:before="20" w:line="240" w:lineRule="auto"/>
              <w:jc w:val="center"/>
            </w:pPr>
            <w:r/>
            <w:r>
              <w:rPr>
                <w:rFonts w:ascii="Calibri" w:hAnsi="Calibri"/>
                <w:b w:val="0"/>
                <w:sz w:val="17"/>
              </w:rPr>
              <w:t>P-2</w:t>
            </w:r>
          </w:p>
        </w:tc>
        <w:tc>
          <w:tcPr>
            <w:tcW w:type="dxa" w:w="4762"/>
            <w:shd w:val="clear" w:fill="F7F9FB"/>
          </w:tcPr>
          <w:p>
            <w:pPr>
              <w:spacing w:after="20" w:before="20" w:line="240" w:lineRule="auto"/>
            </w:pPr>
            <w:r/>
            <w:r>
              <w:rPr>
                <w:rFonts w:ascii="Calibri" w:hAnsi="Calibri"/>
                <w:b w:val="0"/>
                <w:sz w:val="17"/>
              </w:rPr>
              <w:t>Consumption and procurement reported separately, never reconciled</w:t>
            </w:r>
          </w:p>
        </w:tc>
        <w:tc>
          <w:tcPr>
            <w:tcW w:type="dxa" w:w="4195"/>
            <w:shd w:val="clear" w:fill="F7F9FB"/>
          </w:tcPr>
          <w:p>
            <w:pPr>
              <w:spacing w:after="20" w:before="20" w:line="240" w:lineRule="auto"/>
            </w:pPr>
            <w:r/>
            <w:r>
              <w:rPr>
                <w:rFonts w:ascii="Calibri" w:hAnsi="Calibri"/>
                <w:b w:val="0"/>
                <w:sz w:val="17"/>
              </w:rPr>
              <w:t>Investment cannot be judged against use; over-buying is invisible</w:t>
            </w:r>
          </w:p>
        </w:tc>
      </w:tr>
      <w:tr>
        <w:tc>
          <w:tcPr>
            <w:tcW w:type="dxa" w:w="794"/>
          </w:tcPr>
          <w:p>
            <w:pPr>
              <w:spacing w:after="20" w:before="20" w:line="240" w:lineRule="auto"/>
              <w:jc w:val="center"/>
            </w:pPr>
            <w:r/>
            <w:r>
              <w:rPr>
                <w:rFonts w:ascii="Calibri" w:hAnsi="Calibri"/>
                <w:b w:val="0"/>
                <w:sz w:val="17"/>
              </w:rPr>
              <w:t>P-3</w:t>
            </w:r>
          </w:p>
        </w:tc>
        <w:tc>
          <w:tcPr>
            <w:tcW w:type="dxa" w:w="4762"/>
          </w:tcPr>
          <w:p>
            <w:pPr>
              <w:spacing w:after="20" w:before="20" w:line="240" w:lineRule="auto"/>
            </w:pPr>
            <w:r/>
            <w:r>
              <w:rPr>
                <w:rFonts w:ascii="Calibri" w:hAnsi="Calibri"/>
                <w:b w:val="0"/>
                <w:sz w:val="17"/>
              </w:rPr>
              <w:t>Inconsistent project coding at transaction level (some issues charged to generic cost centres)</w:t>
            </w:r>
          </w:p>
        </w:tc>
        <w:tc>
          <w:tcPr>
            <w:tcW w:type="dxa" w:w="4195"/>
          </w:tcPr>
          <w:p>
            <w:pPr>
              <w:spacing w:after="20" w:before="20" w:line="240" w:lineRule="auto"/>
            </w:pPr>
            <w:r/>
            <w:r>
              <w:rPr>
                <w:rFonts w:ascii="Calibri" w:hAnsi="Calibri"/>
                <w:b w:val="0"/>
                <w:sz w:val="17"/>
              </w:rPr>
              <w:t>Attribution is unreliable; project managers distrust the figures</w:t>
            </w:r>
          </w:p>
        </w:tc>
      </w:tr>
      <w:tr>
        <w:tc>
          <w:tcPr>
            <w:tcW w:type="dxa" w:w="794"/>
            <w:shd w:val="clear" w:fill="F7F9FB"/>
          </w:tcPr>
          <w:p>
            <w:pPr>
              <w:spacing w:after="20" w:before="20" w:line="240" w:lineRule="auto"/>
              <w:jc w:val="center"/>
            </w:pPr>
            <w:r/>
            <w:r>
              <w:rPr>
                <w:rFonts w:ascii="Calibri" w:hAnsi="Calibri"/>
                <w:b w:val="0"/>
                <w:sz w:val="17"/>
              </w:rPr>
              <w:t>P-4</w:t>
            </w:r>
          </w:p>
        </w:tc>
        <w:tc>
          <w:tcPr>
            <w:tcW w:type="dxa" w:w="4762"/>
            <w:shd w:val="clear" w:fill="F7F9FB"/>
          </w:tcPr>
          <w:p>
            <w:pPr>
              <w:spacing w:after="20" w:before="20" w:line="240" w:lineRule="auto"/>
            </w:pPr>
            <w:r/>
            <w:r>
              <w:rPr>
                <w:rFonts w:ascii="Calibri" w:hAnsi="Calibri"/>
                <w:b w:val="0"/>
                <w:sz w:val="17"/>
              </w:rPr>
              <w:t>No trend analysis, only static period totals</w:t>
            </w:r>
          </w:p>
        </w:tc>
        <w:tc>
          <w:tcPr>
            <w:tcW w:type="dxa" w:w="4195"/>
            <w:shd w:val="clear" w:fill="F7F9FB"/>
          </w:tcPr>
          <w:p>
            <w:pPr>
              <w:spacing w:after="20" w:before="20" w:line="240" w:lineRule="auto"/>
            </w:pPr>
            <w:r/>
            <w:r>
              <w:rPr>
                <w:rFonts w:ascii="Calibri" w:hAnsi="Calibri"/>
                <w:b w:val="0"/>
                <w:sz w:val="17"/>
              </w:rPr>
              <w:t>Seasonality, growth and abnormal movements are missed</w:t>
            </w:r>
          </w:p>
        </w:tc>
      </w:tr>
      <w:tr>
        <w:tc>
          <w:tcPr>
            <w:tcW w:type="dxa" w:w="794"/>
          </w:tcPr>
          <w:p>
            <w:pPr>
              <w:spacing w:after="20" w:before="20" w:line="240" w:lineRule="auto"/>
              <w:jc w:val="center"/>
            </w:pPr>
            <w:r/>
            <w:r>
              <w:rPr>
                <w:rFonts w:ascii="Calibri" w:hAnsi="Calibri"/>
                <w:b w:val="0"/>
                <w:sz w:val="17"/>
              </w:rPr>
              <w:t>P-5</w:t>
            </w:r>
          </w:p>
        </w:tc>
        <w:tc>
          <w:tcPr>
            <w:tcW w:type="dxa" w:w="4762"/>
          </w:tcPr>
          <w:p>
            <w:pPr>
              <w:spacing w:after="20" w:before="20" w:line="240" w:lineRule="auto"/>
            </w:pPr>
            <w:r/>
            <w:r>
              <w:rPr>
                <w:rFonts w:ascii="Calibri" w:hAnsi="Calibri"/>
                <w:b w:val="0"/>
                <w:sz w:val="17"/>
              </w:rPr>
              <w:t>No stock-health or expiry analytics</w:t>
            </w:r>
          </w:p>
        </w:tc>
        <w:tc>
          <w:tcPr>
            <w:tcW w:type="dxa" w:w="4195"/>
          </w:tcPr>
          <w:p>
            <w:pPr>
              <w:spacing w:after="20" w:before="20" w:line="240" w:lineRule="auto"/>
            </w:pPr>
            <w:r/>
            <w:r>
              <w:rPr>
                <w:rFonts w:ascii="Calibri" w:hAnsi="Calibri"/>
                <w:b w:val="0"/>
                <w:sz w:val="17"/>
              </w:rPr>
              <w:t>Blocked capital, wastage and stock-outs discovered late</w:t>
            </w:r>
          </w:p>
        </w:tc>
      </w:tr>
      <w:tr>
        <w:tc>
          <w:tcPr>
            <w:tcW w:type="dxa" w:w="794"/>
            <w:shd w:val="clear" w:fill="F7F9FB"/>
          </w:tcPr>
          <w:p>
            <w:pPr>
              <w:spacing w:after="20" w:before="20" w:line="240" w:lineRule="auto"/>
              <w:jc w:val="center"/>
            </w:pPr>
            <w:r/>
            <w:r>
              <w:rPr>
                <w:rFonts w:ascii="Calibri" w:hAnsi="Calibri"/>
                <w:b w:val="0"/>
                <w:sz w:val="17"/>
              </w:rPr>
              <w:t>P-6</w:t>
            </w:r>
          </w:p>
        </w:tc>
        <w:tc>
          <w:tcPr>
            <w:tcW w:type="dxa" w:w="4762"/>
            <w:shd w:val="clear" w:fill="F7F9FB"/>
          </w:tcPr>
          <w:p>
            <w:pPr>
              <w:spacing w:after="20" w:before="20" w:line="240" w:lineRule="auto"/>
            </w:pPr>
            <w:r/>
            <w:r>
              <w:rPr>
                <w:rFonts w:ascii="Calibri" w:hAnsi="Calibri"/>
                <w:b w:val="0"/>
                <w:sz w:val="17"/>
              </w:rPr>
              <w:t>No linkage between consumption and service delivery output</w:t>
            </w:r>
          </w:p>
        </w:tc>
        <w:tc>
          <w:tcPr>
            <w:tcW w:type="dxa" w:w="4195"/>
            <w:shd w:val="clear" w:fill="F7F9FB"/>
          </w:tcPr>
          <w:p>
            <w:pPr>
              <w:spacing w:after="20" w:before="20" w:line="240" w:lineRule="auto"/>
            </w:pPr>
            <w:r/>
            <w:r>
              <w:rPr>
                <w:rFonts w:ascii="Calibri" w:hAnsi="Calibri"/>
                <w:b w:val="0"/>
                <w:sz w:val="17"/>
              </w:rPr>
              <w:t>Cost per beneficiary cannot be evidenced</w:t>
            </w:r>
          </w:p>
        </w:tc>
      </w:tr>
      <w:tr>
        <w:tc>
          <w:tcPr>
            <w:tcW w:type="dxa" w:w="794"/>
          </w:tcPr>
          <w:p>
            <w:pPr>
              <w:spacing w:after="20" w:before="20" w:line="240" w:lineRule="auto"/>
              <w:jc w:val="center"/>
            </w:pPr>
            <w:r/>
            <w:r>
              <w:rPr>
                <w:rFonts w:ascii="Calibri" w:hAnsi="Calibri"/>
                <w:b w:val="0"/>
                <w:sz w:val="17"/>
              </w:rPr>
              <w:t>P-7</w:t>
            </w:r>
          </w:p>
        </w:tc>
        <w:tc>
          <w:tcPr>
            <w:tcW w:type="dxa" w:w="4762"/>
          </w:tcPr>
          <w:p>
            <w:pPr>
              <w:spacing w:after="20" w:before="20" w:line="240" w:lineRule="auto"/>
            </w:pPr>
            <w:r/>
            <w:r>
              <w:rPr>
                <w:rFonts w:ascii="Calibri" w:hAnsi="Calibri"/>
                <w:b w:val="0"/>
                <w:sz w:val="17"/>
              </w:rPr>
              <w:t>Manual reconciliation across Programme, Procurement and Finance</w:t>
            </w:r>
          </w:p>
        </w:tc>
        <w:tc>
          <w:tcPr>
            <w:tcW w:type="dxa" w:w="4195"/>
          </w:tcPr>
          <w:p>
            <w:pPr>
              <w:spacing w:after="20" w:before="20" w:line="240" w:lineRule="auto"/>
            </w:pPr>
            <w:r/>
            <w:r>
              <w:rPr>
                <w:rFonts w:ascii="Calibri" w:hAnsi="Calibri"/>
                <w:b w:val="0"/>
                <w:sz w:val="17"/>
              </w:rPr>
              <w:t>Conflicting numbers, duplicated effort, weak audit trail</w:t>
            </w:r>
          </w:p>
        </w:tc>
      </w:tr>
    </w:tbl>
    <w:p>
      <w:pPr>
        <w:spacing w:after="20"/>
      </w:pPr>
    </w:p>
    <w:p>
      <w:pPr>
        <w:pStyle w:val="Heading1"/>
      </w:pPr>
      <w:r>
        <w:t>5. Scope</w:t>
      </w:r>
    </w:p>
    <w:p>
      <w:pPr>
        <w:pStyle w:val="Heading2"/>
      </w:pPr>
      <w:r>
        <w:t>5.1 In scope</w:t>
      </w:r>
    </w:p>
    <w:p>
      <w:pPr>
        <w:pStyle w:val="ListBullet"/>
        <w:spacing w:after="50"/>
        <w:ind w:left="340"/>
      </w:pPr>
      <w:r>
        <w:t>Consumption of all items in the item master, issued from any VPT warehouse to any project, department or service point.</w:t>
      </w:r>
    </w:p>
    <w:p>
      <w:pPr>
        <w:pStyle w:val="ListBullet"/>
        <w:spacing w:after="50"/>
        <w:ind w:left="340"/>
      </w:pPr>
      <w:r>
        <w:t>Procurement transactions: requisitions, purchase orders, goods receipts, batches, prices and suppliers.</w:t>
      </w:r>
    </w:p>
    <w:p>
      <w:pPr>
        <w:pStyle w:val="ListBullet"/>
        <w:spacing w:after="50"/>
        <w:ind w:left="340"/>
      </w:pPr>
      <w:r>
        <w:t>Budget data by project, fiscal year and expense category, for comparison with consumption.</w:t>
      </w:r>
    </w:p>
    <w:p>
      <w:pPr>
        <w:pStyle w:val="ListBullet"/>
        <w:spacing w:after="50"/>
        <w:ind w:left="340"/>
      </w:pPr>
      <w:r>
        <w:t>Service-delivery counts by project and month, for cost-per-beneficiary and cost-per-visit measures.</w:t>
      </w:r>
    </w:p>
    <w:p>
      <w:pPr>
        <w:pStyle w:val="ListBullet"/>
        <w:spacing w:after="50"/>
        <w:ind w:left="340"/>
      </w:pPr>
      <w:r>
        <w:t>Master data: donors, projects, items, suppliers, warehouses, calendar.</w:t>
      </w:r>
    </w:p>
    <w:p>
      <w:pPr>
        <w:pStyle w:val="ListBullet"/>
        <w:spacing w:after="50"/>
        <w:ind w:left="340"/>
      </w:pPr>
      <w:r>
        <w:t>All projects active at any point in the reporting window, including closed projects for the periods during which they were active.</w:t>
      </w:r>
    </w:p>
    <w:p>
      <w:pPr>
        <w:pStyle w:val="ListBullet"/>
        <w:spacing w:after="50"/>
        <w:ind w:left="340"/>
      </w:pPr>
      <w:r>
        <w:t>Historical load of at least 24 months before go-live, and a monthly historical refresh thereafter.</w:t>
      </w:r>
    </w:p>
    <w:p>
      <w:pPr>
        <w:pStyle w:val="ListBullet"/>
        <w:spacing w:after="50"/>
        <w:ind w:left="340"/>
      </w:pPr>
      <w:r>
        <w:t>Analysis views, exception reporting, scheduled distribution and export.</w:t>
      </w:r>
    </w:p>
    <w:p>
      <w:pPr>
        <w:pStyle w:val="Heading2"/>
      </w:pPr>
      <w:r>
        <w:t>5.2 Out of scope (this release)</w:t>
      </w:r>
    </w:p>
    <w:tbl>
      <w:tblPr>
        <w:tblStyle w:val="TableGrid"/>
        <w:tblW w:type="auto" w:w="0"/>
        <w:jc w:val="center"/>
        <w:tblLayout w:type="fixed"/>
        <w:tblLook w:firstColumn="1" w:firstRow="1" w:lastColumn="0" w:lastRow="0" w:noHBand="0" w:noVBand="1" w:val="04A0"/>
      </w:tblPr>
      <w:tblGrid>
        <w:gridCol w:w="5043"/>
        <w:gridCol w:w="5043"/>
      </w:tblGrid>
      <w:tr>
        <w:trPr>
          <w:tblHeader/>
        </w:trPr>
        <w:tc>
          <w:tcPr>
            <w:tcW w:type="dxa" w:w="4195"/>
            <w:shd w:val="clear" w:fill="1F3B57"/>
          </w:tcPr>
          <w:p>
            <w:pPr>
              <w:spacing w:after="20" w:before="20" w:line="240" w:lineRule="auto"/>
            </w:pPr>
            <w:r/>
            <w:r>
              <w:rPr>
                <w:rFonts w:ascii="Calibri" w:hAnsi="Calibri"/>
                <w:b/>
                <w:color w:val="FFFFFF"/>
                <w:sz w:val="17"/>
              </w:rPr>
              <w:t>Excluded item</w:t>
            </w:r>
          </w:p>
        </w:tc>
        <w:tc>
          <w:tcPr>
            <w:tcW w:type="dxa" w:w="5556"/>
            <w:shd w:val="clear" w:fill="1F3B57"/>
          </w:tcPr>
          <w:p>
            <w:pPr>
              <w:spacing w:after="20" w:before="20" w:line="240" w:lineRule="auto"/>
            </w:pPr>
            <w:r/>
            <w:r>
              <w:rPr>
                <w:rFonts w:ascii="Calibri" w:hAnsi="Calibri"/>
                <w:b/>
                <w:color w:val="FFFFFF"/>
                <w:sz w:val="17"/>
              </w:rPr>
              <w:t>Rationale / planned treatment</w:t>
            </w:r>
          </w:p>
        </w:tc>
      </w:tr>
      <w:tr>
        <w:tc>
          <w:tcPr>
            <w:tcW w:type="dxa" w:w="4195"/>
          </w:tcPr>
          <w:p>
            <w:pPr>
              <w:spacing w:after="20" w:before="20" w:line="240" w:lineRule="auto"/>
            </w:pPr>
            <w:r/>
            <w:r>
              <w:rPr>
                <w:rFonts w:ascii="Calibri" w:hAnsi="Calibri"/>
                <w:b w:val="0"/>
                <w:sz w:val="17"/>
              </w:rPr>
              <w:t>Re-design or change of Oracle transactional processes</w:t>
            </w:r>
          </w:p>
        </w:tc>
        <w:tc>
          <w:tcPr>
            <w:tcW w:type="dxa" w:w="5556"/>
          </w:tcPr>
          <w:p>
            <w:pPr>
              <w:spacing w:after="20" w:before="20" w:line="240" w:lineRule="auto"/>
            </w:pPr>
            <w:r/>
            <w:r>
              <w:rPr>
                <w:rFonts w:ascii="Calibri" w:hAnsi="Calibri"/>
                <w:b w:val="0"/>
                <w:sz w:val="17"/>
              </w:rPr>
              <w:t>Master-data and coding improvements will be raised separately as business-as-usual actions</w:t>
            </w:r>
          </w:p>
        </w:tc>
      </w:tr>
      <w:tr>
        <w:tc>
          <w:tcPr>
            <w:tcW w:type="dxa" w:w="4195"/>
            <w:shd w:val="clear" w:fill="F7F9FB"/>
          </w:tcPr>
          <w:p>
            <w:pPr>
              <w:spacing w:after="20" w:before="20" w:line="240" w:lineRule="auto"/>
            </w:pPr>
            <w:r/>
            <w:r>
              <w:rPr>
                <w:rFonts w:ascii="Calibri" w:hAnsi="Calibri"/>
                <w:b w:val="0"/>
                <w:sz w:val="17"/>
              </w:rPr>
              <w:t>Full grant accounting, donor invoicing and profitability reporting</w:t>
            </w:r>
          </w:p>
        </w:tc>
        <w:tc>
          <w:tcPr>
            <w:tcW w:type="dxa" w:w="5556"/>
            <w:shd w:val="clear" w:fill="F7F9FB"/>
          </w:tcPr>
          <w:p>
            <w:pPr>
              <w:spacing w:after="20" w:before="20" w:line="240" w:lineRule="auto"/>
            </w:pPr>
            <w:r/>
            <w:r>
              <w:rPr>
                <w:rFonts w:ascii="Calibri" w:hAnsi="Calibri"/>
                <w:b w:val="0"/>
                <w:sz w:val="17"/>
              </w:rPr>
              <w:t>Separate finance initiative; this dashboard uses budget data only for comparison</w:t>
            </w:r>
          </w:p>
        </w:tc>
      </w:tr>
      <w:tr>
        <w:tc>
          <w:tcPr>
            <w:tcW w:type="dxa" w:w="4195"/>
          </w:tcPr>
          <w:p>
            <w:pPr>
              <w:spacing w:after="20" w:before="20" w:line="240" w:lineRule="auto"/>
            </w:pPr>
            <w:r/>
            <w:r>
              <w:rPr>
                <w:rFonts w:ascii="Calibri" w:hAnsi="Calibri"/>
                <w:b w:val="0"/>
                <w:sz w:val="17"/>
              </w:rPr>
              <w:t>Fixed assets, depreciation and equipment maintenance</w:t>
            </w:r>
          </w:p>
        </w:tc>
        <w:tc>
          <w:tcPr>
            <w:tcW w:type="dxa" w:w="5556"/>
          </w:tcPr>
          <w:p>
            <w:pPr>
              <w:spacing w:after="20" w:before="20" w:line="240" w:lineRule="auto"/>
            </w:pPr>
            <w:r/>
            <w:r>
              <w:rPr>
                <w:rFonts w:ascii="Calibri" w:hAnsi="Calibri"/>
                <w:b w:val="0"/>
                <w:sz w:val="17"/>
              </w:rPr>
              <w:t>Equipment is reported for purchase and issue value only; asset register is out of scope</w:t>
            </w:r>
          </w:p>
        </w:tc>
      </w:tr>
      <w:tr>
        <w:tc>
          <w:tcPr>
            <w:tcW w:type="dxa" w:w="4195"/>
            <w:shd w:val="clear" w:fill="F7F9FB"/>
          </w:tcPr>
          <w:p>
            <w:pPr>
              <w:spacing w:after="20" w:before="20" w:line="240" w:lineRule="auto"/>
            </w:pPr>
            <w:r/>
            <w:r>
              <w:rPr>
                <w:rFonts w:ascii="Calibri" w:hAnsi="Calibri"/>
                <w:b w:val="0"/>
                <w:sz w:val="17"/>
              </w:rPr>
              <w:t>HR, payroll, fleet and travel expenditure</w:t>
            </w:r>
          </w:p>
        </w:tc>
        <w:tc>
          <w:tcPr>
            <w:tcW w:type="dxa" w:w="5556"/>
            <w:shd w:val="clear" w:fill="F7F9FB"/>
          </w:tcPr>
          <w:p>
            <w:pPr>
              <w:spacing w:after="20" w:before="20" w:line="240" w:lineRule="auto"/>
            </w:pPr>
            <w:r/>
            <w:r>
              <w:rPr>
                <w:rFonts w:ascii="Calibri" w:hAnsi="Calibri"/>
                <w:b w:val="0"/>
                <w:sz w:val="17"/>
              </w:rPr>
              <w:t>Out of scope; only product consumption and related budget lines are analysed</w:t>
            </w:r>
          </w:p>
        </w:tc>
      </w:tr>
      <w:tr>
        <w:tc>
          <w:tcPr>
            <w:tcW w:type="dxa" w:w="4195"/>
          </w:tcPr>
          <w:p>
            <w:pPr>
              <w:spacing w:after="20" w:before="20" w:line="240" w:lineRule="auto"/>
            </w:pPr>
            <w:r/>
            <w:r>
              <w:rPr>
                <w:rFonts w:ascii="Calibri" w:hAnsi="Calibri"/>
                <w:b w:val="0"/>
                <w:sz w:val="17"/>
              </w:rPr>
              <w:t>Physical stock verification, bin-card digitisation and warehouse automation</w:t>
            </w:r>
          </w:p>
        </w:tc>
        <w:tc>
          <w:tcPr>
            <w:tcW w:type="dxa" w:w="5556"/>
          </w:tcPr>
          <w:p>
            <w:pPr>
              <w:spacing w:after="20" w:before="20" w:line="240" w:lineRule="auto"/>
            </w:pPr>
            <w:r/>
            <w:r>
              <w:rPr>
                <w:rFonts w:ascii="Calibri" w:hAnsi="Calibri"/>
                <w:b w:val="0"/>
                <w:sz w:val="17"/>
              </w:rPr>
              <w:t>Operational initiative, independent of the dashboard</w:t>
            </w:r>
          </w:p>
        </w:tc>
      </w:tr>
      <w:tr>
        <w:tc>
          <w:tcPr>
            <w:tcW w:type="dxa" w:w="4195"/>
            <w:shd w:val="clear" w:fill="F7F9FB"/>
          </w:tcPr>
          <w:p>
            <w:pPr>
              <w:spacing w:after="20" w:before="20" w:line="240" w:lineRule="auto"/>
            </w:pPr>
            <w:r/>
            <w:r>
              <w:rPr>
                <w:rFonts w:ascii="Calibri" w:hAnsi="Calibri"/>
                <w:b w:val="0"/>
                <w:sz w:val="17"/>
              </w:rPr>
              <w:t>Predictive forecasting using machine learning</w:t>
            </w:r>
          </w:p>
        </w:tc>
        <w:tc>
          <w:tcPr>
            <w:tcW w:type="dxa" w:w="5556"/>
            <w:shd w:val="clear" w:fill="F7F9FB"/>
          </w:tcPr>
          <w:p>
            <w:pPr>
              <w:spacing w:after="20" w:before="20" w:line="240" w:lineRule="auto"/>
            </w:pPr>
            <w:r/>
            <w:r>
              <w:rPr>
                <w:rFonts w:ascii="Calibri" w:hAnsi="Calibri"/>
                <w:b w:val="0"/>
                <w:sz w:val="17"/>
              </w:rPr>
              <w:t>Deferred to Phase 2; Phase 1 provides trend-based indicative projection only</w:t>
            </w:r>
          </w:p>
        </w:tc>
      </w:tr>
      <w:tr>
        <w:tc>
          <w:tcPr>
            <w:tcW w:type="dxa" w:w="4195"/>
          </w:tcPr>
          <w:p>
            <w:pPr>
              <w:spacing w:after="20" w:before="20" w:line="240" w:lineRule="auto"/>
            </w:pPr>
            <w:r/>
            <w:r>
              <w:rPr>
                <w:rFonts w:ascii="Calibri" w:hAnsi="Calibri"/>
                <w:b w:val="0"/>
                <w:sz w:val="17"/>
              </w:rPr>
              <w:t>Mobile application</w:t>
            </w:r>
          </w:p>
        </w:tc>
        <w:tc>
          <w:tcPr>
            <w:tcW w:type="dxa" w:w="5556"/>
          </w:tcPr>
          <w:p>
            <w:pPr>
              <w:spacing w:after="20" w:before="20" w:line="240" w:lineRule="auto"/>
            </w:pPr>
            <w:r/>
            <w:r>
              <w:rPr>
                <w:rFonts w:ascii="Calibri" w:hAnsi="Calibri"/>
                <w:b w:val="0"/>
                <w:sz w:val="17"/>
              </w:rPr>
              <w:t>Responsive browser view only</w:t>
            </w:r>
          </w:p>
        </w:tc>
      </w:tr>
      <w:tr>
        <w:tc>
          <w:tcPr>
            <w:tcW w:type="dxa" w:w="4195"/>
            <w:shd w:val="clear" w:fill="F7F9FB"/>
          </w:tcPr>
          <w:p>
            <w:pPr>
              <w:spacing w:after="20" w:before="20" w:line="240" w:lineRule="auto"/>
            </w:pPr>
            <w:r/>
            <w:r>
              <w:rPr>
                <w:rFonts w:ascii="Calibri" w:hAnsi="Calibri"/>
                <w:b w:val="0"/>
                <w:sz w:val="17"/>
              </w:rPr>
              <w:t>Real-time (intra-day) reporting</w:t>
            </w:r>
          </w:p>
        </w:tc>
        <w:tc>
          <w:tcPr>
            <w:tcW w:type="dxa" w:w="5556"/>
            <w:shd w:val="clear" w:fill="F7F9FB"/>
          </w:tcPr>
          <w:p>
            <w:pPr>
              <w:spacing w:after="20" w:before="20" w:line="240" w:lineRule="auto"/>
            </w:pPr>
            <w:r/>
            <w:r>
              <w:rPr>
                <w:rFonts w:ascii="Calibri" w:hAnsi="Calibri"/>
                <w:b w:val="0"/>
                <w:sz w:val="17"/>
              </w:rPr>
              <w:t>Daily refresh is sufficient for the business need</w:t>
            </w:r>
          </w:p>
        </w:tc>
      </w:tr>
    </w:tbl>
    <w:p>
      <w:pPr>
        <w:spacing w:after="20"/>
      </w:pPr>
    </w:p>
    <w:p>
      <w:pPr>
        <w:pStyle w:val="Heading2"/>
      </w:pPr>
      <w:r>
        <w:t>5.3 Phasing</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trPr>
        <w:tc>
          <w:tcPr>
            <w:tcW w:type="dxa" w:w="1928"/>
            <w:shd w:val="clear" w:fill="1F3B57"/>
          </w:tcPr>
          <w:p>
            <w:pPr>
              <w:spacing w:after="20" w:before="20" w:line="240" w:lineRule="auto"/>
            </w:pPr>
            <w:r/>
            <w:r>
              <w:rPr>
                <w:rFonts w:ascii="Calibri" w:hAnsi="Calibri"/>
                <w:b/>
                <w:color w:val="FFFFFF"/>
                <w:sz w:val="17"/>
              </w:rPr>
              <w:t>Phase</w:t>
            </w:r>
          </w:p>
        </w:tc>
        <w:tc>
          <w:tcPr>
            <w:tcW w:type="dxa" w:w="6463"/>
            <w:shd w:val="clear" w:fill="1F3B57"/>
          </w:tcPr>
          <w:p>
            <w:pPr>
              <w:spacing w:after="20" w:before="20" w:line="240" w:lineRule="auto"/>
            </w:pPr>
            <w:r/>
            <w:r>
              <w:rPr>
                <w:rFonts w:ascii="Calibri" w:hAnsi="Calibri"/>
                <w:b/>
                <w:color w:val="FFFFFF"/>
                <w:sz w:val="17"/>
              </w:rPr>
              <w:t>Content</w:t>
            </w:r>
          </w:p>
        </w:tc>
        <w:tc>
          <w:tcPr>
            <w:tcW w:type="dxa" w:w="1361"/>
            <w:shd w:val="clear" w:fill="1F3B57"/>
          </w:tcPr>
          <w:p>
            <w:pPr>
              <w:spacing w:after="20" w:before="20" w:line="240" w:lineRule="auto"/>
            </w:pPr>
            <w:r/>
            <w:r>
              <w:rPr>
                <w:rFonts w:ascii="Calibri" w:hAnsi="Calibri"/>
                <w:b/>
                <w:color w:val="FFFFFF"/>
                <w:sz w:val="17"/>
              </w:rPr>
              <w:t>Indicative duration</w:t>
            </w:r>
          </w:p>
        </w:tc>
      </w:tr>
      <w:tr>
        <w:tc>
          <w:tcPr>
            <w:tcW w:type="dxa" w:w="1928"/>
          </w:tcPr>
          <w:p>
            <w:pPr>
              <w:spacing w:after="20" w:before="20" w:line="240" w:lineRule="auto"/>
            </w:pPr>
            <w:r/>
            <w:r>
              <w:rPr>
                <w:rFonts w:ascii="Calibri" w:hAnsi="Calibri"/>
                <w:b w:val="0"/>
                <w:sz w:val="17"/>
              </w:rPr>
              <w:t>Phase 0 – Foundation</w:t>
            </w:r>
          </w:p>
        </w:tc>
        <w:tc>
          <w:tcPr>
            <w:tcW w:type="dxa" w:w="6463"/>
          </w:tcPr>
          <w:p>
            <w:pPr>
              <w:spacing w:after="20" w:before="20" w:line="240" w:lineRule="auto"/>
            </w:pPr>
            <w:r/>
            <w:r>
              <w:rPr>
                <w:rFonts w:ascii="Calibri" w:hAnsi="Calibri"/>
                <w:b w:val="0"/>
                <w:sz w:val="17"/>
              </w:rPr>
              <w:t>Requirement sign-off, data profiling, KPI definitions, security model agreement</w:t>
            </w:r>
          </w:p>
        </w:tc>
        <w:tc>
          <w:tcPr>
            <w:tcW w:type="dxa" w:w="1361"/>
          </w:tcPr>
          <w:p>
            <w:pPr>
              <w:spacing w:after="20" w:before="20" w:line="240" w:lineRule="auto"/>
              <w:jc w:val="center"/>
            </w:pPr>
            <w:r/>
            <w:r>
              <w:rPr>
                <w:rFonts w:ascii="Calibri" w:hAnsi="Calibri"/>
                <w:b w:val="0"/>
                <w:sz w:val="17"/>
              </w:rPr>
              <w:t>3 weeks</w:t>
            </w:r>
          </w:p>
        </w:tc>
      </w:tr>
      <w:tr>
        <w:tc>
          <w:tcPr>
            <w:tcW w:type="dxa" w:w="1928"/>
            <w:shd w:val="clear" w:fill="F7F9FB"/>
          </w:tcPr>
          <w:p>
            <w:pPr>
              <w:spacing w:after="20" w:before="20" w:line="240" w:lineRule="auto"/>
            </w:pPr>
            <w:r/>
            <w:r>
              <w:rPr>
                <w:rFonts w:ascii="Calibri" w:hAnsi="Calibri"/>
                <w:b w:val="0"/>
                <w:sz w:val="17"/>
              </w:rPr>
              <w:t>Phase 1 – Core</w:t>
            </w:r>
          </w:p>
        </w:tc>
        <w:tc>
          <w:tcPr>
            <w:tcW w:type="dxa" w:w="6463"/>
            <w:shd w:val="clear" w:fill="F7F9FB"/>
          </w:tcPr>
          <w:p>
            <w:pPr>
              <w:spacing w:after="20" w:before="20" w:line="240" w:lineRule="auto"/>
            </w:pPr>
            <w:r/>
            <w:r>
              <w:rPr>
                <w:rFonts w:ascii="Calibri" w:hAnsi="Calibri"/>
                <w:b w:val="0"/>
                <w:sz w:val="17"/>
              </w:rPr>
              <w:t>Consumption and investment analysis, trend, project and product views, exceptions, budget variance</w:t>
            </w:r>
          </w:p>
        </w:tc>
        <w:tc>
          <w:tcPr>
            <w:tcW w:type="dxa" w:w="1361"/>
            <w:shd w:val="clear" w:fill="F7F9FB"/>
          </w:tcPr>
          <w:p>
            <w:pPr>
              <w:spacing w:after="20" w:before="20" w:line="240" w:lineRule="auto"/>
              <w:jc w:val="center"/>
            </w:pPr>
            <w:r/>
            <w:r>
              <w:rPr>
                <w:rFonts w:ascii="Calibri" w:hAnsi="Calibri"/>
                <w:b w:val="0"/>
                <w:sz w:val="17"/>
              </w:rPr>
              <w:t>8 weeks</w:t>
            </w:r>
          </w:p>
        </w:tc>
      </w:tr>
      <w:tr>
        <w:tc>
          <w:tcPr>
            <w:tcW w:type="dxa" w:w="1928"/>
          </w:tcPr>
          <w:p>
            <w:pPr>
              <w:spacing w:after="20" w:before="20" w:line="240" w:lineRule="auto"/>
            </w:pPr>
            <w:r/>
            <w:r>
              <w:rPr>
                <w:rFonts w:ascii="Calibri" w:hAnsi="Calibri"/>
                <w:b w:val="0"/>
                <w:sz w:val="17"/>
              </w:rPr>
              <w:t>Phase 2 – Extended</w:t>
            </w:r>
          </w:p>
        </w:tc>
        <w:tc>
          <w:tcPr>
            <w:tcW w:type="dxa" w:w="6463"/>
          </w:tcPr>
          <w:p>
            <w:pPr>
              <w:spacing w:after="20" w:before="20" w:line="240" w:lineRule="auto"/>
            </w:pPr>
            <w:r/>
            <w:r>
              <w:rPr>
                <w:rFonts w:ascii="Calibri" w:hAnsi="Calibri"/>
                <w:b w:val="0"/>
                <w:sz w:val="17"/>
              </w:rPr>
              <w:t>Stock health, expiry, supplier and price analytics, cost per beneficiary, subscriptions</w:t>
            </w:r>
          </w:p>
        </w:tc>
        <w:tc>
          <w:tcPr>
            <w:tcW w:type="dxa" w:w="1361"/>
          </w:tcPr>
          <w:p>
            <w:pPr>
              <w:spacing w:after="20" w:before="20" w:line="240" w:lineRule="auto"/>
              <w:jc w:val="center"/>
            </w:pPr>
            <w:r/>
            <w:r>
              <w:rPr>
                <w:rFonts w:ascii="Calibri" w:hAnsi="Calibri"/>
                <w:b w:val="0"/>
                <w:sz w:val="17"/>
              </w:rPr>
              <w:t>5 weeks</w:t>
            </w:r>
          </w:p>
        </w:tc>
      </w:tr>
      <w:tr>
        <w:tc>
          <w:tcPr>
            <w:tcW w:type="dxa" w:w="1928"/>
            <w:shd w:val="clear" w:fill="F7F9FB"/>
          </w:tcPr>
          <w:p>
            <w:pPr>
              <w:spacing w:after="20" w:before="20" w:line="240" w:lineRule="auto"/>
            </w:pPr>
            <w:r/>
            <w:r>
              <w:rPr>
                <w:rFonts w:ascii="Calibri" w:hAnsi="Calibri"/>
                <w:b w:val="0"/>
                <w:sz w:val="17"/>
              </w:rPr>
              <w:t>Phase 3 – Optimise</w:t>
            </w:r>
          </w:p>
        </w:tc>
        <w:tc>
          <w:tcPr>
            <w:tcW w:type="dxa" w:w="6463"/>
            <w:shd w:val="clear" w:fill="F7F9FB"/>
          </w:tcPr>
          <w:p>
            <w:pPr>
              <w:spacing w:after="20" w:before="20" w:line="240" w:lineRule="auto"/>
            </w:pPr>
            <w:r/>
            <w:r>
              <w:rPr>
                <w:rFonts w:ascii="Calibri" w:hAnsi="Calibri"/>
                <w:b w:val="0"/>
                <w:sz w:val="17"/>
              </w:rPr>
              <w:t>Adoption support, forecast view, refinement of thresholds and alerts</w:t>
            </w:r>
          </w:p>
        </w:tc>
        <w:tc>
          <w:tcPr>
            <w:tcW w:type="dxa" w:w="1361"/>
            <w:shd w:val="clear" w:fill="F7F9FB"/>
          </w:tcPr>
          <w:p>
            <w:pPr>
              <w:spacing w:after="20" w:before="20" w:line="240" w:lineRule="auto"/>
              <w:jc w:val="center"/>
            </w:pPr>
            <w:r/>
            <w:r>
              <w:rPr>
                <w:rFonts w:ascii="Calibri" w:hAnsi="Calibri"/>
                <w:b w:val="0"/>
                <w:sz w:val="17"/>
              </w:rPr>
              <w:t>4 weeks</w:t>
            </w:r>
          </w:p>
        </w:tc>
      </w:tr>
    </w:tbl>
    <w:p>
      <w:pPr>
        <w:spacing w:after="20"/>
      </w:pPr>
    </w:p>
    <w:p>
      <w:pPr>
        <w:pStyle w:val="Heading2"/>
      </w:pPr>
      <w:r>
        <w:t>5.4 Reporting window and grain</w:t>
      </w:r>
    </w:p>
    <w:p>
      <w:pPr>
        <w:spacing w:after="100"/>
      </w:pPr>
      <w:r>
        <w:rPr>
          <w:b w:val="0"/>
          <w:i w:val="0"/>
        </w:rPr>
        <w:t>The reporting window supports any period from July 2024 onward. The finest transaction grain is one inventory issue line for one item, one batch and one issue date. Self-service analysis is expected at the following grains: project × item × month; project × category × month; supplier × item × month; warehouse × item × month; and project × service point × month.</w:t>
      </w:r>
    </w:p>
    <w:p>
      <w:r>
        <w:br w:type="page"/>
      </w:r>
    </w:p>
    <w:p>
      <w:pPr>
        <w:pStyle w:val="Heading1"/>
      </w:pPr>
      <w:r>
        <w:t>6. Stakeholders, Users and RACI</w:t>
      </w:r>
    </w:p>
    <w:p>
      <w:pPr>
        <w:pStyle w:val="Heading2"/>
      </w:pPr>
      <w:r>
        <w:t>6.1 User groups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trPr>
        <w:tc>
          <w:tcPr>
            <w:tcW w:type="dxa" w:w="2381"/>
            <w:shd w:val="clear" w:fill="1F3B57"/>
          </w:tcPr>
          <w:p>
            <w:pPr>
              <w:spacing w:after="20" w:before="20" w:line="240" w:lineRule="auto"/>
            </w:pPr>
            <w:r/>
            <w:r>
              <w:rPr>
                <w:rFonts w:ascii="Calibri" w:hAnsi="Calibri"/>
                <w:b/>
                <w:color w:val="FFFFFF"/>
                <w:sz w:val="17"/>
              </w:rPr>
              <w:t>User group</w:t>
            </w:r>
          </w:p>
        </w:tc>
        <w:tc>
          <w:tcPr>
            <w:tcW w:type="dxa" w:w="1361"/>
            <w:shd w:val="clear" w:fill="1F3B57"/>
          </w:tcPr>
          <w:p>
            <w:pPr>
              <w:spacing w:after="20" w:before="20" w:line="240" w:lineRule="auto"/>
            </w:pPr>
            <w:r/>
            <w:r>
              <w:rPr>
                <w:rFonts w:ascii="Calibri" w:hAnsi="Calibri"/>
                <w:b/>
                <w:color w:val="FFFFFF"/>
                <w:sz w:val="17"/>
              </w:rPr>
              <w:t>Indicative size</w:t>
            </w:r>
          </w:p>
        </w:tc>
        <w:tc>
          <w:tcPr>
            <w:tcW w:type="dxa" w:w="4195"/>
            <w:shd w:val="clear" w:fill="1F3B57"/>
          </w:tcPr>
          <w:p>
            <w:pPr>
              <w:spacing w:after="20" w:before="20" w:line="240" w:lineRule="auto"/>
            </w:pPr>
            <w:r/>
            <w:r>
              <w:rPr>
                <w:rFonts w:ascii="Calibri" w:hAnsi="Calibri"/>
                <w:b/>
                <w:color w:val="FFFFFF"/>
                <w:sz w:val="17"/>
              </w:rPr>
              <w:t>Primary need</w:t>
            </w:r>
          </w:p>
        </w:tc>
        <w:tc>
          <w:tcPr>
            <w:tcW w:type="dxa" w:w="1814"/>
            <w:shd w:val="clear" w:fill="1F3B57"/>
          </w:tcPr>
          <w:p>
            <w:pPr>
              <w:spacing w:after="20" w:before="20" w:line="240" w:lineRule="auto"/>
            </w:pPr>
            <w:r/>
            <w:r>
              <w:rPr>
                <w:rFonts w:ascii="Calibri" w:hAnsi="Calibri"/>
                <w:b/>
                <w:color w:val="FFFFFF"/>
                <w:sz w:val="17"/>
              </w:rPr>
              <w:t>Access level</w:t>
            </w:r>
          </w:p>
        </w:tc>
      </w:tr>
      <w:tr>
        <w:tc>
          <w:tcPr>
            <w:tcW w:type="dxa" w:w="2381"/>
          </w:tcPr>
          <w:p>
            <w:pPr>
              <w:spacing w:after="20" w:before="20" w:line="240" w:lineRule="auto"/>
            </w:pPr>
            <w:r/>
            <w:r>
              <w:rPr>
                <w:rFonts w:ascii="Calibri" w:hAnsi="Calibri"/>
                <w:b w:val="0"/>
                <w:sz w:val="17"/>
              </w:rPr>
              <w:t>Executive management</w:t>
            </w:r>
          </w:p>
        </w:tc>
        <w:tc>
          <w:tcPr>
            <w:tcW w:type="dxa" w:w="1361"/>
          </w:tcPr>
          <w:p>
            <w:pPr>
              <w:spacing w:after="20" w:before="20" w:line="240" w:lineRule="auto"/>
              <w:jc w:val="center"/>
            </w:pPr>
            <w:r/>
            <w:r>
              <w:rPr>
                <w:rFonts w:ascii="Calibri" w:hAnsi="Calibri"/>
                <w:b w:val="0"/>
                <w:sz w:val="17"/>
              </w:rPr>
              <w:t>5</w:t>
            </w:r>
          </w:p>
        </w:tc>
        <w:tc>
          <w:tcPr>
            <w:tcW w:type="dxa" w:w="4195"/>
          </w:tcPr>
          <w:p>
            <w:pPr>
              <w:spacing w:after="20" w:before="20" w:line="240" w:lineRule="auto"/>
            </w:pPr>
            <w:r/>
            <w:r>
              <w:rPr>
                <w:rFonts w:ascii="Calibri" w:hAnsi="Calibri"/>
                <w:b w:val="0"/>
                <w:sz w:val="17"/>
              </w:rPr>
              <w:t>One-page progress and value-for-money view; risks and exceptions</w:t>
            </w:r>
          </w:p>
        </w:tc>
        <w:tc>
          <w:tcPr>
            <w:tcW w:type="dxa" w:w="1814"/>
          </w:tcPr>
          <w:p>
            <w:pPr>
              <w:spacing w:after="20" w:before="20" w:line="240" w:lineRule="auto"/>
            </w:pPr>
            <w:r/>
            <w:r>
              <w:rPr>
                <w:rFonts w:ascii="Calibri" w:hAnsi="Calibri"/>
                <w:b w:val="0"/>
                <w:sz w:val="17"/>
              </w:rPr>
              <w:t>All projects, all data</w:t>
            </w:r>
          </w:p>
        </w:tc>
      </w:tr>
      <w:tr>
        <w:tc>
          <w:tcPr>
            <w:tcW w:type="dxa" w:w="2381"/>
            <w:shd w:val="clear" w:fill="F7F9FB"/>
          </w:tcPr>
          <w:p>
            <w:pPr>
              <w:spacing w:after="20" w:before="20" w:line="240" w:lineRule="auto"/>
            </w:pPr>
            <w:r/>
            <w:r>
              <w:rPr>
                <w:rFonts w:ascii="Calibri" w:hAnsi="Calibri"/>
                <w:b w:val="0"/>
                <w:sz w:val="17"/>
              </w:rPr>
              <w:t>Head of Procurement</w:t>
            </w:r>
          </w:p>
        </w:tc>
        <w:tc>
          <w:tcPr>
            <w:tcW w:type="dxa" w:w="1361"/>
            <w:shd w:val="clear" w:fill="F7F9FB"/>
          </w:tcPr>
          <w:p>
            <w:pPr>
              <w:spacing w:after="20" w:before="20" w:line="240" w:lineRule="auto"/>
              <w:jc w:val="center"/>
            </w:pPr>
            <w:r/>
            <w:r>
              <w:rPr>
                <w:rFonts w:ascii="Calibri" w:hAnsi="Calibri"/>
                <w:b w:val="0"/>
                <w:sz w:val="17"/>
              </w:rPr>
              <w:t>1</w:t>
            </w:r>
          </w:p>
        </w:tc>
        <w:tc>
          <w:tcPr>
            <w:tcW w:type="dxa" w:w="4195"/>
            <w:shd w:val="clear" w:fill="F7F9FB"/>
          </w:tcPr>
          <w:p>
            <w:pPr>
              <w:spacing w:after="20" w:before="20" w:line="240" w:lineRule="auto"/>
            </w:pPr>
            <w:r/>
            <w:r>
              <w:rPr>
                <w:rFonts w:ascii="Calibri" w:hAnsi="Calibri"/>
                <w:b w:val="0"/>
                <w:sz w:val="17"/>
              </w:rPr>
              <w:t>Consumption-based purchasing decisions, supplier and price performance</w:t>
            </w:r>
          </w:p>
        </w:tc>
        <w:tc>
          <w:tcPr>
            <w:tcW w:type="dxa" w:w="1814"/>
            <w:shd w:val="clear" w:fill="F7F9FB"/>
          </w:tcPr>
          <w:p>
            <w:pPr>
              <w:spacing w:after="20" w:before="20" w:line="240" w:lineRule="auto"/>
            </w:pPr>
            <w:r/>
            <w:r>
              <w:rPr>
                <w:rFonts w:ascii="Calibri" w:hAnsi="Calibri"/>
                <w:b w:val="0"/>
                <w:sz w:val="17"/>
              </w:rPr>
              <w:t>All projects, all data</w:t>
            </w:r>
          </w:p>
        </w:tc>
      </w:tr>
      <w:tr>
        <w:tc>
          <w:tcPr>
            <w:tcW w:type="dxa" w:w="2381"/>
          </w:tcPr>
          <w:p>
            <w:pPr>
              <w:spacing w:after="20" w:before="20" w:line="240" w:lineRule="auto"/>
            </w:pPr>
            <w:r/>
            <w:r>
              <w:rPr>
                <w:rFonts w:ascii="Calibri" w:hAnsi="Calibri"/>
                <w:b w:val="0"/>
                <w:sz w:val="17"/>
              </w:rPr>
              <w:t>Procurement officers</w:t>
            </w:r>
          </w:p>
        </w:tc>
        <w:tc>
          <w:tcPr>
            <w:tcW w:type="dxa" w:w="1361"/>
          </w:tcPr>
          <w:p>
            <w:pPr>
              <w:spacing w:after="20" w:before="20" w:line="240" w:lineRule="auto"/>
              <w:jc w:val="center"/>
            </w:pPr>
            <w:r/>
            <w:r>
              <w:rPr>
                <w:rFonts w:ascii="Calibri" w:hAnsi="Calibri"/>
                <w:b w:val="0"/>
                <w:sz w:val="17"/>
              </w:rPr>
              <w:t>4</w:t>
            </w:r>
          </w:p>
        </w:tc>
        <w:tc>
          <w:tcPr>
            <w:tcW w:type="dxa" w:w="4195"/>
          </w:tcPr>
          <w:p>
            <w:pPr>
              <w:spacing w:after="20" w:before="20" w:line="240" w:lineRule="auto"/>
            </w:pPr>
            <w:r/>
            <w:r>
              <w:rPr>
                <w:rFonts w:ascii="Calibri" w:hAnsi="Calibri"/>
                <w:b w:val="0"/>
                <w:sz w:val="17"/>
              </w:rPr>
              <w:t>Requirement quantities, open commitments, lead times, price history</w:t>
            </w:r>
          </w:p>
        </w:tc>
        <w:tc>
          <w:tcPr>
            <w:tcW w:type="dxa" w:w="1814"/>
          </w:tcPr>
          <w:p>
            <w:pPr>
              <w:spacing w:after="20" w:before="20" w:line="240" w:lineRule="auto"/>
            </w:pPr>
            <w:r/>
            <w:r>
              <w:rPr>
                <w:rFonts w:ascii="Calibri" w:hAnsi="Calibri"/>
                <w:b w:val="0"/>
                <w:sz w:val="17"/>
              </w:rPr>
              <w:t>All projects, transaction detail</w:t>
            </w:r>
          </w:p>
        </w:tc>
      </w:tr>
      <w:tr>
        <w:tc>
          <w:tcPr>
            <w:tcW w:type="dxa" w:w="2381"/>
            <w:shd w:val="clear" w:fill="F7F9FB"/>
          </w:tcPr>
          <w:p>
            <w:pPr>
              <w:spacing w:after="20" w:before="20" w:line="240" w:lineRule="auto"/>
            </w:pPr>
            <w:r/>
            <w:r>
              <w:rPr>
                <w:rFonts w:ascii="Calibri" w:hAnsi="Calibri"/>
                <w:b w:val="0"/>
                <w:sz w:val="17"/>
              </w:rPr>
              <w:t>Programme managers</w:t>
            </w:r>
          </w:p>
        </w:tc>
        <w:tc>
          <w:tcPr>
            <w:tcW w:type="dxa" w:w="1361"/>
            <w:shd w:val="clear" w:fill="F7F9FB"/>
          </w:tcPr>
          <w:p>
            <w:pPr>
              <w:spacing w:after="20" w:before="20" w:line="240" w:lineRule="auto"/>
              <w:jc w:val="center"/>
            </w:pPr>
            <w:r/>
            <w:r>
              <w:rPr>
                <w:rFonts w:ascii="Calibri" w:hAnsi="Calibri"/>
                <w:b w:val="0"/>
                <w:sz w:val="17"/>
              </w:rPr>
              <w:t>3</w:t>
            </w:r>
          </w:p>
        </w:tc>
        <w:tc>
          <w:tcPr>
            <w:tcW w:type="dxa" w:w="4195"/>
            <w:shd w:val="clear" w:fill="F7F9FB"/>
          </w:tcPr>
          <w:p>
            <w:pPr>
              <w:spacing w:after="20" w:before="20" w:line="240" w:lineRule="auto"/>
            </w:pPr>
            <w:r/>
            <w:r>
              <w:rPr>
                <w:rFonts w:ascii="Calibri" w:hAnsi="Calibri"/>
                <w:b w:val="0"/>
                <w:sz w:val="17"/>
              </w:rPr>
              <w:t>Project progress against budget, consumption trend, cost per beneficiary</w:t>
            </w:r>
          </w:p>
        </w:tc>
        <w:tc>
          <w:tcPr>
            <w:tcW w:type="dxa" w:w="1814"/>
            <w:shd w:val="clear" w:fill="F7F9FB"/>
          </w:tcPr>
          <w:p>
            <w:pPr>
              <w:spacing w:after="20" w:before="20" w:line="240" w:lineRule="auto"/>
            </w:pPr>
            <w:r/>
            <w:r>
              <w:rPr>
                <w:rFonts w:ascii="Calibri" w:hAnsi="Calibri"/>
                <w:b w:val="0"/>
                <w:sz w:val="17"/>
              </w:rPr>
              <w:t>Assigned projects</w:t>
            </w:r>
          </w:p>
        </w:tc>
      </w:tr>
      <w:tr>
        <w:tc>
          <w:tcPr>
            <w:tcW w:type="dxa" w:w="2381"/>
          </w:tcPr>
          <w:p>
            <w:pPr>
              <w:spacing w:after="20" w:before="20" w:line="240" w:lineRule="auto"/>
            </w:pPr>
            <w:r/>
            <w:r>
              <w:rPr>
                <w:rFonts w:ascii="Calibri" w:hAnsi="Calibri"/>
                <w:b w:val="0"/>
                <w:sz w:val="17"/>
              </w:rPr>
              <w:t>Project managers / coordinators</w:t>
            </w:r>
          </w:p>
        </w:tc>
        <w:tc>
          <w:tcPr>
            <w:tcW w:type="dxa" w:w="1361"/>
          </w:tcPr>
          <w:p>
            <w:pPr>
              <w:spacing w:after="20" w:before="20" w:line="240" w:lineRule="auto"/>
              <w:jc w:val="center"/>
            </w:pPr>
            <w:r/>
            <w:r>
              <w:rPr>
                <w:rFonts w:ascii="Calibri" w:hAnsi="Calibri"/>
                <w:b w:val="0"/>
                <w:sz w:val="17"/>
              </w:rPr>
              <w:t>10</w:t>
            </w:r>
          </w:p>
        </w:tc>
        <w:tc>
          <w:tcPr>
            <w:tcW w:type="dxa" w:w="4195"/>
          </w:tcPr>
          <w:p>
            <w:pPr>
              <w:spacing w:after="20" w:before="20" w:line="240" w:lineRule="auto"/>
            </w:pPr>
            <w:r/>
            <w:r>
              <w:rPr>
                <w:rFonts w:ascii="Calibri" w:hAnsi="Calibri"/>
                <w:b w:val="0"/>
                <w:sz w:val="17"/>
              </w:rPr>
              <w:t>Own-project consumption versus purchase, stock adequacy, exceptions</w:t>
            </w:r>
          </w:p>
        </w:tc>
        <w:tc>
          <w:tcPr>
            <w:tcW w:type="dxa" w:w="1814"/>
          </w:tcPr>
          <w:p>
            <w:pPr>
              <w:spacing w:after="20" w:before="20" w:line="240" w:lineRule="auto"/>
            </w:pPr>
            <w:r/>
            <w:r>
              <w:rPr>
                <w:rFonts w:ascii="Calibri" w:hAnsi="Calibri"/>
                <w:b w:val="0"/>
                <w:sz w:val="17"/>
              </w:rPr>
              <w:t>Own project only</w:t>
            </w:r>
          </w:p>
        </w:tc>
      </w:tr>
      <w:tr>
        <w:tc>
          <w:tcPr>
            <w:tcW w:type="dxa" w:w="2381"/>
            <w:shd w:val="clear" w:fill="F7F9FB"/>
          </w:tcPr>
          <w:p>
            <w:pPr>
              <w:spacing w:after="20" w:before="20" w:line="240" w:lineRule="auto"/>
            </w:pPr>
            <w:r/>
            <w:r>
              <w:rPr>
                <w:rFonts w:ascii="Calibri" w:hAnsi="Calibri"/>
                <w:b w:val="0"/>
                <w:sz w:val="17"/>
              </w:rPr>
              <w:t>Finance and grants</w:t>
            </w:r>
          </w:p>
        </w:tc>
        <w:tc>
          <w:tcPr>
            <w:tcW w:type="dxa" w:w="1361"/>
            <w:shd w:val="clear" w:fill="F7F9FB"/>
          </w:tcPr>
          <w:p>
            <w:pPr>
              <w:spacing w:after="20" w:before="20" w:line="240" w:lineRule="auto"/>
              <w:jc w:val="center"/>
            </w:pPr>
            <w:r/>
            <w:r>
              <w:rPr>
                <w:rFonts w:ascii="Calibri" w:hAnsi="Calibri"/>
                <w:b w:val="0"/>
                <w:sz w:val="17"/>
              </w:rPr>
              <w:t>3</w:t>
            </w:r>
          </w:p>
        </w:tc>
        <w:tc>
          <w:tcPr>
            <w:tcW w:type="dxa" w:w="4195"/>
            <w:shd w:val="clear" w:fill="F7F9FB"/>
          </w:tcPr>
          <w:p>
            <w:pPr>
              <w:spacing w:after="20" w:before="20" w:line="240" w:lineRule="auto"/>
            </w:pPr>
            <w:r/>
            <w:r>
              <w:rPr>
                <w:rFonts w:ascii="Calibri" w:hAnsi="Calibri"/>
                <w:b w:val="0"/>
                <w:sz w:val="17"/>
              </w:rPr>
              <w:t>Consumption reconciled to budget, variance commentary for donors</w:t>
            </w:r>
          </w:p>
        </w:tc>
        <w:tc>
          <w:tcPr>
            <w:tcW w:type="dxa" w:w="1814"/>
            <w:shd w:val="clear" w:fill="F7F9FB"/>
          </w:tcPr>
          <w:p>
            <w:pPr>
              <w:spacing w:after="20" w:before="20" w:line="240" w:lineRule="auto"/>
            </w:pPr>
            <w:r/>
            <w:r>
              <w:rPr>
                <w:rFonts w:ascii="Calibri" w:hAnsi="Calibri"/>
                <w:b w:val="0"/>
                <w:sz w:val="17"/>
              </w:rPr>
              <w:t>All projects, financial measures</w:t>
            </w:r>
          </w:p>
        </w:tc>
      </w:tr>
      <w:tr>
        <w:tc>
          <w:tcPr>
            <w:tcW w:type="dxa" w:w="2381"/>
          </w:tcPr>
          <w:p>
            <w:pPr>
              <w:spacing w:after="20" w:before="20" w:line="240" w:lineRule="auto"/>
            </w:pPr>
            <w:r/>
            <w:r>
              <w:rPr>
                <w:rFonts w:ascii="Calibri" w:hAnsi="Calibri"/>
                <w:b w:val="0"/>
                <w:sz w:val="17"/>
              </w:rPr>
              <w:t>Store / pharmacy in-charge</w:t>
            </w:r>
          </w:p>
        </w:tc>
        <w:tc>
          <w:tcPr>
            <w:tcW w:type="dxa" w:w="1361"/>
          </w:tcPr>
          <w:p>
            <w:pPr>
              <w:spacing w:after="20" w:before="20" w:line="240" w:lineRule="auto"/>
              <w:jc w:val="center"/>
            </w:pPr>
            <w:r/>
            <w:r>
              <w:rPr>
                <w:rFonts w:ascii="Calibri" w:hAnsi="Calibri"/>
                <w:b w:val="0"/>
                <w:sz w:val="17"/>
              </w:rPr>
              <w:t>8</w:t>
            </w:r>
          </w:p>
        </w:tc>
        <w:tc>
          <w:tcPr>
            <w:tcW w:type="dxa" w:w="4195"/>
          </w:tcPr>
          <w:p>
            <w:pPr>
              <w:spacing w:after="20" w:before="20" w:line="240" w:lineRule="auto"/>
            </w:pPr>
            <w:r/>
            <w:r>
              <w:rPr>
                <w:rFonts w:ascii="Calibri" w:hAnsi="Calibri"/>
                <w:b w:val="0"/>
                <w:sz w:val="17"/>
              </w:rPr>
              <w:t>Stock on hand, days of cover, near-expiry, slow-moving</w:t>
            </w:r>
          </w:p>
        </w:tc>
        <w:tc>
          <w:tcPr>
            <w:tcW w:type="dxa" w:w="1814"/>
          </w:tcPr>
          <w:p>
            <w:pPr>
              <w:spacing w:after="20" w:before="20" w:line="240" w:lineRule="auto"/>
            </w:pPr>
            <w:r/>
            <w:r>
              <w:rPr>
                <w:rFonts w:ascii="Calibri" w:hAnsi="Calibri"/>
                <w:b w:val="0"/>
                <w:sz w:val="17"/>
              </w:rPr>
              <w:t>Own warehouse</w:t>
            </w:r>
          </w:p>
        </w:tc>
      </w:tr>
      <w:tr>
        <w:tc>
          <w:tcPr>
            <w:tcW w:type="dxa" w:w="2381"/>
            <w:shd w:val="clear" w:fill="F7F9FB"/>
          </w:tcPr>
          <w:p>
            <w:pPr>
              <w:spacing w:after="20" w:before="20" w:line="240" w:lineRule="auto"/>
            </w:pPr>
            <w:r/>
            <w:r>
              <w:rPr>
                <w:rFonts w:ascii="Calibri" w:hAnsi="Calibri"/>
                <w:b w:val="0"/>
                <w:sz w:val="17"/>
              </w:rPr>
              <w:t>Internal audit / compliance</w:t>
            </w:r>
          </w:p>
        </w:tc>
        <w:tc>
          <w:tcPr>
            <w:tcW w:type="dxa" w:w="1361"/>
            <w:shd w:val="clear" w:fill="F7F9FB"/>
          </w:tcPr>
          <w:p>
            <w:pPr>
              <w:spacing w:after="20" w:before="20" w:line="240" w:lineRule="auto"/>
              <w:jc w:val="center"/>
            </w:pPr>
            <w:r/>
            <w:r>
              <w:rPr>
                <w:rFonts w:ascii="Calibri" w:hAnsi="Calibri"/>
                <w:b w:val="0"/>
                <w:sz w:val="17"/>
              </w:rPr>
              <w:t>2</w:t>
            </w:r>
          </w:p>
        </w:tc>
        <w:tc>
          <w:tcPr>
            <w:tcW w:type="dxa" w:w="4195"/>
            <w:shd w:val="clear" w:fill="F7F9FB"/>
          </w:tcPr>
          <w:p>
            <w:pPr>
              <w:spacing w:after="20" w:before="20" w:line="240" w:lineRule="auto"/>
            </w:pPr>
            <w:r/>
            <w:r>
              <w:rPr>
                <w:rFonts w:ascii="Calibri" w:hAnsi="Calibri"/>
                <w:b w:val="0"/>
                <w:sz w:val="17"/>
              </w:rPr>
              <w:t>Traceability from PO to issue; exception resolution status</w:t>
            </w:r>
          </w:p>
        </w:tc>
        <w:tc>
          <w:tcPr>
            <w:tcW w:type="dxa" w:w="1814"/>
            <w:shd w:val="clear" w:fill="F7F9FB"/>
          </w:tcPr>
          <w:p>
            <w:pPr>
              <w:spacing w:after="20" w:before="20" w:line="240" w:lineRule="auto"/>
            </w:pPr>
            <w:r/>
            <w:r>
              <w:rPr>
                <w:rFonts w:ascii="Calibri" w:hAnsi="Calibri"/>
                <w:b w:val="0"/>
                <w:sz w:val="17"/>
              </w:rPr>
              <w:t>Read-only, all data</w:t>
            </w:r>
          </w:p>
        </w:tc>
      </w:tr>
      <w:tr>
        <w:tc>
          <w:tcPr>
            <w:tcW w:type="dxa" w:w="2381"/>
          </w:tcPr>
          <w:p>
            <w:pPr>
              <w:spacing w:after="20" w:before="20" w:line="240" w:lineRule="auto"/>
            </w:pPr>
            <w:r/>
            <w:r>
              <w:rPr>
                <w:rFonts w:ascii="Calibri" w:hAnsi="Calibri"/>
                <w:b w:val="0"/>
                <w:sz w:val="17"/>
              </w:rPr>
              <w:t>IT / BI support</w:t>
            </w:r>
          </w:p>
        </w:tc>
        <w:tc>
          <w:tcPr>
            <w:tcW w:type="dxa" w:w="1361"/>
          </w:tcPr>
          <w:p>
            <w:pPr>
              <w:spacing w:after="20" w:before="20" w:line="240" w:lineRule="auto"/>
              <w:jc w:val="center"/>
            </w:pPr>
            <w:r/>
            <w:r>
              <w:rPr>
                <w:rFonts w:ascii="Calibri" w:hAnsi="Calibri"/>
                <w:b w:val="0"/>
                <w:sz w:val="17"/>
              </w:rPr>
              <w:t>2</w:t>
            </w:r>
          </w:p>
        </w:tc>
        <w:tc>
          <w:tcPr>
            <w:tcW w:type="dxa" w:w="4195"/>
          </w:tcPr>
          <w:p>
            <w:pPr>
              <w:spacing w:after="20" w:before="20" w:line="240" w:lineRule="auto"/>
            </w:pPr>
            <w:r/>
            <w:r>
              <w:rPr>
                <w:rFonts w:ascii="Calibri" w:hAnsi="Calibri"/>
                <w:b w:val="0"/>
                <w:sz w:val="17"/>
              </w:rPr>
              <w:t>Model maintenance, refresh monitoring, security administration</w:t>
            </w:r>
          </w:p>
        </w:tc>
        <w:tc>
          <w:tcPr>
            <w:tcW w:type="dxa" w:w="1814"/>
          </w:tcPr>
          <w:p>
            <w:pPr>
              <w:spacing w:after="20" w:before="20" w:line="240" w:lineRule="auto"/>
            </w:pPr>
            <w:r/>
            <w:r>
              <w:rPr>
                <w:rFonts w:ascii="Calibri" w:hAnsi="Calibri"/>
                <w:b w:val="0"/>
                <w:sz w:val="17"/>
              </w:rPr>
              <w:t>Administrative</w:t>
            </w:r>
          </w:p>
        </w:tc>
      </w:tr>
    </w:tbl>
    <w:p>
      <w:pPr>
        <w:spacing w:after="20"/>
      </w:pPr>
    </w:p>
    <w:p>
      <w:pPr>
        <w:pStyle w:val="Heading2"/>
      </w:pPr>
      <w:r>
        <w:t>6.2 RACI</w:t>
      </w:r>
    </w:p>
    <w:tbl>
      <w:tblPr>
        <w:tblStyle w:val="TableGrid"/>
        <w:tblW w:type="auto" w:w="0"/>
        <w:jc w:val="center"/>
        <w:tblLayout w:type="fixed"/>
        <w:tblLook w:firstColumn="1" w:firstRow="1" w:lastColumn="0" w:lastRow="0" w:noHBand="0" w:noVBand="1" w:val="04A0"/>
      </w:tblPr>
      <w:tblGrid>
        <w:gridCol w:w="1681"/>
        <w:gridCol w:w="1681"/>
        <w:gridCol w:w="1681"/>
        <w:gridCol w:w="1681"/>
        <w:gridCol w:w="1681"/>
        <w:gridCol w:w="1681"/>
      </w:tblGrid>
      <w:tr>
        <w:trPr>
          <w:tblHeader/>
        </w:trPr>
        <w:tc>
          <w:tcPr>
            <w:tcW w:type="dxa" w:w="3742"/>
            <w:shd w:val="clear" w:fill="1F3B57"/>
          </w:tcPr>
          <w:p>
            <w:pPr>
              <w:spacing w:after="20" w:before="20" w:line="240" w:lineRule="auto"/>
            </w:pPr>
            <w:r/>
            <w:r>
              <w:rPr>
                <w:rFonts w:ascii="Calibri" w:hAnsi="Calibri"/>
                <w:b/>
                <w:color w:val="FFFFFF"/>
                <w:sz w:val="17"/>
              </w:rPr>
              <w:t>Activity</w:t>
            </w:r>
          </w:p>
        </w:tc>
        <w:tc>
          <w:tcPr>
            <w:tcW w:type="dxa" w:w="1474"/>
            <w:shd w:val="clear" w:fill="1F3B57"/>
          </w:tcPr>
          <w:p>
            <w:pPr>
              <w:spacing w:after="20" w:before="20" w:line="240" w:lineRule="auto"/>
            </w:pPr>
            <w:r/>
            <w:r>
              <w:rPr>
                <w:rFonts w:ascii="Calibri" w:hAnsi="Calibri"/>
                <w:b/>
                <w:color w:val="FFFFFF"/>
                <w:sz w:val="17"/>
              </w:rPr>
              <w:t>Business owner</w:t>
            </w:r>
          </w:p>
        </w:tc>
        <w:tc>
          <w:tcPr>
            <w:tcW w:type="dxa" w:w="1134"/>
            <w:shd w:val="clear" w:fill="1F3B57"/>
          </w:tcPr>
          <w:p>
            <w:pPr>
              <w:spacing w:after="20" w:before="20" w:line="240" w:lineRule="auto"/>
            </w:pPr>
            <w:r/>
            <w:r>
              <w:rPr>
                <w:rFonts w:ascii="Calibri" w:hAnsi="Calibri"/>
                <w:b/>
                <w:color w:val="FFFFFF"/>
                <w:sz w:val="17"/>
              </w:rPr>
              <w:t>Programme</w:t>
            </w:r>
          </w:p>
        </w:tc>
        <w:tc>
          <w:tcPr>
            <w:tcW w:type="dxa" w:w="1134"/>
            <w:shd w:val="clear" w:fill="1F3B57"/>
          </w:tcPr>
          <w:p>
            <w:pPr>
              <w:spacing w:after="20" w:before="20" w:line="240" w:lineRule="auto"/>
            </w:pPr>
            <w:r/>
            <w:r>
              <w:rPr>
                <w:rFonts w:ascii="Calibri" w:hAnsi="Calibri"/>
                <w:b/>
                <w:color w:val="FFFFFF"/>
                <w:sz w:val="17"/>
              </w:rPr>
              <w:t>Finance</w:t>
            </w:r>
          </w:p>
        </w:tc>
        <w:tc>
          <w:tcPr>
            <w:tcW w:type="dxa" w:w="1134"/>
            <w:shd w:val="clear" w:fill="1F3B57"/>
          </w:tcPr>
          <w:p>
            <w:pPr>
              <w:spacing w:after="20" w:before="20" w:line="240" w:lineRule="auto"/>
            </w:pPr>
            <w:r/>
            <w:r>
              <w:rPr>
                <w:rFonts w:ascii="Calibri" w:hAnsi="Calibri"/>
                <w:b/>
                <w:color w:val="FFFFFF"/>
                <w:sz w:val="17"/>
              </w:rPr>
              <w:t>IT / ERP</w:t>
            </w:r>
          </w:p>
        </w:tc>
        <w:tc>
          <w:tcPr>
            <w:tcW w:type="dxa" w:w="1134"/>
            <w:shd w:val="clear" w:fill="1F3B57"/>
          </w:tcPr>
          <w:p>
            <w:pPr>
              <w:spacing w:after="20" w:before="20" w:line="240" w:lineRule="auto"/>
            </w:pPr>
            <w:r/>
            <w:r>
              <w:rPr>
                <w:rFonts w:ascii="Calibri" w:hAnsi="Calibri"/>
                <w:b/>
                <w:color w:val="FFFFFF"/>
                <w:sz w:val="17"/>
              </w:rPr>
              <w:t>BI developer</w:t>
            </w:r>
          </w:p>
        </w:tc>
      </w:tr>
      <w:tr>
        <w:tc>
          <w:tcPr>
            <w:tcW w:type="dxa" w:w="3742"/>
          </w:tcPr>
          <w:p>
            <w:pPr>
              <w:spacing w:after="20" w:before="20" w:line="240" w:lineRule="auto"/>
            </w:pPr>
            <w:r/>
            <w:r>
              <w:rPr>
                <w:rFonts w:ascii="Calibri" w:hAnsi="Calibri"/>
                <w:b w:val="0"/>
                <w:sz w:val="17"/>
              </w:rPr>
              <w:t>Approve BRD and KPI definitions</w:t>
            </w:r>
          </w:p>
        </w:tc>
        <w:tc>
          <w:tcPr>
            <w:tcW w:type="dxa" w:w="1474"/>
          </w:tcPr>
          <w:p>
            <w:pPr>
              <w:spacing w:after="20" w:before="20" w:line="240" w:lineRule="auto"/>
              <w:jc w:val="center"/>
            </w:pPr>
            <w:r/>
            <w:r>
              <w:rPr>
                <w:rFonts w:ascii="Calibri" w:hAnsi="Calibri"/>
                <w:b w:val="0"/>
                <w:sz w:val="17"/>
              </w:rPr>
              <w:t>A</w:t>
            </w:r>
          </w:p>
        </w:tc>
        <w:tc>
          <w:tcPr>
            <w:tcW w:type="dxa" w:w="1134"/>
          </w:tcPr>
          <w:p>
            <w:pPr>
              <w:spacing w:after="20" w:before="20" w:line="240" w:lineRule="auto"/>
              <w:jc w:val="center"/>
            </w:pPr>
            <w:r/>
            <w:r>
              <w:rPr>
                <w:rFonts w:ascii="Calibri" w:hAnsi="Calibri"/>
                <w:b w:val="0"/>
                <w:sz w:val="17"/>
              </w:rPr>
              <w:t>C</w:t>
            </w:r>
          </w:p>
        </w:tc>
        <w:tc>
          <w:tcPr>
            <w:tcW w:type="dxa" w:w="1134"/>
          </w:tcPr>
          <w:p>
            <w:pPr>
              <w:spacing w:after="20" w:before="20" w:line="240" w:lineRule="auto"/>
              <w:jc w:val="center"/>
            </w:pPr>
            <w:r/>
            <w:r>
              <w:rPr>
                <w:rFonts w:ascii="Calibri" w:hAnsi="Calibri"/>
                <w:b w:val="0"/>
                <w:sz w:val="17"/>
              </w:rPr>
              <w:t>C</w:t>
            </w:r>
          </w:p>
        </w:tc>
        <w:tc>
          <w:tcPr>
            <w:tcW w:type="dxa" w:w="1134"/>
          </w:tcPr>
          <w:p>
            <w:pPr>
              <w:spacing w:after="20" w:before="20" w:line="240" w:lineRule="auto"/>
              <w:jc w:val="center"/>
            </w:pPr>
            <w:r/>
            <w:r>
              <w:rPr>
                <w:rFonts w:ascii="Calibri" w:hAnsi="Calibri"/>
                <w:b w:val="0"/>
                <w:sz w:val="17"/>
              </w:rPr>
              <w:t>I</w:t>
            </w:r>
          </w:p>
        </w:tc>
        <w:tc>
          <w:tcPr>
            <w:tcW w:type="dxa" w:w="1134"/>
          </w:tcPr>
          <w:p>
            <w:pPr>
              <w:spacing w:after="20" w:before="20" w:line="240" w:lineRule="auto"/>
              <w:jc w:val="center"/>
            </w:pPr>
            <w:r/>
            <w:r>
              <w:rPr>
                <w:rFonts w:ascii="Calibri" w:hAnsi="Calibri"/>
                <w:b w:val="0"/>
                <w:sz w:val="17"/>
              </w:rPr>
              <w:t>I</w:t>
            </w:r>
          </w:p>
        </w:tc>
      </w:tr>
      <w:tr>
        <w:tc>
          <w:tcPr>
            <w:tcW w:type="dxa" w:w="3742"/>
            <w:shd w:val="clear" w:fill="F7F9FB"/>
          </w:tcPr>
          <w:p>
            <w:pPr>
              <w:spacing w:after="20" w:before="20" w:line="240" w:lineRule="auto"/>
            </w:pPr>
            <w:r/>
            <w:r>
              <w:rPr>
                <w:rFonts w:ascii="Calibri" w:hAnsi="Calibri"/>
                <w:b w:val="0"/>
                <w:sz w:val="17"/>
              </w:rPr>
              <w:t>Provide Oracle access and data dictionary</w:t>
            </w:r>
          </w:p>
        </w:tc>
        <w:tc>
          <w:tcPr>
            <w:tcW w:type="dxa" w:w="1474"/>
            <w:shd w:val="clear" w:fill="F7F9FB"/>
          </w:tcPr>
          <w:p>
            <w:pPr>
              <w:spacing w:after="20" w:before="20" w:line="240" w:lineRule="auto"/>
              <w:jc w:val="center"/>
            </w:pPr>
            <w:r/>
            <w:r>
              <w:rPr>
                <w:rFonts w:ascii="Calibri" w:hAnsi="Calibri"/>
                <w:b w:val="0"/>
                <w:sz w:val="17"/>
              </w:rPr>
              <w:t>C</w:t>
            </w:r>
          </w:p>
        </w:tc>
        <w:tc>
          <w:tcPr>
            <w:tcW w:type="dxa" w:w="1134"/>
            <w:shd w:val="clear" w:fill="F7F9FB"/>
          </w:tcPr>
          <w:p>
            <w:pPr>
              <w:spacing w:after="20" w:before="20" w:line="240" w:lineRule="auto"/>
              <w:jc w:val="center"/>
            </w:pPr>
            <w:r/>
            <w:r>
              <w:rPr>
                <w:rFonts w:ascii="Calibri" w:hAnsi="Calibri"/>
                <w:b w:val="0"/>
                <w:sz w:val="17"/>
              </w:rPr>
              <w:t>I</w:t>
            </w:r>
          </w:p>
        </w:tc>
        <w:tc>
          <w:tcPr>
            <w:tcW w:type="dxa" w:w="1134"/>
            <w:shd w:val="clear" w:fill="F7F9FB"/>
          </w:tcPr>
          <w:p>
            <w:pPr>
              <w:spacing w:after="20" w:before="20" w:line="240" w:lineRule="auto"/>
              <w:jc w:val="center"/>
            </w:pPr>
            <w:r/>
            <w:r>
              <w:rPr>
                <w:rFonts w:ascii="Calibri" w:hAnsi="Calibri"/>
                <w:b w:val="0"/>
                <w:sz w:val="17"/>
              </w:rPr>
              <w:t>I</w:t>
            </w:r>
          </w:p>
        </w:tc>
        <w:tc>
          <w:tcPr>
            <w:tcW w:type="dxa" w:w="1134"/>
            <w:shd w:val="clear" w:fill="F7F9FB"/>
          </w:tcPr>
          <w:p>
            <w:pPr>
              <w:spacing w:after="20" w:before="20" w:line="240" w:lineRule="auto"/>
              <w:jc w:val="center"/>
            </w:pPr>
            <w:r/>
            <w:r>
              <w:rPr>
                <w:rFonts w:ascii="Calibri" w:hAnsi="Calibri"/>
                <w:b w:val="0"/>
                <w:sz w:val="17"/>
              </w:rPr>
              <w:t>R</w:t>
            </w:r>
          </w:p>
        </w:tc>
        <w:tc>
          <w:tcPr>
            <w:tcW w:type="dxa" w:w="1134"/>
            <w:shd w:val="clear" w:fill="F7F9FB"/>
          </w:tcPr>
          <w:p>
            <w:pPr>
              <w:spacing w:after="20" w:before="20" w:line="240" w:lineRule="auto"/>
              <w:jc w:val="center"/>
            </w:pPr>
            <w:r/>
            <w:r>
              <w:rPr>
                <w:rFonts w:ascii="Calibri" w:hAnsi="Calibri"/>
                <w:b w:val="0"/>
                <w:sz w:val="17"/>
              </w:rPr>
              <w:t>I</w:t>
            </w:r>
          </w:p>
        </w:tc>
      </w:tr>
      <w:tr>
        <w:tc>
          <w:tcPr>
            <w:tcW w:type="dxa" w:w="3742"/>
          </w:tcPr>
          <w:p>
            <w:pPr>
              <w:spacing w:after="20" w:before="20" w:line="240" w:lineRule="auto"/>
            </w:pPr>
            <w:r/>
            <w:r>
              <w:rPr>
                <w:rFonts w:ascii="Calibri" w:hAnsi="Calibri"/>
                <w:b w:val="0"/>
                <w:sz w:val="17"/>
              </w:rPr>
              <w:t>Resolve master-data defects</w:t>
            </w:r>
          </w:p>
        </w:tc>
        <w:tc>
          <w:tcPr>
            <w:tcW w:type="dxa" w:w="1474"/>
          </w:tcPr>
          <w:p>
            <w:pPr>
              <w:spacing w:after="20" w:before="20" w:line="240" w:lineRule="auto"/>
              <w:jc w:val="center"/>
            </w:pPr>
            <w:r/>
            <w:r>
              <w:rPr>
                <w:rFonts w:ascii="Calibri" w:hAnsi="Calibri"/>
                <w:b w:val="0"/>
                <w:sz w:val="17"/>
              </w:rPr>
              <w:t>A</w:t>
            </w:r>
          </w:p>
        </w:tc>
        <w:tc>
          <w:tcPr>
            <w:tcW w:type="dxa" w:w="1134"/>
          </w:tcPr>
          <w:p>
            <w:pPr>
              <w:spacing w:after="20" w:before="20" w:line="240" w:lineRule="auto"/>
              <w:jc w:val="center"/>
            </w:pPr>
            <w:r/>
            <w:r>
              <w:rPr>
                <w:rFonts w:ascii="Calibri" w:hAnsi="Calibri"/>
                <w:b w:val="0"/>
                <w:sz w:val="17"/>
              </w:rPr>
              <w:t>C</w:t>
            </w:r>
          </w:p>
        </w:tc>
        <w:tc>
          <w:tcPr>
            <w:tcW w:type="dxa" w:w="1134"/>
          </w:tcPr>
          <w:p>
            <w:pPr>
              <w:spacing w:after="20" w:before="20" w:line="240" w:lineRule="auto"/>
              <w:jc w:val="center"/>
            </w:pPr>
            <w:r/>
            <w:r>
              <w:rPr>
                <w:rFonts w:ascii="Calibri" w:hAnsi="Calibri"/>
                <w:b w:val="0"/>
                <w:sz w:val="17"/>
              </w:rPr>
              <w:t>C</w:t>
            </w:r>
          </w:p>
        </w:tc>
        <w:tc>
          <w:tcPr>
            <w:tcW w:type="dxa" w:w="1134"/>
          </w:tcPr>
          <w:p>
            <w:pPr>
              <w:spacing w:after="20" w:before="20" w:line="240" w:lineRule="auto"/>
              <w:jc w:val="center"/>
            </w:pPr>
            <w:r/>
            <w:r>
              <w:rPr>
                <w:rFonts w:ascii="Calibri" w:hAnsi="Calibri"/>
                <w:b w:val="0"/>
                <w:sz w:val="17"/>
              </w:rPr>
              <w:t>R</w:t>
            </w:r>
          </w:p>
        </w:tc>
        <w:tc>
          <w:tcPr>
            <w:tcW w:type="dxa" w:w="1134"/>
          </w:tcPr>
          <w:p>
            <w:pPr>
              <w:spacing w:after="20" w:before="20" w:line="240" w:lineRule="auto"/>
              <w:jc w:val="center"/>
            </w:pPr>
            <w:r/>
            <w:r>
              <w:rPr>
                <w:rFonts w:ascii="Calibri" w:hAnsi="Calibri"/>
                <w:b w:val="0"/>
                <w:sz w:val="17"/>
              </w:rPr>
              <w:t>I</w:t>
            </w:r>
          </w:p>
        </w:tc>
      </w:tr>
      <w:tr>
        <w:tc>
          <w:tcPr>
            <w:tcW w:type="dxa" w:w="3742"/>
            <w:shd w:val="clear" w:fill="F7F9FB"/>
          </w:tcPr>
          <w:p>
            <w:pPr>
              <w:spacing w:after="20" w:before="20" w:line="240" w:lineRule="auto"/>
            </w:pPr>
            <w:r/>
            <w:r>
              <w:rPr>
                <w:rFonts w:ascii="Calibri" w:hAnsi="Calibri"/>
                <w:b w:val="0"/>
                <w:sz w:val="17"/>
              </w:rPr>
              <w:t>Design and build dashboard</w:t>
            </w:r>
          </w:p>
        </w:tc>
        <w:tc>
          <w:tcPr>
            <w:tcW w:type="dxa" w:w="1474"/>
            <w:shd w:val="clear" w:fill="F7F9FB"/>
          </w:tcPr>
          <w:p>
            <w:pPr>
              <w:spacing w:after="20" w:before="20" w:line="240" w:lineRule="auto"/>
              <w:jc w:val="center"/>
            </w:pPr>
            <w:r/>
            <w:r>
              <w:rPr>
                <w:rFonts w:ascii="Calibri" w:hAnsi="Calibri"/>
                <w:b w:val="0"/>
                <w:sz w:val="17"/>
              </w:rPr>
              <w:t>C</w:t>
            </w:r>
          </w:p>
        </w:tc>
        <w:tc>
          <w:tcPr>
            <w:tcW w:type="dxa" w:w="1134"/>
            <w:shd w:val="clear" w:fill="F7F9FB"/>
          </w:tcPr>
          <w:p>
            <w:pPr>
              <w:spacing w:after="20" w:before="20" w:line="240" w:lineRule="auto"/>
              <w:jc w:val="center"/>
            </w:pPr>
            <w:r/>
            <w:r>
              <w:rPr>
                <w:rFonts w:ascii="Calibri" w:hAnsi="Calibri"/>
                <w:b w:val="0"/>
                <w:sz w:val="17"/>
              </w:rPr>
              <w:t>I</w:t>
            </w:r>
          </w:p>
        </w:tc>
        <w:tc>
          <w:tcPr>
            <w:tcW w:type="dxa" w:w="1134"/>
            <w:shd w:val="clear" w:fill="F7F9FB"/>
          </w:tcPr>
          <w:p>
            <w:pPr>
              <w:spacing w:after="20" w:before="20" w:line="240" w:lineRule="auto"/>
              <w:jc w:val="center"/>
            </w:pPr>
            <w:r/>
            <w:r>
              <w:rPr>
                <w:rFonts w:ascii="Calibri" w:hAnsi="Calibri"/>
                <w:b w:val="0"/>
                <w:sz w:val="17"/>
              </w:rPr>
              <w:t>I</w:t>
            </w:r>
          </w:p>
        </w:tc>
        <w:tc>
          <w:tcPr>
            <w:tcW w:type="dxa" w:w="1134"/>
            <w:shd w:val="clear" w:fill="F7F9FB"/>
          </w:tcPr>
          <w:p>
            <w:pPr>
              <w:spacing w:after="20" w:before="20" w:line="240" w:lineRule="auto"/>
              <w:jc w:val="center"/>
            </w:pPr>
            <w:r/>
            <w:r>
              <w:rPr>
                <w:rFonts w:ascii="Calibri" w:hAnsi="Calibri"/>
                <w:b w:val="0"/>
                <w:sz w:val="17"/>
              </w:rPr>
              <w:t>C</w:t>
            </w:r>
          </w:p>
        </w:tc>
        <w:tc>
          <w:tcPr>
            <w:tcW w:type="dxa" w:w="1134"/>
            <w:shd w:val="clear" w:fill="F7F9FB"/>
          </w:tcPr>
          <w:p>
            <w:pPr>
              <w:spacing w:after="20" w:before="20" w:line="240" w:lineRule="auto"/>
              <w:jc w:val="center"/>
            </w:pPr>
            <w:r/>
            <w:r>
              <w:rPr>
                <w:rFonts w:ascii="Calibri" w:hAnsi="Calibri"/>
                <w:b w:val="0"/>
                <w:sz w:val="17"/>
              </w:rPr>
              <w:t>R</w:t>
            </w:r>
          </w:p>
        </w:tc>
      </w:tr>
      <w:tr>
        <w:tc>
          <w:tcPr>
            <w:tcW w:type="dxa" w:w="3742"/>
          </w:tcPr>
          <w:p>
            <w:pPr>
              <w:spacing w:after="20" w:before="20" w:line="240" w:lineRule="auto"/>
            </w:pPr>
            <w:r/>
            <w:r>
              <w:rPr>
                <w:rFonts w:ascii="Calibri" w:hAnsi="Calibri"/>
                <w:b w:val="0"/>
                <w:sz w:val="17"/>
              </w:rPr>
              <w:t>Validate figures against source</w:t>
            </w:r>
          </w:p>
        </w:tc>
        <w:tc>
          <w:tcPr>
            <w:tcW w:type="dxa" w:w="1474"/>
          </w:tcPr>
          <w:p>
            <w:pPr>
              <w:spacing w:after="20" w:before="20" w:line="240" w:lineRule="auto"/>
              <w:jc w:val="center"/>
            </w:pPr>
            <w:r/>
            <w:r>
              <w:rPr>
                <w:rFonts w:ascii="Calibri" w:hAnsi="Calibri"/>
                <w:b w:val="0"/>
                <w:sz w:val="17"/>
              </w:rPr>
              <w:t>A</w:t>
            </w:r>
          </w:p>
        </w:tc>
        <w:tc>
          <w:tcPr>
            <w:tcW w:type="dxa" w:w="1134"/>
          </w:tcPr>
          <w:p>
            <w:pPr>
              <w:spacing w:after="20" w:before="20" w:line="240" w:lineRule="auto"/>
              <w:jc w:val="center"/>
            </w:pPr>
            <w:r/>
            <w:r>
              <w:rPr>
                <w:rFonts w:ascii="Calibri" w:hAnsi="Calibri"/>
                <w:b w:val="0"/>
                <w:sz w:val="17"/>
              </w:rPr>
              <w:t>R</w:t>
            </w:r>
          </w:p>
        </w:tc>
        <w:tc>
          <w:tcPr>
            <w:tcW w:type="dxa" w:w="1134"/>
          </w:tcPr>
          <w:p>
            <w:pPr>
              <w:spacing w:after="20" w:before="20" w:line="240" w:lineRule="auto"/>
              <w:jc w:val="center"/>
            </w:pPr>
            <w:r/>
            <w:r>
              <w:rPr>
                <w:rFonts w:ascii="Calibri" w:hAnsi="Calibri"/>
                <w:b w:val="0"/>
                <w:sz w:val="17"/>
              </w:rPr>
              <w:t>R</w:t>
            </w:r>
          </w:p>
        </w:tc>
        <w:tc>
          <w:tcPr>
            <w:tcW w:type="dxa" w:w="1134"/>
          </w:tcPr>
          <w:p>
            <w:pPr>
              <w:spacing w:after="20" w:before="20" w:line="240" w:lineRule="auto"/>
              <w:jc w:val="center"/>
            </w:pPr>
            <w:r/>
            <w:r>
              <w:rPr>
                <w:rFonts w:ascii="Calibri" w:hAnsi="Calibri"/>
                <w:b w:val="0"/>
                <w:sz w:val="17"/>
              </w:rPr>
              <w:t>C</w:t>
            </w:r>
          </w:p>
        </w:tc>
        <w:tc>
          <w:tcPr>
            <w:tcW w:type="dxa" w:w="1134"/>
          </w:tcPr>
          <w:p>
            <w:pPr>
              <w:spacing w:after="20" w:before="20" w:line="240" w:lineRule="auto"/>
              <w:jc w:val="center"/>
            </w:pPr>
            <w:r/>
            <w:r>
              <w:rPr>
                <w:rFonts w:ascii="Calibri" w:hAnsi="Calibri"/>
                <w:b w:val="0"/>
                <w:sz w:val="17"/>
              </w:rPr>
              <w:t>C</w:t>
            </w:r>
          </w:p>
        </w:tc>
      </w:tr>
      <w:tr>
        <w:tc>
          <w:tcPr>
            <w:tcW w:type="dxa" w:w="3742"/>
            <w:shd w:val="clear" w:fill="F7F9FB"/>
          </w:tcPr>
          <w:p>
            <w:pPr>
              <w:spacing w:after="20" w:before="20" w:line="240" w:lineRule="auto"/>
            </w:pPr>
            <w:r/>
            <w:r>
              <w:rPr>
                <w:rFonts w:ascii="Calibri" w:hAnsi="Calibri"/>
                <w:b w:val="0"/>
                <w:sz w:val="17"/>
              </w:rPr>
              <w:t>UAT execution and sign-off</w:t>
            </w:r>
          </w:p>
        </w:tc>
        <w:tc>
          <w:tcPr>
            <w:tcW w:type="dxa" w:w="1474"/>
            <w:shd w:val="clear" w:fill="F7F9FB"/>
          </w:tcPr>
          <w:p>
            <w:pPr>
              <w:spacing w:after="20" w:before="20" w:line="240" w:lineRule="auto"/>
              <w:jc w:val="center"/>
            </w:pPr>
            <w:r/>
            <w:r>
              <w:rPr>
                <w:rFonts w:ascii="Calibri" w:hAnsi="Calibri"/>
                <w:b w:val="0"/>
                <w:sz w:val="17"/>
              </w:rPr>
              <w:t>A</w:t>
            </w:r>
          </w:p>
        </w:tc>
        <w:tc>
          <w:tcPr>
            <w:tcW w:type="dxa" w:w="1134"/>
            <w:shd w:val="clear" w:fill="F7F9FB"/>
          </w:tcPr>
          <w:p>
            <w:pPr>
              <w:spacing w:after="20" w:before="20" w:line="240" w:lineRule="auto"/>
              <w:jc w:val="center"/>
            </w:pPr>
            <w:r/>
            <w:r>
              <w:rPr>
                <w:rFonts w:ascii="Calibri" w:hAnsi="Calibri"/>
                <w:b w:val="0"/>
                <w:sz w:val="17"/>
              </w:rPr>
              <w:t>R</w:t>
            </w:r>
          </w:p>
        </w:tc>
        <w:tc>
          <w:tcPr>
            <w:tcW w:type="dxa" w:w="1134"/>
            <w:shd w:val="clear" w:fill="F7F9FB"/>
          </w:tcPr>
          <w:p>
            <w:pPr>
              <w:spacing w:after="20" w:before="20" w:line="240" w:lineRule="auto"/>
              <w:jc w:val="center"/>
            </w:pPr>
            <w:r/>
            <w:r>
              <w:rPr>
                <w:rFonts w:ascii="Calibri" w:hAnsi="Calibri"/>
                <w:b w:val="0"/>
                <w:sz w:val="17"/>
              </w:rPr>
              <w:t>R</w:t>
            </w:r>
          </w:p>
        </w:tc>
        <w:tc>
          <w:tcPr>
            <w:tcW w:type="dxa" w:w="1134"/>
            <w:shd w:val="clear" w:fill="F7F9FB"/>
          </w:tcPr>
          <w:p>
            <w:pPr>
              <w:spacing w:after="20" w:before="20" w:line="240" w:lineRule="auto"/>
              <w:jc w:val="center"/>
            </w:pPr>
            <w:r/>
            <w:r>
              <w:rPr>
                <w:rFonts w:ascii="Calibri" w:hAnsi="Calibri"/>
                <w:b w:val="0"/>
                <w:sz w:val="17"/>
              </w:rPr>
              <w:t>I</w:t>
            </w:r>
          </w:p>
        </w:tc>
        <w:tc>
          <w:tcPr>
            <w:tcW w:type="dxa" w:w="1134"/>
            <w:shd w:val="clear" w:fill="F7F9FB"/>
          </w:tcPr>
          <w:p>
            <w:pPr>
              <w:spacing w:after="20" w:before="20" w:line="240" w:lineRule="auto"/>
              <w:jc w:val="center"/>
            </w:pPr>
            <w:r/>
            <w:r>
              <w:rPr>
                <w:rFonts w:ascii="Calibri" w:hAnsi="Calibri"/>
                <w:b w:val="0"/>
                <w:sz w:val="17"/>
              </w:rPr>
              <w:t>C</w:t>
            </w:r>
          </w:p>
        </w:tc>
      </w:tr>
      <w:tr>
        <w:tc>
          <w:tcPr>
            <w:tcW w:type="dxa" w:w="3742"/>
          </w:tcPr>
          <w:p>
            <w:pPr>
              <w:spacing w:after="20" w:before="20" w:line="240" w:lineRule="auto"/>
            </w:pPr>
            <w:r/>
            <w:r>
              <w:rPr>
                <w:rFonts w:ascii="Calibri" w:hAnsi="Calibri"/>
                <w:b w:val="0"/>
                <w:sz w:val="17"/>
              </w:rPr>
              <w:t>Monthly commentary on variances</w:t>
            </w:r>
          </w:p>
        </w:tc>
        <w:tc>
          <w:tcPr>
            <w:tcW w:type="dxa" w:w="1474"/>
          </w:tcPr>
          <w:p>
            <w:pPr>
              <w:spacing w:after="20" w:before="20" w:line="240" w:lineRule="auto"/>
              <w:jc w:val="center"/>
            </w:pPr>
            <w:r/>
            <w:r>
              <w:rPr>
                <w:rFonts w:ascii="Calibri" w:hAnsi="Calibri"/>
                <w:b w:val="0"/>
                <w:sz w:val="17"/>
              </w:rPr>
              <w:t>C</w:t>
            </w:r>
          </w:p>
        </w:tc>
        <w:tc>
          <w:tcPr>
            <w:tcW w:type="dxa" w:w="1134"/>
          </w:tcPr>
          <w:p>
            <w:pPr>
              <w:spacing w:after="20" w:before="20" w:line="240" w:lineRule="auto"/>
              <w:jc w:val="center"/>
            </w:pPr>
            <w:r/>
            <w:r>
              <w:rPr>
                <w:rFonts w:ascii="Calibri" w:hAnsi="Calibri"/>
                <w:b w:val="0"/>
                <w:sz w:val="17"/>
              </w:rPr>
              <w:t>R</w:t>
            </w:r>
          </w:p>
        </w:tc>
        <w:tc>
          <w:tcPr>
            <w:tcW w:type="dxa" w:w="1134"/>
          </w:tcPr>
          <w:p>
            <w:pPr>
              <w:spacing w:after="20" w:before="20" w:line="240" w:lineRule="auto"/>
              <w:jc w:val="center"/>
            </w:pPr>
            <w:r/>
            <w:r>
              <w:rPr>
                <w:rFonts w:ascii="Calibri" w:hAnsi="Calibri"/>
                <w:b w:val="0"/>
                <w:sz w:val="17"/>
              </w:rPr>
              <w:t>R</w:t>
            </w:r>
          </w:p>
        </w:tc>
        <w:tc>
          <w:tcPr>
            <w:tcW w:type="dxa" w:w="1134"/>
          </w:tcPr>
          <w:p>
            <w:pPr>
              <w:spacing w:after="20" w:before="20" w:line="240" w:lineRule="auto"/>
              <w:jc w:val="center"/>
            </w:pPr>
            <w:r/>
            <w:r>
              <w:rPr>
                <w:rFonts w:ascii="Calibri" w:hAnsi="Calibri"/>
                <w:b w:val="0"/>
                <w:sz w:val="17"/>
              </w:rPr>
              <w:t>I</w:t>
            </w:r>
          </w:p>
        </w:tc>
        <w:tc>
          <w:tcPr>
            <w:tcW w:type="dxa" w:w="1134"/>
          </w:tcPr>
          <w:p>
            <w:pPr>
              <w:spacing w:after="20" w:before="20" w:line="240" w:lineRule="auto"/>
              <w:jc w:val="center"/>
            </w:pPr>
            <w:r/>
            <w:r>
              <w:rPr>
                <w:rFonts w:ascii="Calibri" w:hAnsi="Calibri"/>
                <w:b w:val="0"/>
                <w:sz w:val="17"/>
              </w:rPr>
              <w:t>I</w:t>
            </w:r>
          </w:p>
        </w:tc>
      </w:tr>
      <w:tr>
        <w:tc>
          <w:tcPr>
            <w:tcW w:type="dxa" w:w="3742"/>
            <w:shd w:val="clear" w:fill="F7F9FB"/>
          </w:tcPr>
          <w:p>
            <w:pPr>
              <w:spacing w:after="20" w:before="20" w:line="240" w:lineRule="auto"/>
            </w:pPr>
            <w:r/>
            <w:r>
              <w:rPr>
                <w:rFonts w:ascii="Calibri" w:hAnsi="Calibri"/>
                <w:b w:val="0"/>
                <w:sz w:val="17"/>
              </w:rPr>
              <w:t>Maintain model after handover</w:t>
            </w:r>
          </w:p>
        </w:tc>
        <w:tc>
          <w:tcPr>
            <w:tcW w:type="dxa" w:w="1474"/>
            <w:shd w:val="clear" w:fill="F7F9FB"/>
          </w:tcPr>
          <w:p>
            <w:pPr>
              <w:spacing w:after="20" w:before="20" w:line="240" w:lineRule="auto"/>
              <w:jc w:val="center"/>
            </w:pPr>
            <w:r/>
            <w:r>
              <w:rPr>
                <w:rFonts w:ascii="Calibri" w:hAnsi="Calibri"/>
                <w:b w:val="0"/>
                <w:sz w:val="17"/>
              </w:rPr>
              <w:t>A</w:t>
            </w:r>
          </w:p>
        </w:tc>
        <w:tc>
          <w:tcPr>
            <w:tcW w:type="dxa" w:w="1134"/>
            <w:shd w:val="clear" w:fill="F7F9FB"/>
          </w:tcPr>
          <w:p>
            <w:pPr>
              <w:spacing w:after="20" w:before="20" w:line="240" w:lineRule="auto"/>
              <w:jc w:val="center"/>
            </w:pPr>
            <w:r/>
            <w:r>
              <w:rPr>
                <w:rFonts w:ascii="Calibri" w:hAnsi="Calibri"/>
                <w:b w:val="0"/>
                <w:sz w:val="17"/>
              </w:rPr>
              <w:t>I</w:t>
            </w:r>
          </w:p>
        </w:tc>
        <w:tc>
          <w:tcPr>
            <w:tcW w:type="dxa" w:w="1134"/>
            <w:shd w:val="clear" w:fill="F7F9FB"/>
          </w:tcPr>
          <w:p>
            <w:pPr>
              <w:spacing w:after="20" w:before="20" w:line="240" w:lineRule="auto"/>
              <w:jc w:val="center"/>
            </w:pPr>
            <w:r/>
            <w:r>
              <w:rPr>
                <w:rFonts w:ascii="Calibri" w:hAnsi="Calibri"/>
                <w:b w:val="0"/>
                <w:sz w:val="17"/>
              </w:rPr>
              <w:t>I</w:t>
            </w:r>
          </w:p>
        </w:tc>
        <w:tc>
          <w:tcPr>
            <w:tcW w:type="dxa" w:w="1134"/>
            <w:shd w:val="clear" w:fill="F7F9FB"/>
          </w:tcPr>
          <w:p>
            <w:pPr>
              <w:spacing w:after="20" w:before="20" w:line="240" w:lineRule="auto"/>
              <w:jc w:val="center"/>
            </w:pPr>
            <w:r/>
            <w:r>
              <w:rPr>
                <w:rFonts w:ascii="Calibri" w:hAnsi="Calibri"/>
                <w:b w:val="0"/>
                <w:sz w:val="17"/>
              </w:rPr>
              <w:t>C</w:t>
            </w:r>
          </w:p>
        </w:tc>
        <w:tc>
          <w:tcPr>
            <w:tcW w:type="dxa" w:w="1134"/>
            <w:shd w:val="clear" w:fill="F7F9FB"/>
          </w:tcPr>
          <w:p>
            <w:pPr>
              <w:spacing w:after="20" w:before="20" w:line="240" w:lineRule="auto"/>
              <w:jc w:val="center"/>
            </w:pPr>
            <w:r/>
            <w:r>
              <w:rPr>
                <w:rFonts w:ascii="Calibri" w:hAnsi="Calibri"/>
                <w:b w:val="0"/>
                <w:sz w:val="17"/>
              </w:rPr>
              <w:t>R</w:t>
            </w:r>
          </w:p>
        </w:tc>
      </w:tr>
    </w:tbl>
    <w:p>
      <w:pPr>
        <w:spacing w:after="20"/>
      </w:pPr>
    </w:p>
    <w:p>
      <w:pPr>
        <w:spacing w:after="160"/>
      </w:pPr>
      <w:r>
        <w:rPr>
          <w:i/>
          <w:color w:val="595959"/>
          <w:sz w:val="17"/>
        </w:rPr>
        <w:t>A = accountable, R = responsible, C = consulted, I = informed.</w:t>
      </w:r>
    </w:p>
    <w:p>
      <w:pPr>
        <w:pStyle w:val="Heading1"/>
      </w:pPr>
      <w:r>
        <w:t>7. Current State (As-Is)</w:t>
      </w:r>
    </w:p>
    <w:p>
      <w:pPr>
        <w:pStyle w:val="Heading2"/>
      </w:pPr>
      <w:r>
        <w:t>7.1 Process as it operates today</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trPr>
        <w:tc>
          <w:tcPr>
            <w:tcW w:type="dxa" w:w="624"/>
            <w:shd w:val="clear" w:fill="1F3B57"/>
          </w:tcPr>
          <w:p>
            <w:pPr>
              <w:spacing w:after="20" w:before="20" w:line="240" w:lineRule="auto"/>
            </w:pPr>
            <w:r/>
            <w:r>
              <w:rPr>
                <w:rFonts w:ascii="Calibri" w:hAnsi="Calibri"/>
                <w:b/>
                <w:color w:val="FFFFFF"/>
                <w:sz w:val="16"/>
              </w:rPr>
              <w:t>Step</w:t>
            </w:r>
          </w:p>
        </w:tc>
        <w:tc>
          <w:tcPr>
            <w:tcW w:type="dxa" w:w="3572"/>
            <w:shd w:val="clear" w:fill="1F3B57"/>
          </w:tcPr>
          <w:p>
            <w:pPr>
              <w:spacing w:after="20" w:before="20" w:line="240" w:lineRule="auto"/>
            </w:pPr>
            <w:r/>
            <w:r>
              <w:rPr>
                <w:rFonts w:ascii="Calibri" w:hAnsi="Calibri"/>
                <w:b/>
                <w:color w:val="FFFFFF"/>
                <w:sz w:val="16"/>
              </w:rPr>
              <w:t>Current activity</w:t>
            </w:r>
          </w:p>
        </w:tc>
        <w:tc>
          <w:tcPr>
            <w:tcW w:type="dxa" w:w="1474"/>
            <w:shd w:val="clear" w:fill="1F3B57"/>
          </w:tcPr>
          <w:p>
            <w:pPr>
              <w:spacing w:after="20" w:before="20" w:line="240" w:lineRule="auto"/>
            </w:pPr>
            <w:r/>
            <w:r>
              <w:rPr>
                <w:rFonts w:ascii="Calibri" w:hAnsi="Calibri"/>
                <w:b/>
                <w:color w:val="FFFFFF"/>
                <w:sz w:val="16"/>
              </w:rPr>
              <w:t>System / tool</w:t>
            </w:r>
          </w:p>
        </w:tc>
        <w:tc>
          <w:tcPr>
            <w:tcW w:type="dxa" w:w="1474"/>
            <w:shd w:val="clear" w:fill="1F3B57"/>
          </w:tcPr>
          <w:p>
            <w:pPr>
              <w:spacing w:after="20" w:before="20" w:line="240" w:lineRule="auto"/>
            </w:pPr>
            <w:r/>
            <w:r>
              <w:rPr>
                <w:rFonts w:ascii="Calibri" w:hAnsi="Calibri"/>
                <w:b/>
                <w:color w:val="FFFFFF"/>
                <w:sz w:val="16"/>
              </w:rPr>
              <w:t>Typical effort</w:t>
            </w:r>
          </w:p>
        </w:tc>
        <w:tc>
          <w:tcPr>
            <w:tcW w:type="dxa" w:w="2608"/>
            <w:shd w:val="clear" w:fill="1F3B57"/>
          </w:tcPr>
          <w:p>
            <w:pPr>
              <w:spacing w:after="20" w:before="20" w:line="240" w:lineRule="auto"/>
            </w:pPr>
            <w:r/>
            <w:r>
              <w:rPr>
                <w:rFonts w:ascii="Calibri" w:hAnsi="Calibri"/>
                <w:b/>
                <w:color w:val="FFFFFF"/>
                <w:sz w:val="16"/>
              </w:rPr>
              <w:t>Pain point</w:t>
            </w:r>
          </w:p>
        </w:tc>
      </w:tr>
      <w:tr>
        <w:tc>
          <w:tcPr>
            <w:tcW w:type="dxa" w:w="624"/>
          </w:tcPr>
          <w:p>
            <w:pPr>
              <w:spacing w:after="20" w:before="20" w:line="240" w:lineRule="auto"/>
              <w:jc w:val="center"/>
            </w:pPr>
            <w:r/>
            <w:r>
              <w:rPr>
                <w:rFonts w:ascii="Calibri" w:hAnsi="Calibri"/>
                <w:b w:val="0"/>
                <w:sz w:val="16"/>
              </w:rPr>
              <w:t>1</w:t>
            </w:r>
          </w:p>
        </w:tc>
        <w:tc>
          <w:tcPr>
            <w:tcW w:type="dxa" w:w="3572"/>
          </w:tcPr>
          <w:p>
            <w:pPr>
              <w:spacing w:after="20" w:before="20" w:line="240" w:lineRule="auto"/>
            </w:pPr>
            <w:r/>
            <w:r>
              <w:rPr>
                <w:rFonts w:ascii="Calibri" w:hAnsi="Calibri"/>
                <w:b w:val="0"/>
                <w:sz w:val="16"/>
              </w:rPr>
              <w:t>Field or facility raises a requirement based on visual stock check and past experience</w:t>
            </w:r>
          </w:p>
        </w:tc>
        <w:tc>
          <w:tcPr>
            <w:tcW w:type="dxa" w:w="1474"/>
          </w:tcPr>
          <w:p>
            <w:pPr>
              <w:spacing w:after="20" w:before="20" w:line="240" w:lineRule="auto"/>
              <w:jc w:val="center"/>
            </w:pPr>
            <w:r/>
            <w:r>
              <w:rPr>
                <w:rFonts w:ascii="Calibri" w:hAnsi="Calibri"/>
                <w:b w:val="0"/>
                <w:sz w:val="16"/>
              </w:rPr>
              <w:t>Paper / email</w:t>
            </w:r>
          </w:p>
        </w:tc>
        <w:tc>
          <w:tcPr>
            <w:tcW w:type="dxa" w:w="1474"/>
          </w:tcPr>
          <w:p>
            <w:pPr>
              <w:spacing w:after="20" w:before="20" w:line="240" w:lineRule="auto"/>
              <w:jc w:val="center"/>
            </w:pPr>
            <w:r/>
            <w:r>
              <w:rPr>
                <w:rFonts w:ascii="Calibri" w:hAnsi="Calibri"/>
                <w:b w:val="0"/>
                <w:sz w:val="16"/>
              </w:rPr>
              <w:t>Ongoing</w:t>
            </w:r>
          </w:p>
        </w:tc>
        <w:tc>
          <w:tcPr>
            <w:tcW w:type="dxa" w:w="2608"/>
          </w:tcPr>
          <w:p>
            <w:pPr>
              <w:spacing w:after="20" w:before="20" w:line="240" w:lineRule="auto"/>
            </w:pPr>
            <w:r/>
            <w:r>
              <w:rPr>
                <w:rFonts w:ascii="Calibri" w:hAnsi="Calibri"/>
                <w:b w:val="0"/>
                <w:sz w:val="16"/>
              </w:rPr>
              <w:t>No consumption evidence behind the quantity</w:t>
            </w:r>
          </w:p>
        </w:tc>
      </w:tr>
      <w:tr>
        <w:tc>
          <w:tcPr>
            <w:tcW w:type="dxa" w:w="624"/>
            <w:shd w:val="clear" w:fill="F7F9FB"/>
          </w:tcPr>
          <w:p>
            <w:pPr>
              <w:spacing w:after="20" w:before="20" w:line="240" w:lineRule="auto"/>
              <w:jc w:val="center"/>
            </w:pPr>
            <w:r/>
            <w:r>
              <w:rPr>
                <w:rFonts w:ascii="Calibri" w:hAnsi="Calibri"/>
                <w:b w:val="0"/>
                <w:sz w:val="16"/>
              </w:rPr>
              <w:t>2</w:t>
            </w:r>
          </w:p>
        </w:tc>
        <w:tc>
          <w:tcPr>
            <w:tcW w:type="dxa" w:w="3572"/>
            <w:shd w:val="clear" w:fill="F7F9FB"/>
          </w:tcPr>
          <w:p>
            <w:pPr>
              <w:spacing w:after="20" w:before="20" w:line="240" w:lineRule="auto"/>
            </w:pPr>
            <w:r/>
            <w:r>
              <w:rPr>
                <w:rFonts w:ascii="Calibri" w:hAnsi="Calibri"/>
                <w:b w:val="0"/>
                <w:sz w:val="16"/>
              </w:rPr>
              <w:t>Procurement consolidates requirements and raises purchase orders</w:t>
            </w:r>
          </w:p>
        </w:tc>
        <w:tc>
          <w:tcPr>
            <w:tcW w:type="dxa" w:w="1474"/>
            <w:shd w:val="clear" w:fill="F7F9FB"/>
          </w:tcPr>
          <w:p>
            <w:pPr>
              <w:spacing w:after="20" w:before="20" w:line="240" w:lineRule="auto"/>
              <w:jc w:val="center"/>
            </w:pPr>
            <w:r/>
            <w:r>
              <w:rPr>
                <w:rFonts w:ascii="Calibri" w:hAnsi="Calibri"/>
                <w:b w:val="0"/>
                <w:sz w:val="16"/>
              </w:rPr>
              <w:t>Oracle PO</w:t>
            </w:r>
          </w:p>
        </w:tc>
        <w:tc>
          <w:tcPr>
            <w:tcW w:type="dxa" w:w="1474"/>
            <w:shd w:val="clear" w:fill="F7F9FB"/>
          </w:tcPr>
          <w:p>
            <w:pPr>
              <w:spacing w:after="20" w:before="20" w:line="240" w:lineRule="auto"/>
              <w:jc w:val="center"/>
            </w:pPr>
            <w:r/>
            <w:r>
              <w:rPr>
                <w:rFonts w:ascii="Calibri" w:hAnsi="Calibri"/>
                <w:b w:val="0"/>
                <w:sz w:val="16"/>
              </w:rPr>
              <w:t>2–4 days per cycle</w:t>
            </w:r>
          </w:p>
        </w:tc>
        <w:tc>
          <w:tcPr>
            <w:tcW w:type="dxa" w:w="2608"/>
            <w:shd w:val="clear" w:fill="F7F9FB"/>
          </w:tcPr>
          <w:p>
            <w:pPr>
              <w:spacing w:after="20" w:before="20" w:line="240" w:lineRule="auto"/>
            </w:pPr>
            <w:r/>
            <w:r>
              <w:rPr>
                <w:rFonts w:ascii="Calibri" w:hAnsi="Calibri"/>
                <w:b w:val="0"/>
                <w:sz w:val="16"/>
              </w:rPr>
              <w:t>Quantities based on estimates, not trend</w:t>
            </w:r>
          </w:p>
        </w:tc>
      </w:tr>
      <w:tr>
        <w:tc>
          <w:tcPr>
            <w:tcW w:type="dxa" w:w="624"/>
          </w:tcPr>
          <w:p>
            <w:pPr>
              <w:spacing w:after="20" w:before="20" w:line="240" w:lineRule="auto"/>
              <w:jc w:val="center"/>
            </w:pPr>
            <w:r/>
            <w:r>
              <w:rPr>
                <w:rFonts w:ascii="Calibri" w:hAnsi="Calibri"/>
                <w:b w:val="0"/>
                <w:sz w:val="16"/>
              </w:rPr>
              <w:t>3</w:t>
            </w:r>
          </w:p>
        </w:tc>
        <w:tc>
          <w:tcPr>
            <w:tcW w:type="dxa" w:w="3572"/>
          </w:tcPr>
          <w:p>
            <w:pPr>
              <w:spacing w:after="20" w:before="20" w:line="240" w:lineRule="auto"/>
            </w:pPr>
            <w:r/>
            <w:r>
              <w:rPr>
                <w:rFonts w:ascii="Calibri" w:hAnsi="Calibri"/>
                <w:b w:val="0"/>
                <w:sz w:val="16"/>
              </w:rPr>
              <w:t>Goods received, batch and expiry recorded, stock updated</w:t>
            </w:r>
          </w:p>
        </w:tc>
        <w:tc>
          <w:tcPr>
            <w:tcW w:type="dxa" w:w="1474"/>
          </w:tcPr>
          <w:p>
            <w:pPr>
              <w:spacing w:after="20" w:before="20" w:line="240" w:lineRule="auto"/>
              <w:jc w:val="center"/>
            </w:pPr>
            <w:r/>
            <w:r>
              <w:rPr>
                <w:rFonts w:ascii="Calibri" w:hAnsi="Calibri"/>
                <w:b w:val="0"/>
                <w:sz w:val="16"/>
              </w:rPr>
              <w:t>Oracle inventory</w:t>
            </w:r>
          </w:p>
        </w:tc>
        <w:tc>
          <w:tcPr>
            <w:tcW w:type="dxa" w:w="1474"/>
          </w:tcPr>
          <w:p>
            <w:pPr>
              <w:spacing w:after="20" w:before="20" w:line="240" w:lineRule="auto"/>
              <w:jc w:val="center"/>
            </w:pPr>
            <w:r/>
            <w:r>
              <w:rPr>
                <w:rFonts w:ascii="Calibri" w:hAnsi="Calibri"/>
                <w:b w:val="0"/>
                <w:sz w:val="16"/>
              </w:rPr>
              <w:t>Same day</w:t>
            </w:r>
          </w:p>
        </w:tc>
        <w:tc>
          <w:tcPr>
            <w:tcW w:type="dxa" w:w="2608"/>
          </w:tcPr>
          <w:p>
            <w:pPr>
              <w:spacing w:after="20" w:before="20" w:line="240" w:lineRule="auto"/>
            </w:pPr>
            <w:r/>
            <w:r>
              <w:rPr>
                <w:rFonts w:ascii="Calibri" w:hAnsi="Calibri"/>
                <w:b w:val="0"/>
                <w:sz w:val="16"/>
              </w:rPr>
              <w:t>Batch data captured but rarely analysed</w:t>
            </w:r>
          </w:p>
        </w:tc>
      </w:tr>
      <w:tr>
        <w:tc>
          <w:tcPr>
            <w:tcW w:type="dxa" w:w="624"/>
            <w:shd w:val="clear" w:fill="F7F9FB"/>
          </w:tcPr>
          <w:p>
            <w:pPr>
              <w:spacing w:after="20" w:before="20" w:line="240" w:lineRule="auto"/>
              <w:jc w:val="center"/>
            </w:pPr>
            <w:r/>
            <w:r>
              <w:rPr>
                <w:rFonts w:ascii="Calibri" w:hAnsi="Calibri"/>
                <w:b w:val="0"/>
                <w:sz w:val="16"/>
              </w:rPr>
              <w:t>4</w:t>
            </w:r>
          </w:p>
        </w:tc>
        <w:tc>
          <w:tcPr>
            <w:tcW w:type="dxa" w:w="3572"/>
            <w:shd w:val="clear" w:fill="F7F9FB"/>
          </w:tcPr>
          <w:p>
            <w:pPr>
              <w:spacing w:after="20" w:before="20" w:line="240" w:lineRule="auto"/>
            </w:pPr>
            <w:r/>
            <w:r>
              <w:rPr>
                <w:rFonts w:ascii="Calibri" w:hAnsi="Calibri"/>
                <w:b w:val="0"/>
                <w:sz w:val="16"/>
              </w:rPr>
              <w:t>Items issued to service points and charged to project codes</w:t>
            </w:r>
          </w:p>
        </w:tc>
        <w:tc>
          <w:tcPr>
            <w:tcW w:type="dxa" w:w="1474"/>
            <w:shd w:val="clear" w:fill="F7F9FB"/>
          </w:tcPr>
          <w:p>
            <w:pPr>
              <w:spacing w:after="20" w:before="20" w:line="240" w:lineRule="auto"/>
              <w:jc w:val="center"/>
            </w:pPr>
            <w:r/>
            <w:r>
              <w:rPr>
                <w:rFonts w:ascii="Calibri" w:hAnsi="Calibri"/>
                <w:b w:val="0"/>
                <w:sz w:val="16"/>
              </w:rPr>
              <w:t>Oracle inventory</w:t>
            </w:r>
          </w:p>
        </w:tc>
        <w:tc>
          <w:tcPr>
            <w:tcW w:type="dxa" w:w="1474"/>
            <w:shd w:val="clear" w:fill="F7F9FB"/>
          </w:tcPr>
          <w:p>
            <w:pPr>
              <w:spacing w:after="20" w:before="20" w:line="240" w:lineRule="auto"/>
              <w:jc w:val="center"/>
            </w:pPr>
            <w:r/>
            <w:r>
              <w:rPr>
                <w:rFonts w:ascii="Calibri" w:hAnsi="Calibri"/>
                <w:b w:val="0"/>
                <w:sz w:val="16"/>
              </w:rPr>
              <w:t>Same day</w:t>
            </w:r>
          </w:p>
        </w:tc>
        <w:tc>
          <w:tcPr>
            <w:tcW w:type="dxa" w:w="2608"/>
            <w:shd w:val="clear" w:fill="F7F9FB"/>
          </w:tcPr>
          <w:p>
            <w:pPr>
              <w:spacing w:after="20" w:before="20" w:line="240" w:lineRule="auto"/>
            </w:pPr>
            <w:r/>
            <w:r>
              <w:rPr>
                <w:rFonts w:ascii="Calibri" w:hAnsi="Calibri"/>
                <w:b w:val="0"/>
                <w:sz w:val="16"/>
              </w:rPr>
              <w:t>Project code sometimes generic or missing</w:t>
            </w:r>
          </w:p>
        </w:tc>
      </w:tr>
      <w:tr>
        <w:tc>
          <w:tcPr>
            <w:tcW w:type="dxa" w:w="624"/>
          </w:tcPr>
          <w:p>
            <w:pPr>
              <w:spacing w:after="20" w:before="20" w:line="240" w:lineRule="auto"/>
              <w:jc w:val="center"/>
            </w:pPr>
            <w:r/>
            <w:r>
              <w:rPr>
                <w:rFonts w:ascii="Calibri" w:hAnsi="Calibri"/>
                <w:b w:val="0"/>
                <w:sz w:val="16"/>
              </w:rPr>
              <w:t>5</w:t>
            </w:r>
          </w:p>
        </w:tc>
        <w:tc>
          <w:tcPr>
            <w:tcW w:type="dxa" w:w="3572"/>
          </w:tcPr>
          <w:p>
            <w:pPr>
              <w:spacing w:after="20" w:before="20" w:line="240" w:lineRule="auto"/>
            </w:pPr>
            <w:r/>
            <w:r>
              <w:rPr>
                <w:rFonts w:ascii="Calibri" w:hAnsi="Calibri"/>
                <w:b w:val="0"/>
                <w:sz w:val="16"/>
              </w:rPr>
              <w:t>Month-end: staff export PO, GRN and issue data to spreadsheets</w:t>
            </w:r>
          </w:p>
        </w:tc>
        <w:tc>
          <w:tcPr>
            <w:tcW w:type="dxa" w:w="1474"/>
          </w:tcPr>
          <w:p>
            <w:pPr>
              <w:spacing w:after="20" w:before="20" w:line="240" w:lineRule="auto"/>
              <w:jc w:val="center"/>
            </w:pPr>
            <w:r/>
            <w:r>
              <w:rPr>
                <w:rFonts w:ascii="Calibri" w:hAnsi="Calibri"/>
                <w:b w:val="0"/>
                <w:sz w:val="16"/>
              </w:rPr>
              <w:t>Oracle + Excel</w:t>
            </w:r>
          </w:p>
        </w:tc>
        <w:tc>
          <w:tcPr>
            <w:tcW w:type="dxa" w:w="1474"/>
          </w:tcPr>
          <w:p>
            <w:pPr>
              <w:spacing w:after="20" w:before="20" w:line="240" w:lineRule="auto"/>
              <w:jc w:val="center"/>
            </w:pPr>
            <w:r/>
            <w:r>
              <w:rPr>
                <w:rFonts w:ascii="Calibri" w:hAnsi="Calibri"/>
                <w:b w:val="0"/>
                <w:sz w:val="16"/>
              </w:rPr>
              <w:t>3–5 days</w:t>
            </w:r>
          </w:p>
        </w:tc>
        <w:tc>
          <w:tcPr>
            <w:tcW w:type="dxa" w:w="2608"/>
          </w:tcPr>
          <w:p>
            <w:pPr>
              <w:spacing w:after="20" w:before="20" w:line="240" w:lineRule="auto"/>
            </w:pPr>
            <w:r/>
            <w:r>
              <w:rPr>
                <w:rFonts w:ascii="Calibri" w:hAnsi="Calibri"/>
                <w:b w:val="0"/>
                <w:sz w:val="16"/>
              </w:rPr>
              <w:t>Manual, repetitive, version conflicts</w:t>
            </w:r>
          </w:p>
        </w:tc>
      </w:tr>
      <w:tr>
        <w:tc>
          <w:tcPr>
            <w:tcW w:type="dxa" w:w="624"/>
            <w:shd w:val="clear" w:fill="F7F9FB"/>
          </w:tcPr>
          <w:p>
            <w:pPr>
              <w:spacing w:after="20" w:before="20" w:line="240" w:lineRule="auto"/>
              <w:jc w:val="center"/>
            </w:pPr>
            <w:r/>
            <w:r>
              <w:rPr>
                <w:rFonts w:ascii="Calibri" w:hAnsi="Calibri"/>
                <w:b w:val="0"/>
                <w:sz w:val="16"/>
              </w:rPr>
              <w:t>6</w:t>
            </w:r>
          </w:p>
        </w:tc>
        <w:tc>
          <w:tcPr>
            <w:tcW w:type="dxa" w:w="3572"/>
            <w:shd w:val="clear" w:fill="F7F9FB"/>
          </w:tcPr>
          <w:p>
            <w:pPr>
              <w:spacing w:after="20" w:before="20" w:line="240" w:lineRule="auto"/>
            </w:pPr>
            <w:r/>
            <w:r>
              <w:rPr>
                <w:rFonts w:ascii="Calibri" w:hAnsi="Calibri"/>
                <w:b w:val="0"/>
                <w:sz w:val="16"/>
              </w:rPr>
              <w:t>Consumption and spend compiled into management reports</w:t>
            </w:r>
          </w:p>
        </w:tc>
        <w:tc>
          <w:tcPr>
            <w:tcW w:type="dxa" w:w="1474"/>
            <w:shd w:val="clear" w:fill="F7F9FB"/>
          </w:tcPr>
          <w:p>
            <w:pPr>
              <w:spacing w:after="20" w:before="20" w:line="240" w:lineRule="auto"/>
              <w:jc w:val="center"/>
            </w:pPr>
            <w:r/>
            <w:r>
              <w:rPr>
                <w:rFonts w:ascii="Calibri" w:hAnsi="Calibri"/>
                <w:b w:val="0"/>
                <w:sz w:val="16"/>
              </w:rPr>
              <w:t>Excel / PowerPoint</w:t>
            </w:r>
          </w:p>
        </w:tc>
        <w:tc>
          <w:tcPr>
            <w:tcW w:type="dxa" w:w="1474"/>
            <w:shd w:val="clear" w:fill="F7F9FB"/>
          </w:tcPr>
          <w:p>
            <w:pPr>
              <w:spacing w:after="20" w:before="20" w:line="240" w:lineRule="auto"/>
              <w:jc w:val="center"/>
            </w:pPr>
            <w:r/>
            <w:r>
              <w:rPr>
                <w:rFonts w:ascii="Calibri" w:hAnsi="Calibri"/>
                <w:b w:val="0"/>
                <w:sz w:val="16"/>
              </w:rPr>
              <w:t>2–4 days</w:t>
            </w:r>
          </w:p>
        </w:tc>
        <w:tc>
          <w:tcPr>
            <w:tcW w:type="dxa" w:w="2608"/>
            <w:shd w:val="clear" w:fill="F7F9FB"/>
          </w:tcPr>
          <w:p>
            <w:pPr>
              <w:spacing w:after="20" w:before="20" w:line="240" w:lineRule="auto"/>
            </w:pPr>
            <w:r/>
            <w:r>
              <w:rPr>
                <w:rFonts w:ascii="Calibri" w:hAnsi="Calibri"/>
                <w:b w:val="0"/>
                <w:sz w:val="16"/>
              </w:rPr>
              <w:t>Lag of 7–15 days after month end</w:t>
            </w:r>
          </w:p>
        </w:tc>
      </w:tr>
      <w:tr>
        <w:tc>
          <w:tcPr>
            <w:tcW w:type="dxa" w:w="624"/>
          </w:tcPr>
          <w:p>
            <w:pPr>
              <w:spacing w:after="20" w:before="20" w:line="240" w:lineRule="auto"/>
              <w:jc w:val="center"/>
            </w:pPr>
            <w:r/>
            <w:r>
              <w:rPr>
                <w:rFonts w:ascii="Calibri" w:hAnsi="Calibri"/>
                <w:b w:val="0"/>
                <w:sz w:val="16"/>
              </w:rPr>
              <w:t>7</w:t>
            </w:r>
          </w:p>
        </w:tc>
        <w:tc>
          <w:tcPr>
            <w:tcW w:type="dxa" w:w="3572"/>
          </w:tcPr>
          <w:p>
            <w:pPr>
              <w:spacing w:after="20" w:before="20" w:line="240" w:lineRule="auto"/>
            </w:pPr>
            <w:r/>
            <w:r>
              <w:rPr>
                <w:rFonts w:ascii="Calibri" w:hAnsi="Calibri"/>
                <w:b w:val="0"/>
                <w:sz w:val="16"/>
              </w:rPr>
              <w:t>Variances investigated on request</w:t>
            </w:r>
          </w:p>
        </w:tc>
        <w:tc>
          <w:tcPr>
            <w:tcW w:type="dxa" w:w="1474"/>
          </w:tcPr>
          <w:p>
            <w:pPr>
              <w:spacing w:after="20" w:before="20" w:line="240" w:lineRule="auto"/>
              <w:jc w:val="center"/>
            </w:pPr>
            <w:r/>
            <w:r>
              <w:rPr>
                <w:rFonts w:ascii="Calibri" w:hAnsi="Calibri"/>
                <w:b w:val="0"/>
                <w:sz w:val="16"/>
              </w:rPr>
              <w:t>Email / meetings</w:t>
            </w:r>
          </w:p>
        </w:tc>
        <w:tc>
          <w:tcPr>
            <w:tcW w:type="dxa" w:w="1474"/>
          </w:tcPr>
          <w:p>
            <w:pPr>
              <w:spacing w:after="20" w:before="20" w:line="240" w:lineRule="auto"/>
              <w:jc w:val="center"/>
            </w:pPr>
            <w:r/>
            <w:r>
              <w:rPr>
                <w:rFonts w:ascii="Calibri" w:hAnsi="Calibri"/>
                <w:b w:val="0"/>
                <w:sz w:val="16"/>
              </w:rPr>
              <w:t>Ad hoc</w:t>
            </w:r>
          </w:p>
        </w:tc>
        <w:tc>
          <w:tcPr>
            <w:tcW w:type="dxa" w:w="2608"/>
          </w:tcPr>
          <w:p>
            <w:pPr>
              <w:spacing w:after="20" w:before="20" w:line="240" w:lineRule="auto"/>
            </w:pPr>
            <w:r/>
            <w:r>
              <w:rPr>
                <w:rFonts w:ascii="Calibri" w:hAnsi="Calibri"/>
                <w:b w:val="0"/>
                <w:sz w:val="16"/>
              </w:rPr>
              <w:t>Reactive; often too late to change procurement</w:t>
            </w:r>
          </w:p>
        </w:tc>
      </w:tr>
      <w:tr>
        <w:tc>
          <w:tcPr>
            <w:tcW w:type="dxa" w:w="624"/>
            <w:shd w:val="clear" w:fill="F7F9FB"/>
          </w:tcPr>
          <w:p>
            <w:pPr>
              <w:spacing w:after="20" w:before="20" w:line="240" w:lineRule="auto"/>
              <w:jc w:val="center"/>
            </w:pPr>
            <w:r/>
            <w:r>
              <w:rPr>
                <w:rFonts w:ascii="Calibri" w:hAnsi="Calibri"/>
                <w:b w:val="0"/>
                <w:sz w:val="16"/>
              </w:rPr>
              <w:t>8</w:t>
            </w:r>
          </w:p>
        </w:tc>
        <w:tc>
          <w:tcPr>
            <w:tcW w:type="dxa" w:w="3572"/>
            <w:shd w:val="clear" w:fill="F7F9FB"/>
          </w:tcPr>
          <w:p>
            <w:pPr>
              <w:spacing w:after="20" w:before="20" w:line="240" w:lineRule="auto"/>
            </w:pPr>
            <w:r/>
            <w:r>
              <w:rPr>
                <w:rFonts w:ascii="Calibri" w:hAnsi="Calibri"/>
                <w:b w:val="0"/>
                <w:sz w:val="16"/>
              </w:rPr>
              <w:t>Donor and audit queries answered from ad hoc extracts</w:t>
            </w:r>
          </w:p>
        </w:tc>
        <w:tc>
          <w:tcPr>
            <w:tcW w:type="dxa" w:w="1474"/>
            <w:shd w:val="clear" w:fill="F7F9FB"/>
          </w:tcPr>
          <w:p>
            <w:pPr>
              <w:spacing w:after="20" w:before="20" w:line="240" w:lineRule="auto"/>
              <w:jc w:val="center"/>
            </w:pPr>
            <w:r/>
            <w:r>
              <w:rPr>
                <w:rFonts w:ascii="Calibri" w:hAnsi="Calibri"/>
                <w:b w:val="0"/>
                <w:sz w:val="16"/>
              </w:rPr>
              <w:t>Excel</w:t>
            </w:r>
          </w:p>
        </w:tc>
        <w:tc>
          <w:tcPr>
            <w:tcW w:type="dxa" w:w="1474"/>
            <w:shd w:val="clear" w:fill="F7F9FB"/>
          </w:tcPr>
          <w:p>
            <w:pPr>
              <w:spacing w:after="20" w:before="20" w:line="240" w:lineRule="auto"/>
              <w:jc w:val="center"/>
            </w:pPr>
            <w:r/>
            <w:r>
              <w:rPr>
                <w:rFonts w:ascii="Calibri" w:hAnsi="Calibri"/>
                <w:b w:val="0"/>
                <w:sz w:val="16"/>
              </w:rPr>
              <w:t>1–3 days per query</w:t>
            </w:r>
          </w:p>
        </w:tc>
        <w:tc>
          <w:tcPr>
            <w:tcW w:type="dxa" w:w="2608"/>
            <w:shd w:val="clear" w:fill="F7F9FB"/>
          </w:tcPr>
          <w:p>
            <w:pPr>
              <w:spacing w:after="20" w:before="20" w:line="240" w:lineRule="auto"/>
            </w:pPr>
            <w:r/>
            <w:r>
              <w:rPr>
                <w:rFonts w:ascii="Calibri" w:hAnsi="Calibri"/>
                <w:b w:val="0"/>
                <w:sz w:val="16"/>
              </w:rPr>
              <w:t>No standing audit trail</w:t>
            </w:r>
          </w:p>
        </w:tc>
      </w:tr>
    </w:tbl>
    <w:p>
      <w:pPr>
        <w:spacing w:after="20"/>
      </w:pPr>
    </w:p>
    <w:p>
      <w:pPr>
        <w:pStyle w:val="Heading2"/>
      </w:pPr>
      <w:r>
        <w:t>7.2 Quantified pain points</w:t>
      </w:r>
    </w:p>
    <w:p>
      <w:pPr>
        <w:pStyle w:val="ListBullet"/>
        <w:spacing w:after="50"/>
        <w:ind w:left="340"/>
      </w:pPr>
      <w:r>
        <w:rPr>
          <w:b/>
        </w:rPr>
        <w:t xml:space="preserve">Cycle time. </w:t>
      </w:r>
      <w:r>
        <w:t>Total elapsed time from month end to a usable consumption report: 10–15 working days (to be confirmed during Phase 0).</w:t>
      </w:r>
    </w:p>
    <w:p>
      <w:pPr>
        <w:pStyle w:val="ListBullet"/>
        <w:spacing w:after="50"/>
        <w:ind w:left="340"/>
      </w:pPr>
      <w:r>
        <w:rPr>
          <w:b/>
        </w:rPr>
        <w:t xml:space="preserve">Duplication. </w:t>
      </w:r>
      <w:r>
        <w:t>At least four parallel spreadsheets maintained by Procurement, Programme and Finance, with recurring reconciliation differences.</w:t>
      </w:r>
    </w:p>
    <w:p>
      <w:pPr>
        <w:pStyle w:val="ListBullet"/>
        <w:spacing w:after="50"/>
        <w:ind w:left="340"/>
      </w:pPr>
      <w:r>
        <w:rPr>
          <w:b/>
        </w:rPr>
        <w:t xml:space="preserve">Attribution. </w:t>
      </w:r>
      <w:r>
        <w:t>Between 2% and 4% of consumption value is charged to generic cost centres rather than a project, based on the sample data profiling exercise.</w:t>
      </w:r>
    </w:p>
    <w:p>
      <w:pPr>
        <w:pStyle w:val="ListBullet"/>
        <w:spacing w:after="50"/>
        <w:ind w:left="340"/>
      </w:pPr>
      <w:r>
        <w:rPr>
          <w:b/>
        </w:rPr>
        <w:t xml:space="preserve">Stock visibility. </w:t>
      </w:r>
      <w:r>
        <w:t>No standing measure of days of cover, slow-moving stock or near-expiry value; these are investigated only after a wastage event.</w:t>
      </w:r>
    </w:p>
    <w:p>
      <w:pPr>
        <w:pStyle w:val="ListBullet"/>
        <w:spacing w:after="50"/>
        <w:ind w:left="340"/>
      </w:pPr>
      <w:r>
        <w:rPr>
          <w:b/>
        </w:rPr>
        <w:t xml:space="preserve">Value for money. </w:t>
      </w:r>
      <w:r>
        <w:t>Cost per beneficiary has never been calculated consistently across projects; where quoted, methodologies differ.</w:t>
      </w:r>
    </w:p>
    <w:p>
      <w:pPr>
        <w:pStyle w:val="Heading2"/>
      </w:pPr>
      <w:r>
        <w:t>7.3 Root causes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trPr>
        <w:tc>
          <w:tcPr>
            <w:tcW w:type="dxa" w:w="3969"/>
            <w:shd w:val="clear" w:fill="1F3B57"/>
          </w:tcPr>
          <w:p>
            <w:pPr>
              <w:spacing w:after="20" w:before="20" w:line="240" w:lineRule="auto"/>
            </w:pPr>
            <w:r/>
            <w:r>
              <w:rPr>
                <w:rFonts w:ascii="Calibri" w:hAnsi="Calibri"/>
                <w:b/>
                <w:color w:val="FFFFFF"/>
                <w:sz w:val="17"/>
              </w:rPr>
              <w:t>Root cause</w:t>
            </w:r>
          </w:p>
        </w:tc>
        <w:tc>
          <w:tcPr>
            <w:tcW w:type="dxa" w:w="1928"/>
            <w:shd w:val="clear" w:fill="1F3B57"/>
          </w:tcPr>
          <w:p>
            <w:pPr>
              <w:spacing w:after="20" w:before="20" w:line="240" w:lineRule="auto"/>
            </w:pPr>
            <w:r/>
            <w:r>
              <w:rPr>
                <w:rFonts w:ascii="Calibri" w:hAnsi="Calibri"/>
                <w:b/>
                <w:color w:val="FFFFFF"/>
                <w:sz w:val="17"/>
              </w:rPr>
              <w:t>Type</w:t>
            </w:r>
          </w:p>
        </w:tc>
        <w:tc>
          <w:tcPr>
            <w:tcW w:type="dxa" w:w="3855"/>
            <w:shd w:val="clear" w:fill="1F3B57"/>
          </w:tcPr>
          <w:p>
            <w:pPr>
              <w:spacing w:after="20" w:before="20" w:line="240" w:lineRule="auto"/>
            </w:pPr>
            <w:r/>
            <w:r>
              <w:rPr>
                <w:rFonts w:ascii="Calibri" w:hAnsi="Calibri"/>
                <w:b/>
                <w:color w:val="FFFFFF"/>
                <w:sz w:val="17"/>
              </w:rPr>
              <w:t>Addressed by</w:t>
            </w:r>
          </w:p>
        </w:tc>
      </w:tr>
      <w:tr>
        <w:tc>
          <w:tcPr>
            <w:tcW w:type="dxa" w:w="3969"/>
          </w:tcPr>
          <w:p>
            <w:pPr>
              <w:spacing w:after="20" w:before="20" w:line="240" w:lineRule="auto"/>
            </w:pPr>
            <w:r/>
            <w:r>
              <w:rPr>
                <w:rFonts w:ascii="Calibri" w:hAnsi="Calibri"/>
                <w:b w:val="0"/>
                <w:sz w:val="17"/>
              </w:rPr>
              <w:t>No reporting layer between Oracle and management reporting</w:t>
            </w:r>
          </w:p>
        </w:tc>
        <w:tc>
          <w:tcPr>
            <w:tcW w:type="dxa" w:w="1928"/>
          </w:tcPr>
          <w:p>
            <w:pPr>
              <w:spacing w:after="20" w:before="20" w:line="240" w:lineRule="auto"/>
            </w:pPr>
            <w:r/>
            <w:r>
              <w:rPr>
                <w:rFonts w:ascii="Calibri" w:hAnsi="Calibri"/>
                <w:b w:val="0"/>
                <w:sz w:val="17"/>
              </w:rPr>
              <w:t>Technology</w:t>
            </w:r>
          </w:p>
        </w:tc>
        <w:tc>
          <w:tcPr>
            <w:tcW w:type="dxa" w:w="3855"/>
          </w:tcPr>
          <w:p>
            <w:pPr>
              <w:spacing w:after="20" w:before="20" w:line="240" w:lineRule="auto"/>
            </w:pPr>
            <w:r/>
            <w:r>
              <w:rPr>
                <w:rFonts w:ascii="Calibri" w:hAnsi="Calibri"/>
                <w:b w:val="0"/>
                <w:sz w:val="17"/>
              </w:rPr>
              <w:t>This solution (reporting mart + dashboard)</w:t>
            </w:r>
          </w:p>
        </w:tc>
      </w:tr>
      <w:tr>
        <w:tc>
          <w:tcPr>
            <w:tcW w:type="dxa" w:w="3969"/>
            <w:shd w:val="clear" w:fill="F7F9FB"/>
          </w:tcPr>
          <w:p>
            <w:pPr>
              <w:spacing w:after="20" w:before="20" w:line="240" w:lineRule="auto"/>
            </w:pPr>
            <w:r/>
            <w:r>
              <w:rPr>
                <w:rFonts w:ascii="Calibri" w:hAnsi="Calibri"/>
                <w:b w:val="0"/>
                <w:sz w:val="17"/>
              </w:rPr>
              <w:t>KPI definitions not documented or owned</w:t>
            </w:r>
          </w:p>
        </w:tc>
        <w:tc>
          <w:tcPr>
            <w:tcW w:type="dxa" w:w="1928"/>
            <w:shd w:val="clear" w:fill="F7F9FB"/>
          </w:tcPr>
          <w:p>
            <w:pPr>
              <w:spacing w:after="20" w:before="20" w:line="240" w:lineRule="auto"/>
            </w:pPr>
            <w:r/>
            <w:r>
              <w:rPr>
                <w:rFonts w:ascii="Calibri" w:hAnsi="Calibri"/>
                <w:b w:val="0"/>
                <w:sz w:val="17"/>
              </w:rPr>
              <w:t>Process / governance</w:t>
            </w:r>
          </w:p>
        </w:tc>
        <w:tc>
          <w:tcPr>
            <w:tcW w:type="dxa" w:w="3855"/>
            <w:shd w:val="clear" w:fill="F7F9FB"/>
          </w:tcPr>
          <w:p>
            <w:pPr>
              <w:spacing w:after="20" w:before="20" w:line="240" w:lineRule="auto"/>
            </w:pPr>
            <w:r/>
            <w:r>
              <w:rPr>
                <w:rFonts w:ascii="Calibri" w:hAnsi="Calibri"/>
                <w:b w:val="0"/>
                <w:sz w:val="17"/>
              </w:rPr>
              <w:t>Section 12 KPI dictionary and approval</w:t>
            </w:r>
          </w:p>
        </w:tc>
      </w:tr>
      <w:tr>
        <w:tc>
          <w:tcPr>
            <w:tcW w:type="dxa" w:w="3969"/>
          </w:tcPr>
          <w:p>
            <w:pPr>
              <w:spacing w:after="20" w:before="20" w:line="240" w:lineRule="auto"/>
            </w:pPr>
            <w:r/>
            <w:r>
              <w:rPr>
                <w:rFonts w:ascii="Calibri" w:hAnsi="Calibri"/>
                <w:b w:val="0"/>
                <w:sz w:val="17"/>
              </w:rPr>
              <w:t>Project code not mandatory or validated at issue</w:t>
            </w:r>
          </w:p>
        </w:tc>
        <w:tc>
          <w:tcPr>
            <w:tcW w:type="dxa" w:w="1928"/>
          </w:tcPr>
          <w:p>
            <w:pPr>
              <w:spacing w:after="20" w:before="20" w:line="240" w:lineRule="auto"/>
            </w:pPr>
            <w:r/>
            <w:r>
              <w:rPr>
                <w:rFonts w:ascii="Calibri" w:hAnsi="Calibri"/>
                <w:b w:val="0"/>
                <w:sz w:val="17"/>
              </w:rPr>
              <w:t>Data / control</w:t>
            </w:r>
          </w:p>
        </w:tc>
        <w:tc>
          <w:tcPr>
            <w:tcW w:type="dxa" w:w="3855"/>
          </w:tcPr>
          <w:p>
            <w:pPr>
              <w:spacing w:after="20" w:before="20" w:line="240" w:lineRule="auto"/>
            </w:pPr>
            <w:r/>
            <w:r>
              <w:rPr>
                <w:rFonts w:ascii="Calibri" w:hAnsi="Calibri"/>
                <w:b w:val="0"/>
                <w:sz w:val="17"/>
              </w:rPr>
              <w:t>Master-data action + exception reporting (FR-30)</w:t>
            </w:r>
          </w:p>
        </w:tc>
      </w:tr>
      <w:tr>
        <w:tc>
          <w:tcPr>
            <w:tcW w:type="dxa" w:w="3969"/>
            <w:shd w:val="clear" w:fill="F7F9FB"/>
          </w:tcPr>
          <w:p>
            <w:pPr>
              <w:spacing w:after="20" w:before="20" w:line="240" w:lineRule="auto"/>
            </w:pPr>
            <w:r/>
            <w:r>
              <w:rPr>
                <w:rFonts w:ascii="Calibri" w:hAnsi="Calibri"/>
                <w:b w:val="0"/>
                <w:sz w:val="17"/>
              </w:rPr>
              <w:t>Master data (items, suppliers) not periodically cleansed</w:t>
            </w:r>
          </w:p>
        </w:tc>
        <w:tc>
          <w:tcPr>
            <w:tcW w:type="dxa" w:w="1928"/>
            <w:shd w:val="clear" w:fill="F7F9FB"/>
          </w:tcPr>
          <w:p>
            <w:pPr>
              <w:spacing w:after="20" w:before="20" w:line="240" w:lineRule="auto"/>
            </w:pPr>
            <w:r/>
            <w:r>
              <w:rPr>
                <w:rFonts w:ascii="Calibri" w:hAnsi="Calibri"/>
                <w:b w:val="0"/>
                <w:sz w:val="17"/>
              </w:rPr>
              <w:t>Data</w:t>
            </w:r>
          </w:p>
        </w:tc>
        <w:tc>
          <w:tcPr>
            <w:tcW w:type="dxa" w:w="3855"/>
            <w:shd w:val="clear" w:fill="F7F9FB"/>
          </w:tcPr>
          <w:p>
            <w:pPr>
              <w:spacing w:after="20" w:before="20" w:line="240" w:lineRule="auto"/>
            </w:pPr>
            <w:r/>
            <w:r>
              <w:rPr>
                <w:rFonts w:ascii="Calibri" w:hAnsi="Calibri"/>
                <w:b w:val="0"/>
                <w:sz w:val="17"/>
              </w:rPr>
              <w:t>Data-quality requirements, Section 15</w:t>
            </w:r>
          </w:p>
        </w:tc>
      </w:tr>
      <w:tr>
        <w:tc>
          <w:tcPr>
            <w:tcW w:type="dxa" w:w="3969"/>
          </w:tcPr>
          <w:p>
            <w:pPr>
              <w:spacing w:after="20" w:before="20" w:line="240" w:lineRule="auto"/>
            </w:pPr>
            <w:r/>
            <w:r>
              <w:rPr>
                <w:rFonts w:ascii="Calibri" w:hAnsi="Calibri"/>
                <w:b w:val="0"/>
                <w:sz w:val="17"/>
              </w:rPr>
              <w:t>No routine consumption review forum</w:t>
            </w:r>
          </w:p>
        </w:tc>
        <w:tc>
          <w:tcPr>
            <w:tcW w:type="dxa" w:w="1928"/>
          </w:tcPr>
          <w:p>
            <w:pPr>
              <w:spacing w:after="20" w:before="20" w:line="240" w:lineRule="auto"/>
            </w:pPr>
            <w:r/>
            <w:r>
              <w:rPr>
                <w:rFonts w:ascii="Calibri" w:hAnsi="Calibri"/>
                <w:b w:val="0"/>
                <w:sz w:val="17"/>
              </w:rPr>
              <w:t>Process</w:t>
            </w:r>
          </w:p>
        </w:tc>
        <w:tc>
          <w:tcPr>
            <w:tcW w:type="dxa" w:w="3855"/>
          </w:tcPr>
          <w:p>
            <w:pPr>
              <w:spacing w:after="20" w:before="20" w:line="240" w:lineRule="auto"/>
            </w:pPr>
            <w:r/>
            <w:r>
              <w:rPr>
                <w:rFonts w:ascii="Calibri" w:hAnsi="Calibri"/>
                <w:b w:val="0"/>
                <w:sz w:val="17"/>
              </w:rPr>
              <w:t>Monthly review cadence, Section 21</w:t>
            </w:r>
          </w:p>
        </w:tc>
      </w:tr>
      <w:tr>
        <w:tc>
          <w:tcPr>
            <w:tcW w:type="dxa" w:w="3969"/>
            <w:shd w:val="clear" w:fill="F7F9FB"/>
          </w:tcPr>
          <w:p>
            <w:pPr>
              <w:spacing w:after="20" w:before="20" w:line="240" w:lineRule="auto"/>
            </w:pPr>
            <w:r/>
            <w:r>
              <w:rPr>
                <w:rFonts w:ascii="Calibri" w:hAnsi="Calibri"/>
                <w:b w:val="0"/>
                <w:sz w:val="17"/>
              </w:rPr>
              <w:t>Analyst capacity absorbed by data assembly</w:t>
            </w:r>
          </w:p>
        </w:tc>
        <w:tc>
          <w:tcPr>
            <w:tcW w:type="dxa" w:w="1928"/>
            <w:shd w:val="clear" w:fill="F7F9FB"/>
          </w:tcPr>
          <w:p>
            <w:pPr>
              <w:spacing w:after="20" w:before="20" w:line="240" w:lineRule="auto"/>
            </w:pPr>
            <w:r/>
            <w:r>
              <w:rPr>
                <w:rFonts w:ascii="Calibri" w:hAnsi="Calibri"/>
                <w:b w:val="0"/>
                <w:sz w:val="17"/>
              </w:rPr>
              <w:t>Capacity</w:t>
            </w:r>
          </w:p>
        </w:tc>
        <w:tc>
          <w:tcPr>
            <w:tcW w:type="dxa" w:w="3855"/>
            <w:shd w:val="clear" w:fill="F7F9FB"/>
          </w:tcPr>
          <w:p>
            <w:pPr>
              <w:spacing w:after="20" w:before="20" w:line="240" w:lineRule="auto"/>
            </w:pPr>
            <w:r/>
            <w:r>
              <w:rPr>
                <w:rFonts w:ascii="Calibri" w:hAnsi="Calibri"/>
                <w:b w:val="0"/>
                <w:sz w:val="17"/>
              </w:rPr>
              <w:t>Automation of refresh and reporting</w:t>
            </w:r>
          </w:p>
        </w:tc>
      </w:tr>
    </w:tbl>
    <w:p>
      <w:pPr>
        <w:spacing w:after="20"/>
      </w:pPr>
    </w:p>
    <w:p>
      <w:pPr>
        <w:pStyle w:val="Heading1"/>
      </w:pPr>
      <w:r>
        <w:t>8. Future State (To-Be)</w:t>
      </w:r>
    </w:p>
    <w:p>
      <w:pPr>
        <w:pStyle w:val="Heading2"/>
      </w:pPr>
      <w:r>
        <w:t>8.1 Target process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trPr>
        <w:tc>
          <w:tcPr>
            <w:tcW w:type="dxa" w:w="624"/>
            <w:shd w:val="clear" w:fill="1F3B57"/>
          </w:tcPr>
          <w:p>
            <w:pPr>
              <w:spacing w:after="20" w:before="20" w:line="240" w:lineRule="auto"/>
            </w:pPr>
            <w:r/>
            <w:r>
              <w:rPr>
                <w:rFonts w:ascii="Calibri" w:hAnsi="Calibri"/>
                <w:b/>
                <w:color w:val="FFFFFF"/>
                <w:sz w:val="16"/>
              </w:rPr>
              <w:t>Step</w:t>
            </w:r>
          </w:p>
        </w:tc>
        <w:tc>
          <w:tcPr>
            <w:tcW w:type="dxa" w:w="4762"/>
            <w:shd w:val="clear" w:fill="1F3B57"/>
          </w:tcPr>
          <w:p>
            <w:pPr>
              <w:spacing w:after="20" w:before="20" w:line="240" w:lineRule="auto"/>
            </w:pPr>
            <w:r/>
            <w:r>
              <w:rPr>
                <w:rFonts w:ascii="Calibri" w:hAnsi="Calibri"/>
                <w:b/>
                <w:color w:val="FFFFFF"/>
                <w:sz w:val="16"/>
              </w:rPr>
              <w:t>Future activity</w:t>
            </w:r>
          </w:p>
        </w:tc>
        <w:tc>
          <w:tcPr>
            <w:tcW w:type="dxa" w:w="1984"/>
            <w:shd w:val="clear" w:fill="1F3B57"/>
          </w:tcPr>
          <w:p>
            <w:pPr>
              <w:spacing w:after="20" w:before="20" w:line="240" w:lineRule="auto"/>
            </w:pPr>
            <w:r/>
            <w:r>
              <w:rPr>
                <w:rFonts w:ascii="Calibri" w:hAnsi="Calibri"/>
                <w:b/>
                <w:color w:val="FFFFFF"/>
                <w:sz w:val="16"/>
              </w:rPr>
              <w:t>Owner</w:t>
            </w:r>
          </w:p>
        </w:tc>
        <w:tc>
          <w:tcPr>
            <w:tcW w:type="dxa" w:w="2381"/>
            <w:shd w:val="clear" w:fill="1F3B57"/>
          </w:tcPr>
          <w:p>
            <w:pPr>
              <w:spacing w:after="20" w:before="20" w:line="240" w:lineRule="auto"/>
            </w:pPr>
            <w:r/>
            <w:r>
              <w:rPr>
                <w:rFonts w:ascii="Calibri" w:hAnsi="Calibri"/>
                <w:b/>
                <w:color w:val="FFFFFF"/>
                <w:sz w:val="16"/>
              </w:rPr>
              <w:t>Timing</w:t>
            </w:r>
          </w:p>
        </w:tc>
      </w:tr>
      <w:tr>
        <w:tc>
          <w:tcPr>
            <w:tcW w:type="dxa" w:w="624"/>
          </w:tcPr>
          <w:p>
            <w:pPr>
              <w:spacing w:after="20" w:before="20" w:line="240" w:lineRule="auto"/>
              <w:jc w:val="center"/>
            </w:pPr>
            <w:r/>
            <w:r>
              <w:rPr>
                <w:rFonts w:ascii="Calibri" w:hAnsi="Calibri"/>
                <w:b w:val="0"/>
                <w:sz w:val="16"/>
              </w:rPr>
              <w:t>1</w:t>
            </w:r>
          </w:p>
        </w:tc>
        <w:tc>
          <w:tcPr>
            <w:tcW w:type="dxa" w:w="4762"/>
          </w:tcPr>
          <w:p>
            <w:pPr>
              <w:spacing w:after="20" w:before="20" w:line="240" w:lineRule="auto"/>
            </w:pPr>
            <w:r/>
            <w:r>
              <w:rPr>
                <w:rFonts w:ascii="Calibri" w:hAnsi="Calibri"/>
                <w:b w:val="0"/>
                <w:sz w:val="16"/>
              </w:rPr>
              <w:t>Oracle transactions posted as today; project code mandatory and validated at issue</w:t>
            </w:r>
          </w:p>
        </w:tc>
        <w:tc>
          <w:tcPr>
            <w:tcW w:type="dxa" w:w="1984"/>
          </w:tcPr>
          <w:p>
            <w:pPr>
              <w:spacing w:after="20" w:before="20" w:line="240" w:lineRule="auto"/>
            </w:pPr>
            <w:r/>
            <w:r>
              <w:rPr>
                <w:rFonts w:ascii="Calibri" w:hAnsi="Calibri"/>
                <w:b w:val="0"/>
                <w:sz w:val="16"/>
              </w:rPr>
              <w:t>Store / procurement</w:t>
            </w:r>
          </w:p>
        </w:tc>
        <w:tc>
          <w:tcPr>
            <w:tcW w:type="dxa" w:w="2381"/>
          </w:tcPr>
          <w:p>
            <w:pPr>
              <w:spacing w:after="20" w:before="20" w:line="240" w:lineRule="auto"/>
            </w:pPr>
            <w:r/>
            <w:r>
              <w:rPr>
                <w:rFonts w:ascii="Calibri" w:hAnsi="Calibri"/>
                <w:b w:val="0"/>
                <w:sz w:val="16"/>
              </w:rPr>
              <w:t>Daily</w:t>
            </w:r>
          </w:p>
        </w:tc>
      </w:tr>
      <w:tr>
        <w:tc>
          <w:tcPr>
            <w:tcW w:type="dxa" w:w="624"/>
            <w:shd w:val="clear" w:fill="F7F9FB"/>
          </w:tcPr>
          <w:p>
            <w:pPr>
              <w:spacing w:after="20" w:before="20" w:line="240" w:lineRule="auto"/>
              <w:jc w:val="center"/>
            </w:pPr>
            <w:r/>
            <w:r>
              <w:rPr>
                <w:rFonts w:ascii="Calibri" w:hAnsi="Calibri"/>
                <w:b w:val="0"/>
                <w:sz w:val="16"/>
              </w:rPr>
              <w:t>2</w:t>
            </w:r>
          </w:p>
        </w:tc>
        <w:tc>
          <w:tcPr>
            <w:tcW w:type="dxa" w:w="4762"/>
            <w:shd w:val="clear" w:fill="F7F9FB"/>
          </w:tcPr>
          <w:p>
            <w:pPr>
              <w:spacing w:after="20" w:before="20" w:line="240" w:lineRule="auto"/>
            </w:pPr>
            <w:r/>
            <w:r>
              <w:rPr>
                <w:rFonts w:ascii="Calibri" w:hAnsi="Calibri"/>
                <w:b w:val="0"/>
                <w:sz w:val="16"/>
              </w:rPr>
              <w:t>Automated extract loads the reporting mart; data-quality checks run and exceptions queued</w:t>
            </w:r>
          </w:p>
        </w:tc>
        <w:tc>
          <w:tcPr>
            <w:tcW w:type="dxa" w:w="1984"/>
            <w:shd w:val="clear" w:fill="F7F9FB"/>
          </w:tcPr>
          <w:p>
            <w:pPr>
              <w:spacing w:after="20" w:before="20" w:line="240" w:lineRule="auto"/>
            </w:pPr>
            <w:r/>
            <w:r>
              <w:rPr>
                <w:rFonts w:ascii="Calibri" w:hAnsi="Calibri"/>
                <w:b w:val="0"/>
                <w:sz w:val="16"/>
              </w:rPr>
              <w:t>Automated / IT</w:t>
            </w:r>
          </w:p>
        </w:tc>
        <w:tc>
          <w:tcPr>
            <w:tcW w:type="dxa" w:w="2381"/>
            <w:shd w:val="clear" w:fill="F7F9FB"/>
          </w:tcPr>
          <w:p>
            <w:pPr>
              <w:spacing w:after="20" w:before="20" w:line="240" w:lineRule="auto"/>
            </w:pPr>
            <w:r/>
            <w:r>
              <w:rPr>
                <w:rFonts w:ascii="Calibri" w:hAnsi="Calibri"/>
                <w:b w:val="0"/>
                <w:sz w:val="16"/>
              </w:rPr>
              <w:t>Nightly, before 07:00</w:t>
            </w:r>
          </w:p>
        </w:tc>
      </w:tr>
      <w:tr>
        <w:tc>
          <w:tcPr>
            <w:tcW w:type="dxa" w:w="624"/>
          </w:tcPr>
          <w:p>
            <w:pPr>
              <w:spacing w:after="20" w:before="20" w:line="240" w:lineRule="auto"/>
              <w:jc w:val="center"/>
            </w:pPr>
            <w:r/>
            <w:r>
              <w:rPr>
                <w:rFonts w:ascii="Calibri" w:hAnsi="Calibri"/>
                <w:b w:val="0"/>
                <w:sz w:val="16"/>
              </w:rPr>
              <w:t>3</w:t>
            </w:r>
          </w:p>
        </w:tc>
        <w:tc>
          <w:tcPr>
            <w:tcW w:type="dxa" w:w="4762"/>
          </w:tcPr>
          <w:p>
            <w:pPr>
              <w:spacing w:after="20" w:before="20" w:line="240" w:lineRule="auto"/>
            </w:pPr>
            <w:r/>
            <w:r>
              <w:rPr>
                <w:rFonts w:ascii="Calibri" w:hAnsi="Calibri"/>
                <w:b w:val="0"/>
                <w:sz w:val="16"/>
              </w:rPr>
              <w:t>Dashboard refreshed; data-freshness status visible on every page</w:t>
            </w:r>
          </w:p>
        </w:tc>
        <w:tc>
          <w:tcPr>
            <w:tcW w:type="dxa" w:w="1984"/>
          </w:tcPr>
          <w:p>
            <w:pPr>
              <w:spacing w:after="20" w:before="20" w:line="240" w:lineRule="auto"/>
            </w:pPr>
            <w:r/>
            <w:r>
              <w:rPr>
                <w:rFonts w:ascii="Calibri" w:hAnsi="Calibri"/>
                <w:b w:val="0"/>
                <w:sz w:val="16"/>
              </w:rPr>
              <w:t>Automated</w:t>
            </w:r>
          </w:p>
        </w:tc>
        <w:tc>
          <w:tcPr>
            <w:tcW w:type="dxa" w:w="2381"/>
          </w:tcPr>
          <w:p>
            <w:pPr>
              <w:spacing w:after="20" w:before="20" w:line="240" w:lineRule="auto"/>
            </w:pPr>
            <w:r/>
            <w:r>
              <w:rPr>
                <w:rFonts w:ascii="Calibri" w:hAnsi="Calibri"/>
                <w:b w:val="0"/>
                <w:sz w:val="16"/>
              </w:rPr>
              <w:t>Daily</w:t>
            </w:r>
          </w:p>
        </w:tc>
      </w:tr>
      <w:tr>
        <w:tc>
          <w:tcPr>
            <w:tcW w:type="dxa" w:w="624"/>
            <w:shd w:val="clear" w:fill="F7F9FB"/>
          </w:tcPr>
          <w:p>
            <w:pPr>
              <w:spacing w:after="20" w:before="20" w:line="240" w:lineRule="auto"/>
              <w:jc w:val="center"/>
            </w:pPr>
            <w:r/>
            <w:r>
              <w:rPr>
                <w:rFonts w:ascii="Calibri" w:hAnsi="Calibri"/>
                <w:b w:val="0"/>
                <w:sz w:val="16"/>
              </w:rPr>
              <w:t>4</w:t>
            </w:r>
          </w:p>
        </w:tc>
        <w:tc>
          <w:tcPr>
            <w:tcW w:type="dxa" w:w="4762"/>
            <w:shd w:val="clear" w:fill="F7F9FB"/>
          </w:tcPr>
          <w:p>
            <w:pPr>
              <w:spacing w:after="20" w:before="20" w:line="240" w:lineRule="auto"/>
            </w:pPr>
            <w:r/>
            <w:r>
              <w:rPr>
                <w:rFonts w:ascii="Calibri" w:hAnsi="Calibri"/>
                <w:b w:val="0"/>
                <w:sz w:val="16"/>
              </w:rPr>
              <w:t>Project managers review consumption versus purchase, trend and stock health for their project</w:t>
            </w:r>
          </w:p>
        </w:tc>
        <w:tc>
          <w:tcPr>
            <w:tcW w:type="dxa" w:w="1984"/>
            <w:shd w:val="clear" w:fill="F7F9FB"/>
          </w:tcPr>
          <w:p>
            <w:pPr>
              <w:spacing w:after="20" w:before="20" w:line="240" w:lineRule="auto"/>
            </w:pPr>
            <w:r/>
            <w:r>
              <w:rPr>
                <w:rFonts w:ascii="Calibri" w:hAnsi="Calibri"/>
                <w:b w:val="0"/>
                <w:sz w:val="16"/>
              </w:rPr>
              <w:t>Project managers</w:t>
            </w:r>
          </w:p>
        </w:tc>
        <w:tc>
          <w:tcPr>
            <w:tcW w:type="dxa" w:w="2381"/>
            <w:shd w:val="clear" w:fill="F7F9FB"/>
          </w:tcPr>
          <w:p>
            <w:pPr>
              <w:spacing w:after="20" w:before="20" w:line="240" w:lineRule="auto"/>
            </w:pPr>
            <w:r/>
            <w:r>
              <w:rPr>
                <w:rFonts w:ascii="Calibri" w:hAnsi="Calibri"/>
                <w:b w:val="0"/>
                <w:sz w:val="16"/>
              </w:rPr>
              <w:t>Weekly and at month end</w:t>
            </w:r>
          </w:p>
        </w:tc>
      </w:tr>
      <w:tr>
        <w:tc>
          <w:tcPr>
            <w:tcW w:type="dxa" w:w="624"/>
          </w:tcPr>
          <w:p>
            <w:pPr>
              <w:spacing w:after="20" w:before="20" w:line="240" w:lineRule="auto"/>
              <w:jc w:val="center"/>
            </w:pPr>
            <w:r/>
            <w:r>
              <w:rPr>
                <w:rFonts w:ascii="Calibri" w:hAnsi="Calibri"/>
                <w:b w:val="0"/>
                <w:sz w:val="16"/>
              </w:rPr>
              <w:t>5</w:t>
            </w:r>
          </w:p>
        </w:tc>
        <w:tc>
          <w:tcPr>
            <w:tcW w:type="dxa" w:w="4762"/>
          </w:tcPr>
          <w:p>
            <w:pPr>
              <w:spacing w:after="20" w:before="20" w:line="240" w:lineRule="auto"/>
            </w:pPr>
            <w:r/>
            <w:r>
              <w:rPr>
                <w:rFonts w:ascii="Calibri" w:hAnsi="Calibri"/>
                <w:b w:val="0"/>
                <w:sz w:val="16"/>
              </w:rPr>
              <w:t>Procurement reviews requirement quantities, days of cover, open commitments and price variance to build the purchase plan</w:t>
            </w:r>
          </w:p>
        </w:tc>
        <w:tc>
          <w:tcPr>
            <w:tcW w:type="dxa" w:w="1984"/>
          </w:tcPr>
          <w:p>
            <w:pPr>
              <w:spacing w:after="20" w:before="20" w:line="240" w:lineRule="auto"/>
            </w:pPr>
            <w:r/>
            <w:r>
              <w:rPr>
                <w:rFonts w:ascii="Calibri" w:hAnsi="Calibri"/>
                <w:b w:val="0"/>
                <w:sz w:val="16"/>
              </w:rPr>
              <w:t>Procurement</w:t>
            </w:r>
          </w:p>
        </w:tc>
        <w:tc>
          <w:tcPr>
            <w:tcW w:type="dxa" w:w="2381"/>
          </w:tcPr>
          <w:p>
            <w:pPr>
              <w:spacing w:after="20" w:before="20" w:line="240" w:lineRule="auto"/>
            </w:pPr>
            <w:r/>
            <w:r>
              <w:rPr>
                <w:rFonts w:ascii="Calibri" w:hAnsi="Calibri"/>
                <w:b w:val="0"/>
                <w:sz w:val="16"/>
              </w:rPr>
              <w:t>Monthly, by working day 3</w:t>
            </w:r>
          </w:p>
        </w:tc>
      </w:tr>
      <w:tr>
        <w:tc>
          <w:tcPr>
            <w:tcW w:type="dxa" w:w="624"/>
            <w:shd w:val="clear" w:fill="F7F9FB"/>
          </w:tcPr>
          <w:p>
            <w:pPr>
              <w:spacing w:after="20" w:before="20" w:line="240" w:lineRule="auto"/>
              <w:jc w:val="center"/>
            </w:pPr>
            <w:r/>
            <w:r>
              <w:rPr>
                <w:rFonts w:ascii="Calibri" w:hAnsi="Calibri"/>
                <w:b w:val="0"/>
                <w:sz w:val="16"/>
              </w:rPr>
              <w:t>6</w:t>
            </w:r>
          </w:p>
        </w:tc>
        <w:tc>
          <w:tcPr>
            <w:tcW w:type="dxa" w:w="4762"/>
            <w:shd w:val="clear" w:fill="F7F9FB"/>
          </w:tcPr>
          <w:p>
            <w:pPr>
              <w:spacing w:after="20" w:before="20" w:line="240" w:lineRule="auto"/>
            </w:pPr>
            <w:r/>
            <w:r>
              <w:rPr>
                <w:rFonts w:ascii="Calibri" w:hAnsi="Calibri"/>
                <w:b w:val="0"/>
                <w:sz w:val="16"/>
              </w:rPr>
              <w:t>Finance reviews budget versus consumption variance and records commentary against material variances</w:t>
            </w:r>
          </w:p>
        </w:tc>
        <w:tc>
          <w:tcPr>
            <w:tcW w:type="dxa" w:w="1984"/>
            <w:shd w:val="clear" w:fill="F7F9FB"/>
          </w:tcPr>
          <w:p>
            <w:pPr>
              <w:spacing w:after="20" w:before="20" w:line="240" w:lineRule="auto"/>
            </w:pPr>
            <w:r/>
            <w:r>
              <w:rPr>
                <w:rFonts w:ascii="Calibri" w:hAnsi="Calibri"/>
                <w:b w:val="0"/>
                <w:sz w:val="16"/>
              </w:rPr>
              <w:t>Finance</w:t>
            </w:r>
          </w:p>
        </w:tc>
        <w:tc>
          <w:tcPr>
            <w:tcW w:type="dxa" w:w="2381"/>
            <w:shd w:val="clear" w:fill="F7F9FB"/>
          </w:tcPr>
          <w:p>
            <w:pPr>
              <w:spacing w:after="20" w:before="20" w:line="240" w:lineRule="auto"/>
            </w:pPr>
            <w:r/>
            <w:r>
              <w:rPr>
                <w:rFonts w:ascii="Calibri" w:hAnsi="Calibri"/>
                <w:b w:val="0"/>
                <w:sz w:val="16"/>
              </w:rPr>
              <w:t>Monthly, by working day 5</w:t>
            </w:r>
          </w:p>
        </w:tc>
      </w:tr>
      <w:tr>
        <w:tc>
          <w:tcPr>
            <w:tcW w:type="dxa" w:w="624"/>
          </w:tcPr>
          <w:p>
            <w:pPr>
              <w:spacing w:after="20" w:before="20" w:line="240" w:lineRule="auto"/>
              <w:jc w:val="center"/>
            </w:pPr>
            <w:r/>
            <w:r>
              <w:rPr>
                <w:rFonts w:ascii="Calibri" w:hAnsi="Calibri"/>
                <w:b w:val="0"/>
                <w:sz w:val="16"/>
              </w:rPr>
              <w:t>7</w:t>
            </w:r>
          </w:p>
        </w:tc>
        <w:tc>
          <w:tcPr>
            <w:tcW w:type="dxa" w:w="4762"/>
          </w:tcPr>
          <w:p>
            <w:pPr>
              <w:spacing w:after="20" w:before="20" w:line="240" w:lineRule="auto"/>
            </w:pPr>
            <w:r/>
            <w:r>
              <w:rPr>
                <w:rFonts w:ascii="Calibri" w:hAnsi="Calibri"/>
                <w:b w:val="0"/>
                <w:sz w:val="16"/>
              </w:rPr>
              <w:t>Monthly consumption review meeting uses the dashboard as the single source</w:t>
            </w:r>
          </w:p>
        </w:tc>
        <w:tc>
          <w:tcPr>
            <w:tcW w:type="dxa" w:w="1984"/>
          </w:tcPr>
          <w:p>
            <w:pPr>
              <w:spacing w:after="20" w:before="20" w:line="240" w:lineRule="auto"/>
            </w:pPr>
            <w:r/>
            <w:r>
              <w:rPr>
                <w:rFonts w:ascii="Calibri" w:hAnsi="Calibri"/>
                <w:b w:val="0"/>
                <w:sz w:val="16"/>
              </w:rPr>
              <w:t>Head of Procurement</w:t>
            </w:r>
          </w:p>
        </w:tc>
        <w:tc>
          <w:tcPr>
            <w:tcW w:type="dxa" w:w="2381"/>
          </w:tcPr>
          <w:p>
            <w:pPr>
              <w:spacing w:after="20" w:before="20" w:line="240" w:lineRule="auto"/>
            </w:pPr>
            <w:r/>
            <w:r>
              <w:rPr>
                <w:rFonts w:ascii="Calibri" w:hAnsi="Calibri"/>
                <w:b w:val="0"/>
                <w:sz w:val="16"/>
              </w:rPr>
              <w:t>Monthly, working day 6</w:t>
            </w:r>
          </w:p>
        </w:tc>
      </w:tr>
      <w:tr>
        <w:tc>
          <w:tcPr>
            <w:tcW w:type="dxa" w:w="624"/>
            <w:shd w:val="clear" w:fill="F7F9FB"/>
          </w:tcPr>
          <w:p>
            <w:pPr>
              <w:spacing w:after="20" w:before="20" w:line="240" w:lineRule="auto"/>
              <w:jc w:val="center"/>
            </w:pPr>
            <w:r/>
            <w:r>
              <w:rPr>
                <w:rFonts w:ascii="Calibri" w:hAnsi="Calibri"/>
                <w:b w:val="0"/>
                <w:sz w:val="16"/>
              </w:rPr>
              <w:t>8</w:t>
            </w:r>
          </w:p>
        </w:tc>
        <w:tc>
          <w:tcPr>
            <w:tcW w:type="dxa" w:w="4762"/>
            <w:shd w:val="clear" w:fill="F7F9FB"/>
          </w:tcPr>
          <w:p>
            <w:pPr>
              <w:spacing w:after="20" w:before="20" w:line="240" w:lineRule="auto"/>
            </w:pPr>
            <w:r/>
            <w:r>
              <w:rPr>
                <w:rFonts w:ascii="Calibri" w:hAnsi="Calibri"/>
                <w:b w:val="0"/>
                <w:sz w:val="16"/>
              </w:rPr>
              <w:t>Exceptions assigned, resolved and evidenced; resolution tracked on the dashboard</w:t>
            </w:r>
          </w:p>
        </w:tc>
        <w:tc>
          <w:tcPr>
            <w:tcW w:type="dxa" w:w="1984"/>
            <w:shd w:val="clear" w:fill="F7F9FB"/>
          </w:tcPr>
          <w:p>
            <w:pPr>
              <w:spacing w:after="20" w:before="20" w:line="240" w:lineRule="auto"/>
            </w:pPr>
            <w:r/>
            <w:r>
              <w:rPr>
                <w:rFonts w:ascii="Calibri" w:hAnsi="Calibri"/>
                <w:b w:val="0"/>
                <w:sz w:val="16"/>
              </w:rPr>
              <w:t>Named owners</w:t>
            </w:r>
          </w:p>
        </w:tc>
        <w:tc>
          <w:tcPr>
            <w:tcW w:type="dxa" w:w="2381"/>
            <w:shd w:val="clear" w:fill="F7F9FB"/>
          </w:tcPr>
          <w:p>
            <w:pPr>
              <w:spacing w:after="20" w:before="20" w:line="240" w:lineRule="auto"/>
            </w:pPr>
            <w:r/>
            <w:r>
              <w:rPr>
                <w:rFonts w:ascii="Calibri" w:hAnsi="Calibri"/>
                <w:b w:val="0"/>
                <w:sz w:val="16"/>
              </w:rPr>
              <w:t>Ongoing, aged &gt; 30 days escalated</w:t>
            </w:r>
          </w:p>
        </w:tc>
      </w:tr>
    </w:tbl>
    <w:p>
      <w:pPr>
        <w:spacing w:after="20"/>
      </w:pPr>
    </w:p>
    <w:p>
      <w:pPr>
        <w:pStyle w:val="Heading2"/>
      </w:pPr>
      <w:r>
        <w:t>8.2 User journeys</w:t>
      </w:r>
    </w:p>
    <w:p>
      <w:pPr>
        <w:pStyle w:val="Heading3"/>
      </w:pPr>
      <w:r>
        <w:t>8.2.1 Project manager – monthly review</w:t>
      </w:r>
    </w:p>
    <w:p>
      <w:pPr>
        <w:spacing w:after="100"/>
      </w:pPr>
      <w:r>
        <w:rPr>
          <w:b w:val="0"/>
          <w:i w:val="0"/>
        </w:rPr>
        <w:t>Open the Project view for their project and the selected month. Compare consumption value with procurement investment for the period and cumulative to date. Check the trend line against project activity. Review the stock health panel for items with less than one month of cover. Drill into any item with a consumption jump above the configured threshold, inspect the underlying issues and batches, and add a commentary note. Export the page to PDF for the project file.</w:t>
      </w:r>
    </w:p>
    <w:p>
      <w:pPr>
        <w:pStyle w:val="Heading3"/>
      </w:pPr>
      <w:r>
        <w:t>8.2.2 Procurement officer – building the purchase plan</w:t>
      </w:r>
    </w:p>
    <w:p>
      <w:pPr>
        <w:spacing w:after="100"/>
      </w:pPr>
      <w:r>
        <w:rPr>
          <w:b w:val="0"/>
          <w:i w:val="0"/>
        </w:rPr>
        <w:t>Open the Procurement Planning view filtered to items below the cover threshold. For each item, review the last twelve months of consumption, the current on-hand quantity, open commitments and supplier lead time. The dashboard proposes an indicative requirement quantity for the next period. The officer adjusts for known programme changes and records the decision, which becomes the documented basis of the requisition.</w:t>
      </w:r>
    </w:p>
    <w:p>
      <w:pPr>
        <w:pStyle w:val="Heading3"/>
      </w:pPr>
      <w:r>
        <w:t>8.2.3 Finance and grants – variance review</w:t>
      </w:r>
    </w:p>
    <w:p>
      <w:pPr>
        <w:spacing w:after="100"/>
      </w:pPr>
      <w:r>
        <w:rPr>
          <w:b w:val="0"/>
          <w:i w:val="0"/>
        </w:rPr>
        <w:t>Open the Budget view, filter by project and fiscal year, and sort by absolute variance. For each material variance, review the consumption detail that explains it, then record commentary. The export forms the basis of the donor financial report narrative.</w:t>
      </w:r>
    </w:p>
    <w:p>
      <w:pPr>
        <w:pStyle w:val="Heading3"/>
      </w:pPr>
      <w:r>
        <w:t>8.2.4 Executive – monthly oversight</w:t>
      </w:r>
    </w:p>
    <w:p>
      <w:pPr>
        <w:spacing w:after="100"/>
      </w:pPr>
      <w:r>
        <w:rPr>
          <w:b w:val="0"/>
          <w:i w:val="0"/>
        </w:rPr>
        <w:t>Open the Executive page: total consumption and investment, ratio, year-on-year movement, top projects and products, exceptions requiring decision. No drilling is required unless a metric is flagged red; the page answers “are our projects consuming value in line with plan, and where is the risk?”</w:t>
      </w:r>
    </w:p>
    <w:p>
      <w:pPr>
        <w:pStyle w:val="Heading2"/>
      </w:pPr>
      <w:r>
        <w:t>8.3 Benefits of the future state</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trPr>
        <w:tc>
          <w:tcPr>
            <w:tcW w:type="dxa" w:w="2154"/>
            <w:shd w:val="clear" w:fill="1F3B57"/>
          </w:tcPr>
          <w:p>
            <w:pPr>
              <w:spacing w:after="20" w:before="20" w:line="240" w:lineRule="auto"/>
            </w:pPr>
            <w:r/>
            <w:r>
              <w:rPr>
                <w:rFonts w:ascii="Calibri" w:hAnsi="Calibri"/>
                <w:b/>
                <w:color w:val="FFFFFF"/>
                <w:sz w:val="17"/>
              </w:rPr>
              <w:t>Benefit</w:t>
            </w:r>
          </w:p>
        </w:tc>
        <w:tc>
          <w:tcPr>
            <w:tcW w:type="dxa" w:w="3402"/>
            <w:shd w:val="clear" w:fill="1F3B57"/>
          </w:tcPr>
          <w:p>
            <w:pPr>
              <w:spacing w:after="20" w:before="20" w:line="240" w:lineRule="auto"/>
            </w:pPr>
            <w:r/>
            <w:r>
              <w:rPr>
                <w:rFonts w:ascii="Calibri" w:hAnsi="Calibri"/>
                <w:b/>
                <w:color w:val="FFFFFF"/>
                <w:sz w:val="17"/>
              </w:rPr>
              <w:t>Mechanism</w:t>
            </w:r>
          </w:p>
        </w:tc>
        <w:tc>
          <w:tcPr>
            <w:tcW w:type="dxa" w:w="4195"/>
            <w:shd w:val="clear" w:fill="1F3B57"/>
          </w:tcPr>
          <w:p>
            <w:pPr>
              <w:spacing w:after="20" w:before="20" w:line="240" w:lineRule="auto"/>
            </w:pPr>
            <w:r/>
            <w:r>
              <w:rPr>
                <w:rFonts w:ascii="Calibri" w:hAnsi="Calibri"/>
                <w:b/>
                <w:color w:val="FFFFFF"/>
                <w:sz w:val="17"/>
              </w:rPr>
              <w:t>Indicative value</w:t>
            </w:r>
          </w:p>
        </w:tc>
      </w:tr>
      <w:tr>
        <w:tc>
          <w:tcPr>
            <w:tcW w:type="dxa" w:w="2154"/>
          </w:tcPr>
          <w:p>
            <w:pPr>
              <w:spacing w:after="20" w:before="20" w:line="240" w:lineRule="auto"/>
            </w:pPr>
            <w:r/>
            <w:r>
              <w:rPr>
                <w:rFonts w:ascii="Calibri" w:hAnsi="Calibri"/>
                <w:b w:val="0"/>
                <w:sz w:val="17"/>
              </w:rPr>
              <w:t>Faster reporting</w:t>
            </w:r>
          </w:p>
        </w:tc>
        <w:tc>
          <w:tcPr>
            <w:tcW w:type="dxa" w:w="3402"/>
          </w:tcPr>
          <w:p>
            <w:pPr>
              <w:spacing w:after="20" w:before="20" w:line="240" w:lineRule="auto"/>
            </w:pPr>
            <w:r/>
            <w:r>
              <w:rPr>
                <w:rFonts w:ascii="Calibri" w:hAnsi="Calibri"/>
                <w:b w:val="0"/>
                <w:sz w:val="17"/>
              </w:rPr>
              <w:t>Automated refresh and pre-built views</w:t>
            </w:r>
          </w:p>
        </w:tc>
        <w:tc>
          <w:tcPr>
            <w:tcW w:type="dxa" w:w="4195"/>
          </w:tcPr>
          <w:p>
            <w:pPr>
              <w:spacing w:after="20" w:before="20" w:line="240" w:lineRule="auto"/>
            </w:pPr>
            <w:r/>
            <w:r>
              <w:rPr>
                <w:rFonts w:ascii="Calibri" w:hAnsi="Calibri"/>
                <w:b w:val="0"/>
                <w:sz w:val="17"/>
              </w:rPr>
              <w:t>From 10–15 days to same-day access after close</w:t>
            </w:r>
          </w:p>
        </w:tc>
      </w:tr>
      <w:tr>
        <w:tc>
          <w:tcPr>
            <w:tcW w:type="dxa" w:w="2154"/>
            <w:shd w:val="clear" w:fill="F7F9FB"/>
          </w:tcPr>
          <w:p>
            <w:pPr>
              <w:spacing w:after="20" w:before="20" w:line="240" w:lineRule="auto"/>
            </w:pPr>
            <w:r/>
            <w:r>
              <w:rPr>
                <w:rFonts w:ascii="Calibri" w:hAnsi="Calibri"/>
                <w:b w:val="0"/>
                <w:sz w:val="17"/>
              </w:rPr>
              <w:t>Reduced manual effort</w:t>
            </w:r>
          </w:p>
        </w:tc>
        <w:tc>
          <w:tcPr>
            <w:tcW w:type="dxa" w:w="3402"/>
            <w:shd w:val="clear" w:fill="F7F9FB"/>
          </w:tcPr>
          <w:p>
            <w:pPr>
              <w:spacing w:after="20" w:before="20" w:line="240" w:lineRule="auto"/>
            </w:pPr>
            <w:r/>
            <w:r>
              <w:rPr>
                <w:rFonts w:ascii="Calibri" w:hAnsi="Calibri"/>
                <w:b w:val="0"/>
                <w:sz w:val="17"/>
              </w:rPr>
              <w:t>No spreadsheet compilation</w:t>
            </w:r>
          </w:p>
        </w:tc>
        <w:tc>
          <w:tcPr>
            <w:tcW w:type="dxa" w:w="4195"/>
            <w:shd w:val="clear" w:fill="F7F9FB"/>
          </w:tcPr>
          <w:p>
            <w:pPr>
              <w:spacing w:after="20" w:before="20" w:line="240" w:lineRule="auto"/>
            </w:pPr>
            <w:r/>
            <w:r>
              <w:rPr>
                <w:rFonts w:ascii="Calibri" w:hAnsi="Calibri"/>
                <w:b w:val="0"/>
                <w:sz w:val="17"/>
              </w:rPr>
              <w:t>70%+ reduction in analyst hours</w:t>
            </w:r>
          </w:p>
        </w:tc>
      </w:tr>
      <w:tr>
        <w:tc>
          <w:tcPr>
            <w:tcW w:type="dxa" w:w="2154"/>
          </w:tcPr>
          <w:p>
            <w:pPr>
              <w:spacing w:after="20" w:before="20" w:line="240" w:lineRule="auto"/>
            </w:pPr>
            <w:r/>
            <w:r>
              <w:rPr>
                <w:rFonts w:ascii="Calibri" w:hAnsi="Calibri"/>
                <w:b w:val="0"/>
                <w:sz w:val="17"/>
              </w:rPr>
              <w:t>Better purchasing</w:t>
            </w:r>
          </w:p>
        </w:tc>
        <w:tc>
          <w:tcPr>
            <w:tcW w:type="dxa" w:w="3402"/>
          </w:tcPr>
          <w:p>
            <w:pPr>
              <w:spacing w:after="20" w:before="20" w:line="240" w:lineRule="auto"/>
            </w:pPr>
            <w:r/>
            <w:r>
              <w:rPr>
                <w:rFonts w:ascii="Calibri" w:hAnsi="Calibri"/>
                <w:b w:val="0"/>
                <w:sz w:val="17"/>
              </w:rPr>
              <w:t>Consumption trend and days of cover drive requisitions</w:t>
            </w:r>
          </w:p>
        </w:tc>
        <w:tc>
          <w:tcPr>
            <w:tcW w:type="dxa" w:w="4195"/>
          </w:tcPr>
          <w:p>
            <w:pPr>
              <w:spacing w:after="20" w:before="20" w:line="240" w:lineRule="auto"/>
            </w:pPr>
            <w:r/>
            <w:r>
              <w:rPr>
                <w:rFonts w:ascii="Calibri" w:hAnsi="Calibri"/>
                <w:b w:val="0"/>
                <w:sz w:val="17"/>
              </w:rPr>
              <w:t>Lower expiry write-off and emergency purchases</w:t>
            </w:r>
          </w:p>
        </w:tc>
      </w:tr>
      <w:tr>
        <w:tc>
          <w:tcPr>
            <w:tcW w:type="dxa" w:w="2154"/>
            <w:shd w:val="clear" w:fill="F7F9FB"/>
          </w:tcPr>
          <w:p>
            <w:pPr>
              <w:spacing w:after="20" w:before="20" w:line="240" w:lineRule="auto"/>
            </w:pPr>
            <w:r/>
            <w:r>
              <w:rPr>
                <w:rFonts w:ascii="Calibri" w:hAnsi="Calibri"/>
                <w:b w:val="0"/>
                <w:sz w:val="17"/>
              </w:rPr>
              <w:t>Improved value for money</w:t>
            </w:r>
          </w:p>
        </w:tc>
        <w:tc>
          <w:tcPr>
            <w:tcW w:type="dxa" w:w="3402"/>
            <w:shd w:val="clear" w:fill="F7F9FB"/>
          </w:tcPr>
          <w:p>
            <w:pPr>
              <w:spacing w:after="20" w:before="20" w:line="240" w:lineRule="auto"/>
            </w:pPr>
            <w:r/>
            <w:r>
              <w:rPr>
                <w:rFonts w:ascii="Calibri" w:hAnsi="Calibri"/>
                <w:b w:val="0"/>
                <w:sz w:val="17"/>
              </w:rPr>
              <w:t>Cost per beneficiary visible</w:t>
            </w:r>
          </w:p>
        </w:tc>
        <w:tc>
          <w:tcPr>
            <w:tcW w:type="dxa" w:w="4195"/>
            <w:shd w:val="clear" w:fill="F7F9FB"/>
          </w:tcPr>
          <w:p>
            <w:pPr>
              <w:spacing w:after="20" w:before="20" w:line="240" w:lineRule="auto"/>
            </w:pPr>
            <w:r/>
            <w:r>
              <w:rPr>
                <w:rFonts w:ascii="Calibri" w:hAnsi="Calibri"/>
                <w:b w:val="0"/>
                <w:sz w:val="17"/>
              </w:rPr>
              <w:t>Evidence for donor negotiation and programme design</w:t>
            </w:r>
          </w:p>
        </w:tc>
      </w:tr>
      <w:tr>
        <w:tc>
          <w:tcPr>
            <w:tcW w:type="dxa" w:w="2154"/>
          </w:tcPr>
          <w:p>
            <w:pPr>
              <w:spacing w:after="20" w:before="20" w:line="240" w:lineRule="auto"/>
            </w:pPr>
            <w:r/>
            <w:r>
              <w:rPr>
                <w:rFonts w:ascii="Calibri" w:hAnsi="Calibri"/>
                <w:b w:val="0"/>
                <w:sz w:val="17"/>
              </w:rPr>
              <w:t>Stronger control</w:t>
            </w:r>
          </w:p>
        </w:tc>
        <w:tc>
          <w:tcPr>
            <w:tcW w:type="dxa" w:w="3402"/>
          </w:tcPr>
          <w:p>
            <w:pPr>
              <w:spacing w:after="20" w:before="20" w:line="240" w:lineRule="auto"/>
            </w:pPr>
            <w:r/>
            <w:r>
              <w:rPr>
                <w:rFonts w:ascii="Calibri" w:hAnsi="Calibri"/>
                <w:b w:val="0"/>
                <w:sz w:val="17"/>
              </w:rPr>
              <w:t>Exception panel and traceability</w:t>
            </w:r>
          </w:p>
        </w:tc>
        <w:tc>
          <w:tcPr>
            <w:tcW w:type="dxa" w:w="4195"/>
          </w:tcPr>
          <w:p>
            <w:pPr>
              <w:spacing w:after="20" w:before="20" w:line="240" w:lineRule="auto"/>
            </w:pPr>
            <w:r/>
            <w:r>
              <w:rPr>
                <w:rFonts w:ascii="Calibri" w:hAnsi="Calibri"/>
                <w:b w:val="0"/>
                <w:sz w:val="17"/>
              </w:rPr>
              <w:t>Audit queries answered in minutes</w:t>
            </w:r>
          </w:p>
        </w:tc>
      </w:tr>
      <w:tr>
        <w:tc>
          <w:tcPr>
            <w:tcW w:type="dxa" w:w="2154"/>
            <w:shd w:val="clear" w:fill="F7F9FB"/>
          </w:tcPr>
          <w:p>
            <w:pPr>
              <w:spacing w:after="20" w:before="20" w:line="240" w:lineRule="auto"/>
            </w:pPr>
            <w:r/>
            <w:r>
              <w:rPr>
                <w:rFonts w:ascii="Calibri" w:hAnsi="Calibri"/>
                <w:b w:val="0"/>
                <w:sz w:val="17"/>
              </w:rPr>
              <w:t>Single version of truth</w:t>
            </w:r>
          </w:p>
        </w:tc>
        <w:tc>
          <w:tcPr>
            <w:tcW w:type="dxa" w:w="3402"/>
            <w:shd w:val="clear" w:fill="F7F9FB"/>
          </w:tcPr>
          <w:p>
            <w:pPr>
              <w:spacing w:after="20" w:before="20" w:line="240" w:lineRule="auto"/>
            </w:pPr>
            <w:r/>
            <w:r>
              <w:rPr>
                <w:rFonts w:ascii="Calibri" w:hAnsi="Calibri"/>
                <w:b w:val="0"/>
                <w:sz w:val="17"/>
              </w:rPr>
              <w:t>One KPI dictionary and one model</w:t>
            </w:r>
          </w:p>
        </w:tc>
        <w:tc>
          <w:tcPr>
            <w:tcW w:type="dxa" w:w="4195"/>
            <w:shd w:val="clear" w:fill="F7F9FB"/>
          </w:tcPr>
          <w:p>
            <w:pPr>
              <w:spacing w:after="20" w:before="20" w:line="240" w:lineRule="auto"/>
            </w:pPr>
            <w:r/>
            <w:r>
              <w:rPr>
                <w:rFonts w:ascii="Calibri" w:hAnsi="Calibri"/>
                <w:b w:val="0"/>
                <w:sz w:val="17"/>
              </w:rPr>
              <w:t>Ends reconciliation disputes</w:t>
            </w:r>
          </w:p>
        </w:tc>
      </w:tr>
    </w:tbl>
    <w:p>
      <w:pPr>
        <w:spacing w:after="20"/>
      </w:pPr>
    </w:p>
    <w:p>
      <w:r>
        <w:br w:type="page"/>
      </w:r>
    </w:p>
    <w:p>
      <w:pPr>
        <w:pStyle w:val="Heading1"/>
      </w:pPr>
      <w:r>
        <w:t>9. Business Requirements</w:t>
      </w:r>
    </w:p>
    <w:p>
      <w:pPr>
        <w:spacing w:after="100"/>
      </w:pPr>
      <w:r>
        <w:rPr>
          <w:b w:val="0"/>
          <w:i w:val="0"/>
        </w:rPr>
        <w:t>Business requirements express what the organisation needs to be able to do. They are numbered for traceability; functional requirements in Section 10 deliver them.</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trPr>
        <w:tc>
          <w:tcPr>
            <w:tcW w:type="dxa" w:w="850"/>
            <w:shd w:val="clear" w:fill="1F3B57"/>
          </w:tcPr>
          <w:p>
            <w:pPr>
              <w:spacing w:after="20" w:before="20" w:line="240" w:lineRule="auto"/>
            </w:pPr>
            <w:r/>
            <w:r>
              <w:rPr>
                <w:rFonts w:ascii="Calibri" w:hAnsi="Calibri"/>
                <w:b/>
                <w:color w:val="FFFFFF"/>
                <w:sz w:val="17"/>
              </w:rPr>
              <w:t>Ref</w:t>
            </w:r>
          </w:p>
        </w:tc>
        <w:tc>
          <w:tcPr>
            <w:tcW w:type="dxa" w:w="2835"/>
            <w:shd w:val="clear" w:fill="1F3B57"/>
          </w:tcPr>
          <w:p>
            <w:pPr>
              <w:spacing w:after="20" w:before="20" w:line="240" w:lineRule="auto"/>
            </w:pPr>
            <w:r/>
            <w:r>
              <w:rPr>
                <w:rFonts w:ascii="Calibri" w:hAnsi="Calibri"/>
                <w:b/>
                <w:color w:val="FFFFFF"/>
                <w:sz w:val="17"/>
              </w:rPr>
              <w:t>Business requirement</w:t>
            </w:r>
          </w:p>
        </w:tc>
        <w:tc>
          <w:tcPr>
            <w:tcW w:type="dxa" w:w="6066"/>
            <w:shd w:val="clear" w:fill="1F3B57"/>
          </w:tcPr>
          <w:p>
            <w:pPr>
              <w:spacing w:after="20" w:before="20" w:line="240" w:lineRule="auto"/>
            </w:pPr>
            <w:r/>
            <w:r>
              <w:rPr>
                <w:rFonts w:ascii="Calibri" w:hAnsi="Calibri"/>
                <w:b/>
                <w:color w:val="FFFFFF"/>
                <w:sz w:val="17"/>
              </w:rPr>
              <w:t>Description</w:t>
            </w:r>
          </w:p>
        </w:tc>
      </w:tr>
      <w:tr>
        <w:tc>
          <w:tcPr>
            <w:tcW w:type="dxa" w:w="850"/>
          </w:tcPr>
          <w:p>
            <w:pPr>
              <w:spacing w:after="20" w:before="20" w:line="240" w:lineRule="auto"/>
              <w:jc w:val="center"/>
            </w:pPr>
            <w:r/>
            <w:r>
              <w:rPr>
                <w:rFonts w:ascii="Calibri" w:hAnsi="Calibri"/>
                <w:b w:val="0"/>
                <w:sz w:val="17"/>
              </w:rPr>
              <w:t>BR-01</w:t>
            </w:r>
          </w:p>
        </w:tc>
        <w:tc>
          <w:tcPr>
            <w:tcW w:type="dxa" w:w="2835"/>
          </w:tcPr>
          <w:p>
            <w:pPr>
              <w:spacing w:after="20" w:before="20" w:line="240" w:lineRule="auto"/>
            </w:pPr>
            <w:r/>
            <w:r>
              <w:rPr>
                <w:rFonts w:ascii="Calibri" w:hAnsi="Calibri"/>
                <w:b w:val="0"/>
                <w:sz w:val="17"/>
              </w:rPr>
              <w:t>Consolidated consumption visibility</w:t>
            </w:r>
          </w:p>
        </w:tc>
        <w:tc>
          <w:tcPr>
            <w:tcW w:type="dxa" w:w="6066"/>
          </w:tcPr>
          <w:p>
            <w:pPr>
              <w:spacing w:after="20" w:before="20" w:line="240" w:lineRule="auto"/>
            </w:pPr>
            <w:r/>
            <w:r>
              <w:rPr>
                <w:rFonts w:ascii="Calibri" w:hAnsi="Calibri"/>
                <w:b w:val="0"/>
                <w:sz w:val="17"/>
              </w:rPr>
              <w:t>Provide one view of consumption quantity and value by project, product, category, warehouse and period, without manual compilation.</w:t>
            </w:r>
          </w:p>
        </w:tc>
      </w:tr>
      <w:tr>
        <w:tc>
          <w:tcPr>
            <w:tcW w:type="dxa" w:w="850"/>
            <w:shd w:val="clear" w:fill="F7F9FB"/>
          </w:tcPr>
          <w:p>
            <w:pPr>
              <w:spacing w:after="20" w:before="20" w:line="240" w:lineRule="auto"/>
              <w:jc w:val="center"/>
            </w:pPr>
            <w:r/>
            <w:r>
              <w:rPr>
                <w:rFonts w:ascii="Calibri" w:hAnsi="Calibri"/>
                <w:b w:val="0"/>
                <w:sz w:val="17"/>
              </w:rPr>
              <w:t>BR-02</w:t>
            </w:r>
          </w:p>
        </w:tc>
        <w:tc>
          <w:tcPr>
            <w:tcW w:type="dxa" w:w="2835"/>
            <w:shd w:val="clear" w:fill="F7F9FB"/>
          </w:tcPr>
          <w:p>
            <w:pPr>
              <w:spacing w:after="20" w:before="20" w:line="240" w:lineRule="auto"/>
            </w:pPr>
            <w:r/>
            <w:r>
              <w:rPr>
                <w:rFonts w:ascii="Calibri" w:hAnsi="Calibri"/>
                <w:b w:val="0"/>
                <w:sz w:val="17"/>
              </w:rPr>
              <w:t>Consumption versus investment</w:t>
            </w:r>
          </w:p>
        </w:tc>
        <w:tc>
          <w:tcPr>
            <w:tcW w:type="dxa" w:w="6066"/>
            <w:shd w:val="clear" w:fill="F7F9FB"/>
          </w:tcPr>
          <w:p>
            <w:pPr>
              <w:spacing w:after="20" w:before="20" w:line="240" w:lineRule="auto"/>
            </w:pPr>
            <w:r/>
            <w:r>
              <w:rPr>
                <w:rFonts w:ascii="Calibri" w:hAnsi="Calibri"/>
                <w:b w:val="0"/>
                <w:sz w:val="17"/>
              </w:rPr>
              <w:t>Show procurement investment alongside consumption so that the relationship between what is bought and what is used is explicit at project and product level.</w:t>
            </w:r>
          </w:p>
        </w:tc>
      </w:tr>
      <w:tr>
        <w:tc>
          <w:tcPr>
            <w:tcW w:type="dxa" w:w="850"/>
          </w:tcPr>
          <w:p>
            <w:pPr>
              <w:spacing w:after="20" w:before="20" w:line="240" w:lineRule="auto"/>
              <w:jc w:val="center"/>
            </w:pPr>
            <w:r/>
            <w:r>
              <w:rPr>
                <w:rFonts w:ascii="Calibri" w:hAnsi="Calibri"/>
                <w:b w:val="0"/>
                <w:sz w:val="17"/>
              </w:rPr>
              <w:t>BR-03</w:t>
            </w:r>
          </w:p>
        </w:tc>
        <w:tc>
          <w:tcPr>
            <w:tcW w:type="dxa" w:w="2835"/>
          </w:tcPr>
          <w:p>
            <w:pPr>
              <w:spacing w:after="20" w:before="20" w:line="240" w:lineRule="auto"/>
            </w:pPr>
            <w:r/>
            <w:r>
              <w:rPr>
                <w:rFonts w:ascii="Calibri" w:hAnsi="Calibri"/>
                <w:b w:val="0"/>
                <w:sz w:val="17"/>
              </w:rPr>
              <w:t>Trend and pattern analysis</w:t>
            </w:r>
          </w:p>
        </w:tc>
        <w:tc>
          <w:tcPr>
            <w:tcW w:type="dxa" w:w="6066"/>
          </w:tcPr>
          <w:p>
            <w:pPr>
              <w:spacing w:after="20" w:before="20" w:line="240" w:lineRule="auto"/>
            </w:pPr>
            <w:r/>
            <w:r>
              <w:rPr>
                <w:rFonts w:ascii="Calibri" w:hAnsi="Calibri"/>
                <w:b w:val="0"/>
                <w:sz w:val="17"/>
              </w:rPr>
              <w:t>Reveal movement over time — growth, seasonality, abnormal fluctuation — at total, project, category and product level.</w:t>
            </w:r>
          </w:p>
        </w:tc>
      </w:tr>
      <w:tr>
        <w:tc>
          <w:tcPr>
            <w:tcW w:type="dxa" w:w="850"/>
            <w:shd w:val="clear" w:fill="F7F9FB"/>
          </w:tcPr>
          <w:p>
            <w:pPr>
              <w:spacing w:after="20" w:before="20" w:line="240" w:lineRule="auto"/>
              <w:jc w:val="center"/>
            </w:pPr>
            <w:r/>
            <w:r>
              <w:rPr>
                <w:rFonts w:ascii="Calibri" w:hAnsi="Calibri"/>
                <w:b w:val="0"/>
                <w:sz w:val="17"/>
              </w:rPr>
              <w:t>BR-04</w:t>
            </w:r>
          </w:p>
        </w:tc>
        <w:tc>
          <w:tcPr>
            <w:tcW w:type="dxa" w:w="2835"/>
            <w:shd w:val="clear" w:fill="F7F9FB"/>
          </w:tcPr>
          <w:p>
            <w:pPr>
              <w:spacing w:after="20" w:before="20" w:line="240" w:lineRule="auto"/>
            </w:pPr>
            <w:r/>
            <w:r>
              <w:rPr>
                <w:rFonts w:ascii="Calibri" w:hAnsi="Calibri"/>
                <w:b w:val="0"/>
                <w:sz w:val="17"/>
              </w:rPr>
              <w:t>Evidence-based procurement planning</w:t>
            </w:r>
          </w:p>
        </w:tc>
        <w:tc>
          <w:tcPr>
            <w:tcW w:type="dxa" w:w="6066"/>
            <w:shd w:val="clear" w:fill="F7F9FB"/>
          </w:tcPr>
          <w:p>
            <w:pPr>
              <w:spacing w:after="20" w:before="20" w:line="240" w:lineRule="auto"/>
            </w:pPr>
            <w:r/>
            <w:r>
              <w:rPr>
                <w:rFonts w:ascii="Calibri" w:hAnsi="Calibri"/>
                <w:b w:val="0"/>
                <w:sz w:val="17"/>
              </w:rPr>
              <w:t>Enable requirement quantities to be derived from consumption, stock cover and lead time rather than judgement.</w:t>
            </w:r>
          </w:p>
        </w:tc>
      </w:tr>
      <w:tr>
        <w:tc>
          <w:tcPr>
            <w:tcW w:type="dxa" w:w="850"/>
          </w:tcPr>
          <w:p>
            <w:pPr>
              <w:spacing w:after="20" w:before="20" w:line="240" w:lineRule="auto"/>
              <w:jc w:val="center"/>
            </w:pPr>
            <w:r/>
            <w:r>
              <w:rPr>
                <w:rFonts w:ascii="Calibri" w:hAnsi="Calibri"/>
                <w:b w:val="0"/>
                <w:sz w:val="17"/>
              </w:rPr>
              <w:t>BR-05</w:t>
            </w:r>
          </w:p>
        </w:tc>
        <w:tc>
          <w:tcPr>
            <w:tcW w:type="dxa" w:w="2835"/>
          </w:tcPr>
          <w:p>
            <w:pPr>
              <w:spacing w:after="20" w:before="20" w:line="240" w:lineRule="auto"/>
            </w:pPr>
            <w:r/>
            <w:r>
              <w:rPr>
                <w:rFonts w:ascii="Calibri" w:hAnsi="Calibri"/>
                <w:b w:val="0"/>
                <w:sz w:val="17"/>
              </w:rPr>
              <w:t>Value-for-money demonstration</w:t>
            </w:r>
          </w:p>
        </w:tc>
        <w:tc>
          <w:tcPr>
            <w:tcW w:type="dxa" w:w="6066"/>
          </w:tcPr>
          <w:p>
            <w:pPr>
              <w:spacing w:after="20" w:before="20" w:line="240" w:lineRule="auto"/>
            </w:pPr>
            <w:r/>
            <w:r>
              <w:rPr>
                <w:rFonts w:ascii="Calibri" w:hAnsi="Calibri"/>
                <w:b w:val="0"/>
                <w:sz w:val="17"/>
              </w:rPr>
              <w:t>Express consumption against service output (beneficiaries, visits) and against budget, to evidence efficiency.</w:t>
            </w:r>
          </w:p>
        </w:tc>
      </w:tr>
      <w:tr>
        <w:tc>
          <w:tcPr>
            <w:tcW w:type="dxa" w:w="850"/>
            <w:shd w:val="clear" w:fill="F7F9FB"/>
          </w:tcPr>
          <w:p>
            <w:pPr>
              <w:spacing w:after="20" w:before="20" w:line="240" w:lineRule="auto"/>
              <w:jc w:val="center"/>
            </w:pPr>
            <w:r/>
            <w:r>
              <w:rPr>
                <w:rFonts w:ascii="Calibri" w:hAnsi="Calibri"/>
                <w:b w:val="0"/>
                <w:sz w:val="17"/>
              </w:rPr>
              <w:t>BR-06</w:t>
            </w:r>
          </w:p>
        </w:tc>
        <w:tc>
          <w:tcPr>
            <w:tcW w:type="dxa" w:w="2835"/>
            <w:shd w:val="clear" w:fill="F7F9FB"/>
          </w:tcPr>
          <w:p>
            <w:pPr>
              <w:spacing w:after="20" w:before="20" w:line="240" w:lineRule="auto"/>
            </w:pPr>
            <w:r/>
            <w:r>
              <w:rPr>
                <w:rFonts w:ascii="Calibri" w:hAnsi="Calibri"/>
                <w:b w:val="0"/>
                <w:sz w:val="17"/>
              </w:rPr>
              <w:t>Stock health and expiry control</w:t>
            </w:r>
          </w:p>
        </w:tc>
        <w:tc>
          <w:tcPr>
            <w:tcW w:type="dxa" w:w="6066"/>
            <w:shd w:val="clear" w:fill="F7F9FB"/>
          </w:tcPr>
          <w:p>
            <w:pPr>
              <w:spacing w:after="20" w:before="20" w:line="240" w:lineRule="auto"/>
            </w:pPr>
            <w:r/>
            <w:r>
              <w:rPr>
                <w:rFonts w:ascii="Calibri" w:hAnsi="Calibri"/>
                <w:b w:val="0"/>
                <w:sz w:val="17"/>
              </w:rPr>
              <w:t>Identify slow-moving, overstocked, near-expiry and expired stock, and stock-out risk, while action is still possible.</w:t>
            </w:r>
          </w:p>
        </w:tc>
      </w:tr>
      <w:tr>
        <w:tc>
          <w:tcPr>
            <w:tcW w:type="dxa" w:w="850"/>
          </w:tcPr>
          <w:p>
            <w:pPr>
              <w:spacing w:after="20" w:before="20" w:line="240" w:lineRule="auto"/>
              <w:jc w:val="center"/>
            </w:pPr>
            <w:r/>
            <w:r>
              <w:rPr>
                <w:rFonts w:ascii="Calibri" w:hAnsi="Calibri"/>
                <w:b w:val="0"/>
                <w:sz w:val="17"/>
              </w:rPr>
              <w:t>BR-07</w:t>
            </w:r>
          </w:p>
        </w:tc>
        <w:tc>
          <w:tcPr>
            <w:tcW w:type="dxa" w:w="2835"/>
          </w:tcPr>
          <w:p>
            <w:pPr>
              <w:spacing w:after="20" w:before="20" w:line="240" w:lineRule="auto"/>
            </w:pPr>
            <w:r/>
            <w:r>
              <w:rPr>
                <w:rFonts w:ascii="Calibri" w:hAnsi="Calibri"/>
                <w:b w:val="0"/>
                <w:sz w:val="17"/>
              </w:rPr>
              <w:t>Price and supplier performance</w:t>
            </w:r>
          </w:p>
        </w:tc>
        <w:tc>
          <w:tcPr>
            <w:tcW w:type="dxa" w:w="6066"/>
          </w:tcPr>
          <w:p>
            <w:pPr>
              <w:spacing w:after="20" w:before="20" w:line="240" w:lineRule="auto"/>
            </w:pPr>
            <w:r/>
            <w:r>
              <w:rPr>
                <w:rFonts w:ascii="Calibri" w:hAnsi="Calibri"/>
                <w:b w:val="0"/>
                <w:sz w:val="17"/>
              </w:rPr>
              <w:t>Track unit-price movement between purchases and compare suppliers on price, lead time and reliability.</w:t>
            </w:r>
          </w:p>
        </w:tc>
      </w:tr>
      <w:tr>
        <w:tc>
          <w:tcPr>
            <w:tcW w:type="dxa" w:w="850"/>
            <w:shd w:val="clear" w:fill="F7F9FB"/>
          </w:tcPr>
          <w:p>
            <w:pPr>
              <w:spacing w:after="20" w:before="20" w:line="240" w:lineRule="auto"/>
              <w:jc w:val="center"/>
            </w:pPr>
            <w:r/>
            <w:r>
              <w:rPr>
                <w:rFonts w:ascii="Calibri" w:hAnsi="Calibri"/>
                <w:b w:val="0"/>
                <w:sz w:val="17"/>
              </w:rPr>
              <w:t>BR-08</w:t>
            </w:r>
          </w:p>
        </w:tc>
        <w:tc>
          <w:tcPr>
            <w:tcW w:type="dxa" w:w="2835"/>
            <w:shd w:val="clear" w:fill="F7F9FB"/>
          </w:tcPr>
          <w:p>
            <w:pPr>
              <w:spacing w:after="20" w:before="20" w:line="240" w:lineRule="auto"/>
            </w:pPr>
            <w:r/>
            <w:r>
              <w:rPr>
                <w:rFonts w:ascii="Calibri" w:hAnsi="Calibri"/>
                <w:b w:val="0"/>
                <w:sz w:val="17"/>
              </w:rPr>
              <w:t>Control and auditability</w:t>
            </w:r>
          </w:p>
        </w:tc>
        <w:tc>
          <w:tcPr>
            <w:tcW w:type="dxa" w:w="6066"/>
            <w:shd w:val="clear" w:fill="F7F9FB"/>
          </w:tcPr>
          <w:p>
            <w:pPr>
              <w:spacing w:after="20" w:before="20" w:line="240" w:lineRule="auto"/>
            </w:pPr>
            <w:r/>
            <w:r>
              <w:rPr>
                <w:rFonts w:ascii="Calibri" w:hAnsi="Calibri"/>
                <w:b w:val="0"/>
                <w:sz w:val="17"/>
              </w:rPr>
              <w:t>Ensure every reported value can be traced through purchase, receipt, batch and issue, and that exceptions are surfaced and owned.</w:t>
            </w:r>
          </w:p>
        </w:tc>
      </w:tr>
      <w:tr>
        <w:tc>
          <w:tcPr>
            <w:tcW w:type="dxa" w:w="850"/>
          </w:tcPr>
          <w:p>
            <w:pPr>
              <w:spacing w:after="20" w:before="20" w:line="240" w:lineRule="auto"/>
              <w:jc w:val="center"/>
            </w:pPr>
            <w:r/>
            <w:r>
              <w:rPr>
                <w:rFonts w:ascii="Calibri" w:hAnsi="Calibri"/>
                <w:b w:val="0"/>
                <w:sz w:val="17"/>
              </w:rPr>
              <w:t>BR-09</w:t>
            </w:r>
          </w:p>
        </w:tc>
        <w:tc>
          <w:tcPr>
            <w:tcW w:type="dxa" w:w="2835"/>
          </w:tcPr>
          <w:p>
            <w:pPr>
              <w:spacing w:after="20" w:before="20" w:line="240" w:lineRule="auto"/>
            </w:pPr>
            <w:r/>
            <w:r>
              <w:rPr>
                <w:rFonts w:ascii="Calibri" w:hAnsi="Calibri"/>
                <w:b w:val="0"/>
                <w:sz w:val="17"/>
              </w:rPr>
              <w:t>Budget control</w:t>
            </w:r>
          </w:p>
        </w:tc>
        <w:tc>
          <w:tcPr>
            <w:tcW w:type="dxa" w:w="6066"/>
          </w:tcPr>
          <w:p>
            <w:pPr>
              <w:spacing w:after="20" w:before="20" w:line="240" w:lineRule="auto"/>
            </w:pPr>
            <w:r/>
            <w:r>
              <w:rPr>
                <w:rFonts w:ascii="Calibri" w:hAnsi="Calibri"/>
                <w:b w:val="0"/>
                <w:sz w:val="17"/>
              </w:rPr>
              <w:t>Compare consumption with budget by project and category, and project the year-end position.</w:t>
            </w:r>
          </w:p>
        </w:tc>
      </w:tr>
      <w:tr>
        <w:tc>
          <w:tcPr>
            <w:tcW w:type="dxa" w:w="850"/>
            <w:shd w:val="clear" w:fill="F7F9FB"/>
          </w:tcPr>
          <w:p>
            <w:pPr>
              <w:spacing w:after="20" w:before="20" w:line="240" w:lineRule="auto"/>
              <w:jc w:val="center"/>
            </w:pPr>
            <w:r/>
            <w:r>
              <w:rPr>
                <w:rFonts w:ascii="Calibri" w:hAnsi="Calibri"/>
                <w:b w:val="0"/>
                <w:sz w:val="17"/>
              </w:rPr>
              <w:t>BR-10</w:t>
            </w:r>
          </w:p>
        </w:tc>
        <w:tc>
          <w:tcPr>
            <w:tcW w:type="dxa" w:w="2835"/>
            <w:shd w:val="clear" w:fill="F7F9FB"/>
          </w:tcPr>
          <w:p>
            <w:pPr>
              <w:spacing w:after="20" w:before="20" w:line="240" w:lineRule="auto"/>
            </w:pPr>
            <w:r/>
            <w:r>
              <w:rPr>
                <w:rFonts w:ascii="Calibri" w:hAnsi="Calibri"/>
                <w:b w:val="0"/>
                <w:sz w:val="17"/>
              </w:rPr>
              <w:t>Appropriate access and confidentiality</w:t>
            </w:r>
          </w:p>
        </w:tc>
        <w:tc>
          <w:tcPr>
            <w:tcW w:type="dxa" w:w="6066"/>
            <w:shd w:val="clear" w:fill="F7F9FB"/>
          </w:tcPr>
          <w:p>
            <w:pPr>
              <w:spacing w:after="20" w:before="20" w:line="240" w:lineRule="auto"/>
            </w:pPr>
            <w:r/>
            <w:r>
              <w:rPr>
                <w:rFonts w:ascii="Calibri" w:hAnsi="Calibri"/>
                <w:b w:val="0"/>
                <w:sz w:val="17"/>
              </w:rPr>
              <w:t>Restrict data by role, project and donor, in line with VPT information-security policy.</w:t>
            </w:r>
          </w:p>
        </w:tc>
      </w:tr>
      <w:tr>
        <w:tc>
          <w:tcPr>
            <w:tcW w:type="dxa" w:w="850"/>
          </w:tcPr>
          <w:p>
            <w:pPr>
              <w:spacing w:after="20" w:before="20" w:line="240" w:lineRule="auto"/>
              <w:jc w:val="center"/>
            </w:pPr>
            <w:r/>
            <w:r>
              <w:rPr>
                <w:rFonts w:ascii="Calibri" w:hAnsi="Calibri"/>
                <w:b w:val="0"/>
                <w:sz w:val="17"/>
              </w:rPr>
              <w:t>BR-11</w:t>
            </w:r>
          </w:p>
        </w:tc>
        <w:tc>
          <w:tcPr>
            <w:tcW w:type="dxa" w:w="2835"/>
          </w:tcPr>
          <w:p>
            <w:pPr>
              <w:spacing w:after="20" w:before="20" w:line="240" w:lineRule="auto"/>
            </w:pPr>
            <w:r/>
            <w:r>
              <w:rPr>
                <w:rFonts w:ascii="Calibri" w:hAnsi="Calibri"/>
                <w:b w:val="0"/>
                <w:sz w:val="17"/>
              </w:rPr>
              <w:t>Low-effort operation</w:t>
            </w:r>
          </w:p>
        </w:tc>
        <w:tc>
          <w:tcPr>
            <w:tcW w:type="dxa" w:w="6066"/>
          </w:tcPr>
          <w:p>
            <w:pPr>
              <w:spacing w:after="20" w:before="20" w:line="240" w:lineRule="auto"/>
            </w:pPr>
            <w:r/>
            <w:r>
              <w:rPr>
                <w:rFonts w:ascii="Calibri" w:hAnsi="Calibri"/>
                <w:b w:val="0"/>
                <w:sz w:val="17"/>
              </w:rPr>
              <w:t>Refresh automatically, require no manual data handling, and be maintainable by VPT staff after handover.</w:t>
            </w:r>
          </w:p>
        </w:tc>
      </w:tr>
      <w:tr>
        <w:tc>
          <w:tcPr>
            <w:tcW w:type="dxa" w:w="850"/>
            <w:shd w:val="clear" w:fill="F7F9FB"/>
          </w:tcPr>
          <w:p>
            <w:pPr>
              <w:spacing w:after="20" w:before="20" w:line="240" w:lineRule="auto"/>
              <w:jc w:val="center"/>
            </w:pPr>
            <w:r/>
            <w:r>
              <w:rPr>
                <w:rFonts w:ascii="Calibri" w:hAnsi="Calibri"/>
                <w:b w:val="0"/>
                <w:sz w:val="17"/>
              </w:rPr>
              <w:t>BR-12</w:t>
            </w:r>
          </w:p>
        </w:tc>
        <w:tc>
          <w:tcPr>
            <w:tcW w:type="dxa" w:w="2835"/>
            <w:shd w:val="clear" w:fill="F7F9FB"/>
          </w:tcPr>
          <w:p>
            <w:pPr>
              <w:spacing w:after="20" w:before="20" w:line="240" w:lineRule="auto"/>
            </w:pPr>
            <w:r/>
            <w:r>
              <w:rPr>
                <w:rFonts w:ascii="Calibri" w:hAnsi="Calibri"/>
                <w:b w:val="0"/>
                <w:sz w:val="17"/>
              </w:rPr>
              <w:t>Consistent definitions</w:t>
            </w:r>
          </w:p>
        </w:tc>
        <w:tc>
          <w:tcPr>
            <w:tcW w:type="dxa" w:w="6066"/>
            <w:shd w:val="clear" w:fill="F7F9FB"/>
          </w:tcPr>
          <w:p>
            <w:pPr>
              <w:spacing w:after="20" w:before="20" w:line="240" w:lineRule="auto"/>
            </w:pPr>
            <w:r/>
            <w:r>
              <w:rPr>
                <w:rFonts w:ascii="Calibri" w:hAnsi="Calibri"/>
                <w:b w:val="0"/>
                <w:sz w:val="17"/>
              </w:rPr>
              <w:t>Apply one documented definition for every KPI across all views, reports and exports.</w:t>
            </w:r>
          </w:p>
        </w:tc>
      </w:tr>
    </w:tbl>
    <w:p>
      <w:pPr>
        <w:spacing w:after="20"/>
      </w:pPr>
    </w:p>
    <w:p>
      <w:pPr>
        <w:pStyle w:val="Heading1"/>
      </w:pPr>
      <w:r>
        <w:t>10. Functional Requirements</w:t>
      </w:r>
    </w:p>
    <w:p>
      <w:pPr>
        <w:spacing w:after="100"/>
      </w:pPr>
      <w:r>
        <w:rPr>
          <w:b w:val="0"/>
          <w:i w:val="0"/>
        </w:rPr>
        <w:t>Priorities follow MoSCoW. Acceptance criteria are stated as the observable behaviour that will be demonstrated in UAT. “Must” requirements are conditions of acceptance of the release.</w:t>
      </w:r>
    </w:p>
    <w:tbl>
      <w:tblPr>
        <w:tblStyle w:val="TableGrid"/>
        <w:tblW w:type="auto" w:w="0"/>
        <w:jc w:val="center"/>
        <w:tblLayout w:type="fixed"/>
        <w:tblLook w:firstColumn="1" w:firstRow="1" w:lastColumn="0" w:lastRow="0" w:noHBand="0" w:noVBand="1" w:val="04A0"/>
      </w:tblPr>
      <w:tblGrid>
        <w:gridCol w:w="1681"/>
        <w:gridCol w:w="1681"/>
        <w:gridCol w:w="1681"/>
        <w:gridCol w:w="1681"/>
        <w:gridCol w:w="1681"/>
        <w:gridCol w:w="1681"/>
      </w:tblGrid>
      <w:tr>
        <w:trPr>
          <w:tblHeader/>
        </w:trPr>
        <w:tc>
          <w:tcPr>
            <w:tcW w:type="dxa" w:w="680"/>
            <w:shd w:val="clear" w:fill="1F3B57"/>
          </w:tcPr>
          <w:p>
            <w:pPr>
              <w:spacing w:after="20" w:before="20" w:line="240" w:lineRule="auto"/>
            </w:pPr>
            <w:r/>
            <w:r>
              <w:rPr>
                <w:rFonts w:ascii="Calibri" w:hAnsi="Calibri"/>
                <w:b/>
                <w:color w:val="FFFFFF"/>
                <w:sz w:val="15"/>
              </w:rPr>
              <w:t>ID</w:t>
            </w:r>
          </w:p>
        </w:tc>
        <w:tc>
          <w:tcPr>
            <w:tcW w:type="dxa" w:w="1757"/>
            <w:shd w:val="clear" w:fill="1F3B57"/>
          </w:tcPr>
          <w:p>
            <w:pPr>
              <w:spacing w:after="20" w:before="20" w:line="240" w:lineRule="auto"/>
            </w:pPr>
            <w:r/>
            <w:r>
              <w:rPr>
                <w:rFonts w:ascii="Calibri" w:hAnsi="Calibri"/>
                <w:b/>
                <w:color w:val="FFFFFF"/>
                <w:sz w:val="15"/>
              </w:rPr>
              <w:t>Requirement</w:t>
            </w:r>
          </w:p>
        </w:tc>
        <w:tc>
          <w:tcPr>
            <w:tcW w:type="dxa" w:w="2438"/>
            <w:shd w:val="clear" w:fill="1F3B57"/>
          </w:tcPr>
          <w:p>
            <w:pPr>
              <w:spacing w:after="20" w:before="20" w:line="240" w:lineRule="auto"/>
            </w:pPr>
            <w:r/>
            <w:r>
              <w:rPr>
                <w:rFonts w:ascii="Calibri" w:hAnsi="Calibri"/>
                <w:b/>
                <w:color w:val="FFFFFF"/>
                <w:sz w:val="15"/>
              </w:rPr>
              <w:t>Description</w:t>
            </w:r>
          </w:p>
        </w:tc>
        <w:tc>
          <w:tcPr>
            <w:tcW w:type="dxa" w:w="2835"/>
            <w:shd w:val="clear" w:fill="1F3B57"/>
          </w:tcPr>
          <w:p>
            <w:pPr>
              <w:spacing w:after="20" w:before="20" w:line="240" w:lineRule="auto"/>
            </w:pPr>
            <w:r/>
            <w:r>
              <w:rPr>
                <w:rFonts w:ascii="Calibri" w:hAnsi="Calibri"/>
                <w:b/>
                <w:color w:val="FFFFFF"/>
                <w:sz w:val="15"/>
              </w:rPr>
              <w:t>Acceptance criteria</w:t>
            </w:r>
          </w:p>
        </w:tc>
        <w:tc>
          <w:tcPr>
            <w:tcW w:type="dxa" w:w="850"/>
            <w:shd w:val="clear" w:fill="1F3B57"/>
          </w:tcPr>
          <w:p>
            <w:pPr>
              <w:spacing w:after="20" w:before="20" w:line="240" w:lineRule="auto"/>
            </w:pPr>
            <w:r/>
            <w:r>
              <w:rPr>
                <w:rFonts w:ascii="Calibri" w:hAnsi="Calibri"/>
                <w:b/>
                <w:color w:val="FFFFFF"/>
                <w:sz w:val="15"/>
              </w:rPr>
              <w:t>Priority</w:t>
            </w:r>
          </w:p>
        </w:tc>
        <w:tc>
          <w:tcPr>
            <w:tcW w:type="dxa" w:w="737"/>
            <w:shd w:val="clear" w:fill="1F3B57"/>
          </w:tcPr>
          <w:p>
            <w:pPr>
              <w:spacing w:after="20" w:before="20" w:line="240" w:lineRule="auto"/>
            </w:pPr>
            <w:r/>
            <w:r>
              <w:rPr>
                <w:rFonts w:ascii="Calibri" w:hAnsi="Calibri"/>
                <w:b/>
                <w:color w:val="FFFFFF"/>
                <w:sz w:val="15"/>
              </w:rPr>
              <w:t>BR</w:t>
            </w:r>
          </w:p>
        </w:tc>
      </w:tr>
      <w:tr>
        <w:tc>
          <w:tcPr>
            <w:tcW w:type="dxa" w:w="680"/>
          </w:tcPr>
          <w:p>
            <w:pPr>
              <w:spacing w:after="20" w:before="20" w:line="240" w:lineRule="auto"/>
              <w:jc w:val="center"/>
            </w:pPr>
            <w:r/>
            <w:r>
              <w:rPr>
                <w:rFonts w:ascii="Calibri" w:hAnsi="Calibri"/>
                <w:b w:val="0"/>
                <w:sz w:val="15"/>
              </w:rPr>
              <w:t>FR-01</w:t>
            </w:r>
          </w:p>
        </w:tc>
        <w:tc>
          <w:tcPr>
            <w:tcW w:type="dxa" w:w="1757"/>
          </w:tcPr>
          <w:p>
            <w:pPr>
              <w:spacing w:after="20" w:before="20" w:line="240" w:lineRule="auto"/>
            </w:pPr>
            <w:r/>
            <w:r>
              <w:rPr>
                <w:rFonts w:ascii="Calibri" w:hAnsi="Calibri"/>
                <w:b w:val="0"/>
                <w:sz w:val="15"/>
              </w:rPr>
              <w:t>Consumption by project and period</w:t>
            </w:r>
          </w:p>
        </w:tc>
        <w:tc>
          <w:tcPr>
            <w:tcW w:type="dxa" w:w="2438"/>
          </w:tcPr>
          <w:p>
            <w:pPr>
              <w:spacing w:after="20" w:before="20" w:line="240" w:lineRule="auto"/>
            </w:pPr>
            <w:r/>
            <w:r>
              <w:rPr>
                <w:rFonts w:ascii="Calibri" w:hAnsi="Calibri"/>
                <w:b w:val="0"/>
                <w:sz w:val="15"/>
              </w:rPr>
              <w:t>Display consumption quantity and value for the selected period for each project, with subtotals and grand total.</w:t>
            </w:r>
          </w:p>
        </w:tc>
        <w:tc>
          <w:tcPr>
            <w:tcW w:type="dxa" w:w="2835"/>
          </w:tcPr>
          <w:p>
            <w:pPr>
              <w:spacing w:after="20" w:before="20" w:line="240" w:lineRule="auto"/>
            </w:pPr>
            <w:r/>
            <w:r>
              <w:rPr>
                <w:rFonts w:ascii="Calibri" w:hAnsi="Calibri"/>
                <w:b w:val="0"/>
                <w:sz w:val="15"/>
              </w:rPr>
              <w:t>Rows reconcile to the sum of issue lines for the period; totals match the validated control total within PKR 1.</w:t>
            </w:r>
          </w:p>
        </w:tc>
        <w:tc>
          <w:tcPr>
            <w:tcW w:type="dxa" w:w="850"/>
          </w:tcPr>
          <w:p>
            <w:pPr>
              <w:spacing w:after="20" w:before="20" w:line="240" w:lineRule="auto"/>
              <w:jc w:val="center"/>
            </w:pPr>
            <w:r/>
            <w:r>
              <w:rPr>
                <w:rFonts w:ascii="Calibri" w:hAnsi="Calibri"/>
                <w:b w:val="0"/>
                <w:sz w:val="15"/>
              </w:rPr>
              <w:t>Must</w:t>
            </w:r>
          </w:p>
        </w:tc>
        <w:tc>
          <w:tcPr>
            <w:tcW w:type="dxa" w:w="737"/>
          </w:tcPr>
          <w:p>
            <w:pPr>
              <w:spacing w:after="20" w:before="20" w:line="240" w:lineRule="auto"/>
              <w:jc w:val="center"/>
            </w:pPr>
            <w:r/>
            <w:r>
              <w:rPr>
                <w:rFonts w:ascii="Calibri" w:hAnsi="Calibri"/>
                <w:b w:val="0"/>
                <w:sz w:val="15"/>
              </w:rPr>
              <w:t>BR-01</w:t>
            </w:r>
          </w:p>
        </w:tc>
      </w:tr>
      <w:tr>
        <w:tc>
          <w:tcPr>
            <w:tcW w:type="dxa" w:w="680"/>
            <w:shd w:val="clear" w:fill="F7F9FB"/>
          </w:tcPr>
          <w:p>
            <w:pPr>
              <w:spacing w:after="20" w:before="20" w:line="240" w:lineRule="auto"/>
              <w:jc w:val="center"/>
            </w:pPr>
            <w:r/>
            <w:r>
              <w:rPr>
                <w:rFonts w:ascii="Calibri" w:hAnsi="Calibri"/>
                <w:b w:val="0"/>
                <w:sz w:val="15"/>
              </w:rPr>
              <w:t>FR-02</w:t>
            </w:r>
          </w:p>
        </w:tc>
        <w:tc>
          <w:tcPr>
            <w:tcW w:type="dxa" w:w="1757"/>
            <w:shd w:val="clear" w:fill="F7F9FB"/>
          </w:tcPr>
          <w:p>
            <w:pPr>
              <w:spacing w:after="20" w:before="20" w:line="240" w:lineRule="auto"/>
            </w:pPr>
            <w:r/>
            <w:r>
              <w:rPr>
                <w:rFonts w:ascii="Calibri" w:hAnsi="Calibri"/>
                <w:b w:val="0"/>
                <w:sz w:val="15"/>
              </w:rPr>
              <w:t>Consumption by product and category</w:t>
            </w:r>
          </w:p>
        </w:tc>
        <w:tc>
          <w:tcPr>
            <w:tcW w:type="dxa" w:w="2438"/>
            <w:shd w:val="clear" w:fill="F7F9FB"/>
          </w:tcPr>
          <w:p>
            <w:pPr>
              <w:spacing w:after="20" w:before="20" w:line="240" w:lineRule="auto"/>
            </w:pPr>
            <w:r/>
            <w:r>
              <w:rPr>
                <w:rFonts w:ascii="Calibri" w:hAnsi="Calibri"/>
                <w:b w:val="0"/>
                <w:sz w:val="15"/>
              </w:rPr>
              <w:t>Display consumption quantity and value by item and by item category for the selected scope, sortable by either measure.</w:t>
            </w:r>
          </w:p>
        </w:tc>
        <w:tc>
          <w:tcPr>
            <w:tcW w:type="dxa" w:w="2835"/>
            <w:shd w:val="clear" w:fill="F7F9FB"/>
          </w:tcPr>
          <w:p>
            <w:pPr>
              <w:spacing w:after="20" w:before="20" w:line="240" w:lineRule="auto"/>
            </w:pPr>
            <w:r/>
            <w:r>
              <w:rPr>
                <w:rFonts w:ascii="Calibri" w:hAnsi="Calibri"/>
                <w:b w:val="0"/>
                <w:sz w:val="15"/>
              </w:rPr>
              <w:t>Category subtotals equal item totals; sorting and filtering do not alter totals.</w:t>
            </w:r>
          </w:p>
        </w:tc>
        <w:tc>
          <w:tcPr>
            <w:tcW w:type="dxa" w:w="850"/>
            <w:shd w:val="clear" w:fill="F7F9FB"/>
          </w:tcPr>
          <w:p>
            <w:pPr>
              <w:spacing w:after="20" w:before="20" w:line="240" w:lineRule="auto"/>
              <w:jc w:val="center"/>
            </w:pPr>
            <w:r/>
            <w:r>
              <w:rPr>
                <w:rFonts w:ascii="Calibri" w:hAnsi="Calibri"/>
                <w:b w:val="0"/>
                <w:sz w:val="15"/>
              </w:rPr>
              <w:t>Must</w:t>
            </w:r>
          </w:p>
        </w:tc>
        <w:tc>
          <w:tcPr>
            <w:tcW w:type="dxa" w:w="737"/>
            <w:shd w:val="clear" w:fill="F7F9FB"/>
          </w:tcPr>
          <w:p>
            <w:pPr>
              <w:spacing w:after="20" w:before="20" w:line="240" w:lineRule="auto"/>
              <w:jc w:val="center"/>
            </w:pPr>
            <w:r/>
            <w:r>
              <w:rPr>
                <w:rFonts w:ascii="Calibri" w:hAnsi="Calibri"/>
                <w:b w:val="0"/>
                <w:sz w:val="15"/>
              </w:rPr>
              <w:t>BR-01</w:t>
            </w:r>
          </w:p>
        </w:tc>
      </w:tr>
      <w:tr>
        <w:tc>
          <w:tcPr>
            <w:tcW w:type="dxa" w:w="680"/>
          </w:tcPr>
          <w:p>
            <w:pPr>
              <w:spacing w:after="20" w:before="20" w:line="240" w:lineRule="auto"/>
              <w:jc w:val="center"/>
            </w:pPr>
            <w:r/>
            <w:r>
              <w:rPr>
                <w:rFonts w:ascii="Calibri" w:hAnsi="Calibri"/>
                <w:b w:val="0"/>
                <w:sz w:val="15"/>
              </w:rPr>
              <w:t>FR-03</w:t>
            </w:r>
          </w:p>
        </w:tc>
        <w:tc>
          <w:tcPr>
            <w:tcW w:type="dxa" w:w="1757"/>
          </w:tcPr>
          <w:p>
            <w:pPr>
              <w:spacing w:after="20" w:before="20" w:line="240" w:lineRule="auto"/>
            </w:pPr>
            <w:r/>
            <w:r>
              <w:rPr>
                <w:rFonts w:ascii="Calibri" w:hAnsi="Calibri"/>
                <w:b w:val="0"/>
                <w:sz w:val="15"/>
              </w:rPr>
              <w:t>Consumption versus investment view</w:t>
            </w:r>
          </w:p>
        </w:tc>
        <w:tc>
          <w:tcPr>
            <w:tcW w:type="dxa" w:w="2438"/>
          </w:tcPr>
          <w:p>
            <w:pPr>
              <w:spacing w:after="20" w:before="20" w:line="240" w:lineRule="auto"/>
            </w:pPr>
            <w:r/>
            <w:r>
              <w:rPr>
                <w:rFonts w:ascii="Calibri" w:hAnsi="Calibri"/>
                <w:b w:val="0"/>
                <w:sz w:val="15"/>
              </w:rPr>
              <w:t>Present consumption value and procurement investment side by side for each project and item, with ratio and variance.</w:t>
            </w:r>
          </w:p>
        </w:tc>
        <w:tc>
          <w:tcPr>
            <w:tcW w:type="dxa" w:w="2835"/>
          </w:tcPr>
          <w:p>
            <w:pPr>
              <w:spacing w:after="20" w:before="20" w:line="240" w:lineRule="auto"/>
            </w:pPr>
            <w:r/>
            <w:r>
              <w:rPr>
                <w:rFonts w:ascii="Calibri" w:hAnsi="Calibri"/>
                <w:b w:val="0"/>
                <w:sz w:val="15"/>
              </w:rPr>
              <w:t>Ratio equals consumption ÷ investment rounded to two decimals; variance equals investment − consumption.</w:t>
            </w:r>
          </w:p>
        </w:tc>
        <w:tc>
          <w:tcPr>
            <w:tcW w:type="dxa" w:w="850"/>
          </w:tcPr>
          <w:p>
            <w:pPr>
              <w:spacing w:after="20" w:before="20" w:line="240" w:lineRule="auto"/>
              <w:jc w:val="center"/>
            </w:pPr>
            <w:r/>
            <w:r>
              <w:rPr>
                <w:rFonts w:ascii="Calibri" w:hAnsi="Calibri"/>
                <w:b w:val="0"/>
                <w:sz w:val="15"/>
              </w:rPr>
              <w:t>Must</w:t>
            </w:r>
          </w:p>
        </w:tc>
        <w:tc>
          <w:tcPr>
            <w:tcW w:type="dxa" w:w="737"/>
          </w:tcPr>
          <w:p>
            <w:pPr>
              <w:spacing w:after="20" w:before="20" w:line="240" w:lineRule="auto"/>
              <w:jc w:val="center"/>
            </w:pPr>
            <w:r/>
            <w:r>
              <w:rPr>
                <w:rFonts w:ascii="Calibri" w:hAnsi="Calibri"/>
                <w:b w:val="0"/>
                <w:sz w:val="15"/>
              </w:rPr>
              <w:t>BR-02</w:t>
            </w:r>
          </w:p>
        </w:tc>
      </w:tr>
      <w:tr>
        <w:tc>
          <w:tcPr>
            <w:tcW w:type="dxa" w:w="680"/>
            <w:shd w:val="clear" w:fill="F7F9FB"/>
          </w:tcPr>
          <w:p>
            <w:pPr>
              <w:spacing w:after="20" w:before="20" w:line="240" w:lineRule="auto"/>
              <w:jc w:val="center"/>
            </w:pPr>
            <w:r/>
            <w:r>
              <w:rPr>
                <w:rFonts w:ascii="Calibri" w:hAnsi="Calibri"/>
                <w:b w:val="0"/>
                <w:sz w:val="15"/>
              </w:rPr>
              <w:t>FR-04</w:t>
            </w:r>
          </w:p>
        </w:tc>
        <w:tc>
          <w:tcPr>
            <w:tcW w:type="dxa" w:w="1757"/>
            <w:shd w:val="clear" w:fill="F7F9FB"/>
          </w:tcPr>
          <w:p>
            <w:pPr>
              <w:spacing w:after="20" w:before="20" w:line="240" w:lineRule="auto"/>
            </w:pPr>
            <w:r/>
            <w:r>
              <w:rPr>
                <w:rFonts w:ascii="Calibri" w:hAnsi="Calibri"/>
                <w:b w:val="0"/>
                <w:sz w:val="15"/>
              </w:rPr>
              <w:t>Cumulative versus period view</w:t>
            </w:r>
          </w:p>
        </w:tc>
        <w:tc>
          <w:tcPr>
            <w:tcW w:type="dxa" w:w="2438"/>
            <w:shd w:val="clear" w:fill="F7F9FB"/>
          </w:tcPr>
          <w:p>
            <w:pPr>
              <w:spacing w:after="20" w:before="20" w:line="240" w:lineRule="auto"/>
            </w:pPr>
            <w:r/>
            <w:r>
              <w:rPr>
                <w:rFonts w:ascii="Calibri" w:hAnsi="Calibri"/>
                <w:b w:val="0"/>
                <w:sz w:val="15"/>
              </w:rPr>
              <w:t>Allow the user to switch between period values and cumulative-to-date values for the project.</w:t>
            </w:r>
          </w:p>
        </w:tc>
        <w:tc>
          <w:tcPr>
            <w:tcW w:type="dxa" w:w="2835"/>
            <w:shd w:val="clear" w:fill="F7F9FB"/>
          </w:tcPr>
          <w:p>
            <w:pPr>
              <w:spacing w:after="20" w:before="20" w:line="240" w:lineRule="auto"/>
            </w:pPr>
            <w:r/>
            <w:r>
              <w:rPr>
                <w:rFonts w:ascii="Calibri" w:hAnsi="Calibri"/>
                <w:b w:val="0"/>
                <w:sz w:val="15"/>
              </w:rPr>
              <w:t>Cumulative equals the sum of all periods from project start to the selected period end.</w:t>
            </w:r>
          </w:p>
        </w:tc>
        <w:tc>
          <w:tcPr>
            <w:tcW w:type="dxa" w:w="850"/>
            <w:shd w:val="clear" w:fill="F7F9FB"/>
          </w:tcPr>
          <w:p>
            <w:pPr>
              <w:spacing w:after="20" w:before="20" w:line="240" w:lineRule="auto"/>
              <w:jc w:val="center"/>
            </w:pPr>
            <w:r/>
            <w:r>
              <w:rPr>
                <w:rFonts w:ascii="Calibri" w:hAnsi="Calibri"/>
                <w:b w:val="0"/>
                <w:sz w:val="15"/>
              </w:rPr>
              <w:t>Must</w:t>
            </w:r>
          </w:p>
        </w:tc>
        <w:tc>
          <w:tcPr>
            <w:tcW w:type="dxa" w:w="737"/>
            <w:shd w:val="clear" w:fill="F7F9FB"/>
          </w:tcPr>
          <w:p>
            <w:pPr>
              <w:spacing w:after="20" w:before="20" w:line="240" w:lineRule="auto"/>
              <w:jc w:val="center"/>
            </w:pPr>
            <w:r/>
            <w:r>
              <w:rPr>
                <w:rFonts w:ascii="Calibri" w:hAnsi="Calibri"/>
                <w:b w:val="0"/>
                <w:sz w:val="15"/>
              </w:rPr>
              <w:t>BR-02</w:t>
            </w:r>
          </w:p>
        </w:tc>
      </w:tr>
      <w:tr>
        <w:tc>
          <w:tcPr>
            <w:tcW w:type="dxa" w:w="680"/>
          </w:tcPr>
          <w:p>
            <w:pPr>
              <w:spacing w:after="20" w:before="20" w:line="240" w:lineRule="auto"/>
              <w:jc w:val="center"/>
            </w:pPr>
            <w:r/>
            <w:r>
              <w:rPr>
                <w:rFonts w:ascii="Calibri" w:hAnsi="Calibri"/>
                <w:b w:val="0"/>
                <w:sz w:val="15"/>
              </w:rPr>
              <w:t>FR-05</w:t>
            </w:r>
          </w:p>
        </w:tc>
        <w:tc>
          <w:tcPr>
            <w:tcW w:type="dxa" w:w="1757"/>
          </w:tcPr>
          <w:p>
            <w:pPr>
              <w:spacing w:after="20" w:before="20" w:line="240" w:lineRule="auto"/>
            </w:pPr>
            <w:r/>
            <w:r>
              <w:rPr>
                <w:rFonts w:ascii="Calibri" w:hAnsi="Calibri"/>
                <w:b w:val="0"/>
                <w:sz w:val="15"/>
              </w:rPr>
              <w:t>Month-on-month trend</w:t>
            </w:r>
          </w:p>
        </w:tc>
        <w:tc>
          <w:tcPr>
            <w:tcW w:type="dxa" w:w="2438"/>
          </w:tcPr>
          <w:p>
            <w:pPr>
              <w:spacing w:after="20" w:before="20" w:line="240" w:lineRule="auto"/>
            </w:pPr>
            <w:r/>
            <w:r>
              <w:rPr>
                <w:rFonts w:ascii="Calibri" w:hAnsi="Calibri"/>
                <w:b w:val="0"/>
                <w:sz w:val="15"/>
              </w:rPr>
              <w:t>Chart consumption value and quantity by month for any scope and period range.</w:t>
            </w:r>
          </w:p>
        </w:tc>
        <w:tc>
          <w:tcPr>
            <w:tcW w:type="dxa" w:w="2835"/>
          </w:tcPr>
          <w:p>
            <w:pPr>
              <w:spacing w:after="20" w:before="20" w:line="240" w:lineRule="auto"/>
            </w:pPr>
            <w:r/>
            <w:r>
              <w:rPr>
                <w:rFonts w:ascii="Calibri" w:hAnsi="Calibri"/>
                <w:b w:val="0"/>
                <w:sz w:val="15"/>
              </w:rPr>
              <w:t>Chart values equal the corresponding table values for every month displayed.</w:t>
            </w:r>
          </w:p>
        </w:tc>
        <w:tc>
          <w:tcPr>
            <w:tcW w:type="dxa" w:w="850"/>
          </w:tcPr>
          <w:p>
            <w:pPr>
              <w:spacing w:after="20" w:before="20" w:line="240" w:lineRule="auto"/>
              <w:jc w:val="center"/>
            </w:pPr>
            <w:r/>
            <w:r>
              <w:rPr>
                <w:rFonts w:ascii="Calibri" w:hAnsi="Calibri"/>
                <w:b w:val="0"/>
                <w:sz w:val="15"/>
              </w:rPr>
              <w:t>Must</w:t>
            </w:r>
          </w:p>
        </w:tc>
        <w:tc>
          <w:tcPr>
            <w:tcW w:type="dxa" w:w="737"/>
          </w:tcPr>
          <w:p>
            <w:pPr>
              <w:spacing w:after="20" w:before="20" w:line="240" w:lineRule="auto"/>
              <w:jc w:val="center"/>
            </w:pPr>
            <w:r/>
            <w:r>
              <w:rPr>
                <w:rFonts w:ascii="Calibri" w:hAnsi="Calibri"/>
                <w:b w:val="0"/>
                <w:sz w:val="15"/>
              </w:rPr>
              <w:t>BR-03</w:t>
            </w:r>
          </w:p>
        </w:tc>
      </w:tr>
      <w:tr>
        <w:tc>
          <w:tcPr>
            <w:tcW w:type="dxa" w:w="680"/>
            <w:shd w:val="clear" w:fill="F7F9FB"/>
          </w:tcPr>
          <w:p>
            <w:pPr>
              <w:spacing w:after="20" w:before="20" w:line="240" w:lineRule="auto"/>
              <w:jc w:val="center"/>
            </w:pPr>
            <w:r/>
            <w:r>
              <w:rPr>
                <w:rFonts w:ascii="Calibri" w:hAnsi="Calibri"/>
                <w:b w:val="0"/>
                <w:sz w:val="15"/>
              </w:rPr>
              <w:t>FR-06</w:t>
            </w:r>
          </w:p>
        </w:tc>
        <w:tc>
          <w:tcPr>
            <w:tcW w:type="dxa" w:w="1757"/>
            <w:shd w:val="clear" w:fill="F7F9FB"/>
          </w:tcPr>
          <w:p>
            <w:pPr>
              <w:spacing w:after="20" w:before="20" w:line="240" w:lineRule="auto"/>
            </w:pPr>
            <w:r/>
            <w:r>
              <w:rPr>
                <w:rFonts w:ascii="Calibri" w:hAnsi="Calibri"/>
                <w:b w:val="0"/>
                <w:sz w:val="15"/>
              </w:rPr>
              <w:t>Growth and moving average</w:t>
            </w:r>
          </w:p>
        </w:tc>
        <w:tc>
          <w:tcPr>
            <w:tcW w:type="dxa" w:w="2438"/>
            <w:shd w:val="clear" w:fill="F7F9FB"/>
          </w:tcPr>
          <w:p>
            <w:pPr>
              <w:spacing w:after="20" w:before="20" w:line="240" w:lineRule="auto"/>
            </w:pPr>
            <w:r/>
            <w:r>
              <w:rPr>
                <w:rFonts w:ascii="Calibri" w:hAnsi="Calibri"/>
                <w:b w:val="0"/>
                <w:sz w:val="15"/>
              </w:rPr>
              <w:t>Calculate month-on-month growth percentage, and three- and twelve-month moving averages.</w:t>
            </w:r>
          </w:p>
        </w:tc>
        <w:tc>
          <w:tcPr>
            <w:tcW w:type="dxa" w:w="2835"/>
            <w:shd w:val="clear" w:fill="F7F9FB"/>
          </w:tcPr>
          <w:p>
            <w:pPr>
              <w:spacing w:after="20" w:before="20" w:line="240" w:lineRule="auto"/>
            </w:pPr>
            <w:r/>
            <w:r>
              <w:rPr>
                <w:rFonts w:ascii="Calibri" w:hAnsi="Calibri"/>
                <w:b w:val="0"/>
                <w:sz w:val="15"/>
              </w:rPr>
              <w:t>Growth equals (current − prior) ÷ prior; blank where prior is zero; moving average uses the stated number of prior months per the KPI dictionary.</w:t>
            </w:r>
          </w:p>
        </w:tc>
        <w:tc>
          <w:tcPr>
            <w:tcW w:type="dxa" w:w="850"/>
            <w:shd w:val="clear" w:fill="F7F9FB"/>
          </w:tcPr>
          <w:p>
            <w:pPr>
              <w:spacing w:after="20" w:before="20" w:line="240" w:lineRule="auto"/>
              <w:jc w:val="center"/>
            </w:pPr>
            <w:r/>
            <w:r>
              <w:rPr>
                <w:rFonts w:ascii="Calibri" w:hAnsi="Calibri"/>
                <w:b w:val="0"/>
                <w:sz w:val="15"/>
              </w:rPr>
              <w:t>Should</w:t>
            </w:r>
          </w:p>
        </w:tc>
        <w:tc>
          <w:tcPr>
            <w:tcW w:type="dxa" w:w="737"/>
            <w:shd w:val="clear" w:fill="F7F9FB"/>
          </w:tcPr>
          <w:p>
            <w:pPr>
              <w:spacing w:after="20" w:before="20" w:line="240" w:lineRule="auto"/>
              <w:jc w:val="center"/>
            </w:pPr>
            <w:r/>
            <w:r>
              <w:rPr>
                <w:rFonts w:ascii="Calibri" w:hAnsi="Calibri"/>
                <w:b w:val="0"/>
                <w:sz w:val="15"/>
              </w:rPr>
              <w:t>BR-03</w:t>
            </w:r>
          </w:p>
        </w:tc>
      </w:tr>
      <w:tr>
        <w:tc>
          <w:tcPr>
            <w:tcW w:type="dxa" w:w="680"/>
          </w:tcPr>
          <w:p>
            <w:pPr>
              <w:spacing w:after="20" w:before="20" w:line="240" w:lineRule="auto"/>
              <w:jc w:val="center"/>
            </w:pPr>
            <w:r/>
            <w:r>
              <w:rPr>
                <w:rFonts w:ascii="Calibri" w:hAnsi="Calibri"/>
                <w:b w:val="0"/>
                <w:sz w:val="15"/>
              </w:rPr>
              <w:t>FR-07</w:t>
            </w:r>
          </w:p>
        </w:tc>
        <w:tc>
          <w:tcPr>
            <w:tcW w:type="dxa" w:w="1757"/>
          </w:tcPr>
          <w:p>
            <w:pPr>
              <w:spacing w:after="20" w:before="20" w:line="240" w:lineRule="auto"/>
            </w:pPr>
            <w:r/>
            <w:r>
              <w:rPr>
                <w:rFonts w:ascii="Calibri" w:hAnsi="Calibri"/>
                <w:b w:val="0"/>
                <w:sz w:val="15"/>
              </w:rPr>
              <w:t>Seasonality view</w:t>
            </w:r>
          </w:p>
        </w:tc>
        <w:tc>
          <w:tcPr>
            <w:tcW w:type="dxa" w:w="2438"/>
          </w:tcPr>
          <w:p>
            <w:pPr>
              <w:spacing w:after="20" w:before="20" w:line="240" w:lineRule="auto"/>
            </w:pPr>
            <w:r/>
            <w:r>
              <w:rPr>
                <w:rFonts w:ascii="Calibri" w:hAnsi="Calibri"/>
                <w:b w:val="0"/>
                <w:sz w:val="15"/>
              </w:rPr>
              <w:t>Present average consumption by calendar month across the selected years to reveal seasonal pattern.</w:t>
            </w:r>
          </w:p>
        </w:tc>
        <w:tc>
          <w:tcPr>
            <w:tcW w:type="dxa" w:w="2835"/>
          </w:tcPr>
          <w:p>
            <w:pPr>
              <w:spacing w:after="20" w:before="20" w:line="240" w:lineRule="auto"/>
            </w:pPr>
            <w:r/>
            <w:r>
              <w:rPr>
                <w:rFonts w:ascii="Calibri" w:hAnsi="Calibri"/>
                <w:b w:val="0"/>
                <w:sz w:val="15"/>
              </w:rPr>
              <w:t>Averaging excludes months where the project was inactive.</w:t>
            </w:r>
          </w:p>
        </w:tc>
        <w:tc>
          <w:tcPr>
            <w:tcW w:type="dxa" w:w="850"/>
          </w:tcPr>
          <w:p>
            <w:pPr>
              <w:spacing w:after="20" w:before="20" w:line="240" w:lineRule="auto"/>
              <w:jc w:val="center"/>
            </w:pPr>
            <w:r/>
            <w:r>
              <w:rPr>
                <w:rFonts w:ascii="Calibri" w:hAnsi="Calibri"/>
                <w:b w:val="0"/>
                <w:sz w:val="15"/>
              </w:rPr>
              <w:t>Should</w:t>
            </w:r>
          </w:p>
        </w:tc>
        <w:tc>
          <w:tcPr>
            <w:tcW w:type="dxa" w:w="737"/>
          </w:tcPr>
          <w:p>
            <w:pPr>
              <w:spacing w:after="20" w:before="20" w:line="240" w:lineRule="auto"/>
              <w:jc w:val="center"/>
            </w:pPr>
            <w:r/>
            <w:r>
              <w:rPr>
                <w:rFonts w:ascii="Calibri" w:hAnsi="Calibri"/>
                <w:b w:val="0"/>
                <w:sz w:val="15"/>
              </w:rPr>
              <w:t>BR-03</w:t>
            </w:r>
          </w:p>
        </w:tc>
      </w:tr>
      <w:tr>
        <w:tc>
          <w:tcPr>
            <w:tcW w:type="dxa" w:w="680"/>
            <w:shd w:val="clear" w:fill="F7F9FB"/>
          </w:tcPr>
          <w:p>
            <w:pPr>
              <w:spacing w:after="20" w:before="20" w:line="240" w:lineRule="auto"/>
              <w:jc w:val="center"/>
            </w:pPr>
            <w:r/>
            <w:r>
              <w:rPr>
                <w:rFonts w:ascii="Calibri" w:hAnsi="Calibri"/>
                <w:b w:val="0"/>
                <w:sz w:val="15"/>
              </w:rPr>
              <w:t>FR-08</w:t>
            </w:r>
          </w:p>
        </w:tc>
        <w:tc>
          <w:tcPr>
            <w:tcW w:type="dxa" w:w="1757"/>
            <w:shd w:val="clear" w:fill="F7F9FB"/>
          </w:tcPr>
          <w:p>
            <w:pPr>
              <w:spacing w:after="20" w:before="20" w:line="240" w:lineRule="auto"/>
            </w:pPr>
            <w:r/>
            <w:r>
              <w:rPr>
                <w:rFonts w:ascii="Calibri" w:hAnsi="Calibri"/>
                <w:b w:val="0"/>
                <w:sz w:val="15"/>
              </w:rPr>
              <w:t>Comparison of periods or projects</w:t>
            </w:r>
          </w:p>
        </w:tc>
        <w:tc>
          <w:tcPr>
            <w:tcW w:type="dxa" w:w="2438"/>
            <w:shd w:val="clear" w:fill="F7F9FB"/>
          </w:tcPr>
          <w:p>
            <w:pPr>
              <w:spacing w:after="20" w:before="20" w:line="240" w:lineRule="auto"/>
            </w:pPr>
            <w:r/>
            <w:r>
              <w:rPr>
                <w:rFonts w:ascii="Calibri" w:hAnsi="Calibri"/>
                <w:b w:val="0"/>
                <w:sz w:val="15"/>
              </w:rPr>
              <w:t>Allow side-by-side comparison of two periods, or of up to five projects, on selected KPIs.</w:t>
            </w:r>
          </w:p>
        </w:tc>
        <w:tc>
          <w:tcPr>
            <w:tcW w:type="dxa" w:w="2835"/>
            <w:shd w:val="clear" w:fill="F7F9FB"/>
          </w:tcPr>
          <w:p>
            <w:pPr>
              <w:spacing w:after="20" w:before="20" w:line="240" w:lineRule="auto"/>
            </w:pPr>
            <w:r/>
            <w:r>
              <w:rPr>
                <w:rFonts w:ascii="Calibri" w:hAnsi="Calibri"/>
                <w:b w:val="0"/>
                <w:sz w:val="15"/>
              </w:rPr>
              <w:t>Comparison uses identical filters and definitions for both sides.</w:t>
            </w:r>
          </w:p>
        </w:tc>
        <w:tc>
          <w:tcPr>
            <w:tcW w:type="dxa" w:w="850"/>
            <w:shd w:val="clear" w:fill="F7F9FB"/>
          </w:tcPr>
          <w:p>
            <w:pPr>
              <w:spacing w:after="20" w:before="20" w:line="240" w:lineRule="auto"/>
              <w:jc w:val="center"/>
            </w:pPr>
            <w:r/>
            <w:r>
              <w:rPr>
                <w:rFonts w:ascii="Calibri" w:hAnsi="Calibri"/>
                <w:b w:val="0"/>
                <w:sz w:val="15"/>
              </w:rPr>
              <w:t>Should</w:t>
            </w:r>
          </w:p>
        </w:tc>
        <w:tc>
          <w:tcPr>
            <w:tcW w:type="dxa" w:w="737"/>
            <w:shd w:val="clear" w:fill="F7F9FB"/>
          </w:tcPr>
          <w:p>
            <w:pPr>
              <w:spacing w:after="20" w:before="20" w:line="240" w:lineRule="auto"/>
              <w:jc w:val="center"/>
            </w:pPr>
            <w:r/>
            <w:r>
              <w:rPr>
                <w:rFonts w:ascii="Calibri" w:hAnsi="Calibri"/>
                <w:b w:val="0"/>
                <w:sz w:val="15"/>
              </w:rPr>
              <w:t>BR-03</w:t>
            </w:r>
          </w:p>
        </w:tc>
      </w:tr>
      <w:tr>
        <w:tc>
          <w:tcPr>
            <w:tcW w:type="dxa" w:w="680"/>
          </w:tcPr>
          <w:p>
            <w:pPr>
              <w:spacing w:after="20" w:before="20" w:line="240" w:lineRule="auto"/>
              <w:jc w:val="center"/>
            </w:pPr>
            <w:r/>
            <w:r>
              <w:rPr>
                <w:rFonts w:ascii="Calibri" w:hAnsi="Calibri"/>
                <w:b w:val="0"/>
                <w:sz w:val="15"/>
              </w:rPr>
              <w:t>FR-09</w:t>
            </w:r>
          </w:p>
        </w:tc>
        <w:tc>
          <w:tcPr>
            <w:tcW w:type="dxa" w:w="1757"/>
          </w:tcPr>
          <w:p>
            <w:pPr>
              <w:spacing w:after="20" w:before="20" w:line="240" w:lineRule="auto"/>
            </w:pPr>
            <w:r/>
            <w:r>
              <w:rPr>
                <w:rFonts w:ascii="Calibri" w:hAnsi="Calibri"/>
                <w:b w:val="0"/>
                <w:sz w:val="15"/>
              </w:rPr>
              <w:t>Top-N and Pareto analysis</w:t>
            </w:r>
          </w:p>
        </w:tc>
        <w:tc>
          <w:tcPr>
            <w:tcW w:type="dxa" w:w="2438"/>
          </w:tcPr>
          <w:p>
            <w:pPr>
              <w:spacing w:after="20" w:before="20" w:line="240" w:lineRule="auto"/>
            </w:pPr>
            <w:r/>
            <w:r>
              <w:rPr>
                <w:rFonts w:ascii="Calibri" w:hAnsi="Calibri"/>
                <w:b w:val="0"/>
                <w:sz w:val="15"/>
              </w:rPr>
              <w:t>Rank products by consumption value or quantity, showing the top N items and cumulative percentage contribution.</w:t>
            </w:r>
          </w:p>
        </w:tc>
        <w:tc>
          <w:tcPr>
            <w:tcW w:type="dxa" w:w="2835"/>
          </w:tcPr>
          <w:p>
            <w:pPr>
              <w:spacing w:after="20" w:before="20" w:line="240" w:lineRule="auto"/>
            </w:pPr>
            <w:r/>
            <w:r>
              <w:rPr>
                <w:rFonts w:ascii="Calibri" w:hAnsi="Calibri"/>
                <w:b w:val="0"/>
                <w:sz w:val="15"/>
              </w:rPr>
              <w:t>N is user-selectable (5/10/20/50); cumulative percentage reaches 100% at the last item of the full list.</w:t>
            </w:r>
          </w:p>
        </w:tc>
        <w:tc>
          <w:tcPr>
            <w:tcW w:type="dxa" w:w="850"/>
          </w:tcPr>
          <w:p>
            <w:pPr>
              <w:spacing w:after="20" w:before="20" w:line="240" w:lineRule="auto"/>
              <w:jc w:val="center"/>
            </w:pPr>
            <w:r/>
            <w:r>
              <w:rPr>
                <w:rFonts w:ascii="Calibri" w:hAnsi="Calibri"/>
                <w:b w:val="0"/>
                <w:sz w:val="15"/>
              </w:rPr>
              <w:t>Must</w:t>
            </w:r>
          </w:p>
        </w:tc>
        <w:tc>
          <w:tcPr>
            <w:tcW w:type="dxa" w:w="737"/>
          </w:tcPr>
          <w:p>
            <w:pPr>
              <w:spacing w:after="20" w:before="20" w:line="240" w:lineRule="auto"/>
              <w:jc w:val="center"/>
            </w:pPr>
            <w:r/>
            <w:r>
              <w:rPr>
                <w:rFonts w:ascii="Calibri" w:hAnsi="Calibri"/>
                <w:b w:val="0"/>
                <w:sz w:val="15"/>
              </w:rPr>
              <w:t>BR-01</w:t>
            </w:r>
          </w:p>
        </w:tc>
      </w:tr>
      <w:tr>
        <w:tc>
          <w:tcPr>
            <w:tcW w:type="dxa" w:w="680"/>
            <w:shd w:val="clear" w:fill="F7F9FB"/>
          </w:tcPr>
          <w:p>
            <w:pPr>
              <w:spacing w:after="20" w:before="20" w:line="240" w:lineRule="auto"/>
              <w:jc w:val="center"/>
            </w:pPr>
            <w:r/>
            <w:r>
              <w:rPr>
                <w:rFonts w:ascii="Calibri" w:hAnsi="Calibri"/>
                <w:b w:val="0"/>
                <w:sz w:val="15"/>
              </w:rPr>
              <w:t>FR-10</w:t>
            </w:r>
          </w:p>
        </w:tc>
        <w:tc>
          <w:tcPr>
            <w:tcW w:type="dxa" w:w="1757"/>
            <w:shd w:val="clear" w:fill="F7F9FB"/>
          </w:tcPr>
          <w:p>
            <w:pPr>
              <w:spacing w:after="20" w:before="20" w:line="240" w:lineRule="auto"/>
            </w:pPr>
            <w:r/>
            <w:r>
              <w:rPr>
                <w:rFonts w:ascii="Calibri" w:hAnsi="Calibri"/>
                <w:b w:val="0"/>
                <w:sz w:val="15"/>
              </w:rPr>
              <w:t>Drill-down to transaction</w:t>
            </w:r>
          </w:p>
        </w:tc>
        <w:tc>
          <w:tcPr>
            <w:tcW w:type="dxa" w:w="2438"/>
            <w:shd w:val="clear" w:fill="F7F9FB"/>
          </w:tcPr>
          <w:p>
            <w:pPr>
              <w:spacing w:after="20" w:before="20" w:line="240" w:lineRule="auto"/>
            </w:pPr>
            <w:r/>
            <w:r>
              <w:rPr>
                <w:rFonts w:ascii="Calibri" w:hAnsi="Calibri"/>
                <w:b w:val="0"/>
                <w:sz w:val="15"/>
              </w:rPr>
              <w:t>Navigate from any aggregated figure to project, category, item, batch, GRN, PO and individual issue lines.</w:t>
            </w:r>
          </w:p>
        </w:tc>
        <w:tc>
          <w:tcPr>
            <w:tcW w:type="dxa" w:w="2835"/>
            <w:shd w:val="clear" w:fill="F7F9FB"/>
          </w:tcPr>
          <w:p>
            <w:pPr>
              <w:spacing w:after="20" w:before="20" w:line="240" w:lineRule="auto"/>
            </w:pPr>
            <w:r/>
            <w:r>
              <w:rPr>
                <w:rFonts w:ascii="Calibri" w:hAnsi="Calibri"/>
                <w:b w:val="0"/>
                <w:sz w:val="15"/>
              </w:rPr>
              <w:t>Every intermediate level reconciles to its parent figure; the lowest level lists the source document numbers.</w:t>
            </w:r>
          </w:p>
        </w:tc>
        <w:tc>
          <w:tcPr>
            <w:tcW w:type="dxa" w:w="850"/>
            <w:shd w:val="clear" w:fill="F7F9FB"/>
          </w:tcPr>
          <w:p>
            <w:pPr>
              <w:spacing w:after="20" w:before="20" w:line="240" w:lineRule="auto"/>
              <w:jc w:val="center"/>
            </w:pPr>
            <w:r/>
            <w:r>
              <w:rPr>
                <w:rFonts w:ascii="Calibri" w:hAnsi="Calibri"/>
                <w:b w:val="0"/>
                <w:sz w:val="15"/>
              </w:rPr>
              <w:t>Must</w:t>
            </w:r>
          </w:p>
        </w:tc>
        <w:tc>
          <w:tcPr>
            <w:tcW w:type="dxa" w:w="737"/>
            <w:shd w:val="clear" w:fill="F7F9FB"/>
          </w:tcPr>
          <w:p>
            <w:pPr>
              <w:spacing w:after="20" w:before="20" w:line="240" w:lineRule="auto"/>
              <w:jc w:val="center"/>
            </w:pPr>
            <w:r/>
            <w:r>
              <w:rPr>
                <w:rFonts w:ascii="Calibri" w:hAnsi="Calibri"/>
                <w:b w:val="0"/>
                <w:sz w:val="15"/>
              </w:rPr>
              <w:t>BR-08</w:t>
            </w:r>
          </w:p>
        </w:tc>
      </w:tr>
      <w:tr>
        <w:tc>
          <w:tcPr>
            <w:tcW w:type="dxa" w:w="680"/>
          </w:tcPr>
          <w:p>
            <w:pPr>
              <w:spacing w:after="20" w:before="20" w:line="240" w:lineRule="auto"/>
              <w:jc w:val="center"/>
            </w:pPr>
            <w:r/>
            <w:r>
              <w:rPr>
                <w:rFonts w:ascii="Calibri" w:hAnsi="Calibri"/>
                <w:b w:val="0"/>
                <w:sz w:val="15"/>
              </w:rPr>
              <w:t>FR-11</w:t>
            </w:r>
          </w:p>
        </w:tc>
        <w:tc>
          <w:tcPr>
            <w:tcW w:type="dxa" w:w="1757"/>
          </w:tcPr>
          <w:p>
            <w:pPr>
              <w:spacing w:after="20" w:before="20" w:line="240" w:lineRule="auto"/>
            </w:pPr>
            <w:r/>
            <w:r>
              <w:rPr>
                <w:rFonts w:ascii="Calibri" w:hAnsi="Calibri"/>
                <w:b w:val="0"/>
                <w:sz w:val="15"/>
              </w:rPr>
              <w:t>Consumption per service point</w:t>
            </w:r>
          </w:p>
        </w:tc>
        <w:tc>
          <w:tcPr>
            <w:tcW w:type="dxa" w:w="2438"/>
          </w:tcPr>
          <w:p>
            <w:pPr>
              <w:spacing w:after="20" w:before="20" w:line="240" w:lineRule="auto"/>
            </w:pPr>
            <w:r/>
            <w:r>
              <w:rPr>
                <w:rFonts w:ascii="Calibri" w:hAnsi="Calibri"/>
                <w:b w:val="0"/>
                <w:sz w:val="15"/>
              </w:rPr>
              <w:t>Show consumption value and quantity by service point or department within a project.</w:t>
            </w:r>
          </w:p>
        </w:tc>
        <w:tc>
          <w:tcPr>
            <w:tcW w:type="dxa" w:w="2835"/>
          </w:tcPr>
          <w:p>
            <w:pPr>
              <w:spacing w:after="20" w:before="20" w:line="240" w:lineRule="auto"/>
            </w:pPr>
            <w:r/>
            <w:r>
              <w:rPr>
                <w:rFonts w:ascii="Calibri" w:hAnsi="Calibri"/>
                <w:b w:val="0"/>
                <w:sz w:val="15"/>
              </w:rPr>
              <w:t>The sum across service points equals the project total for the same period and filters.</w:t>
            </w:r>
          </w:p>
        </w:tc>
        <w:tc>
          <w:tcPr>
            <w:tcW w:type="dxa" w:w="850"/>
          </w:tcPr>
          <w:p>
            <w:pPr>
              <w:spacing w:after="20" w:before="20" w:line="240" w:lineRule="auto"/>
              <w:jc w:val="center"/>
            </w:pPr>
            <w:r/>
            <w:r>
              <w:rPr>
                <w:rFonts w:ascii="Calibri" w:hAnsi="Calibri"/>
                <w:b w:val="0"/>
                <w:sz w:val="15"/>
              </w:rPr>
              <w:t>Should</w:t>
            </w:r>
          </w:p>
        </w:tc>
        <w:tc>
          <w:tcPr>
            <w:tcW w:type="dxa" w:w="737"/>
          </w:tcPr>
          <w:p>
            <w:pPr>
              <w:spacing w:after="20" w:before="20" w:line="240" w:lineRule="auto"/>
              <w:jc w:val="center"/>
            </w:pPr>
            <w:r/>
            <w:r>
              <w:rPr>
                <w:rFonts w:ascii="Calibri" w:hAnsi="Calibri"/>
                <w:b w:val="0"/>
                <w:sz w:val="15"/>
              </w:rPr>
              <w:t>BR-01</w:t>
            </w:r>
          </w:p>
        </w:tc>
      </w:tr>
      <w:tr>
        <w:tc>
          <w:tcPr>
            <w:tcW w:type="dxa" w:w="680"/>
            <w:shd w:val="clear" w:fill="F7F9FB"/>
          </w:tcPr>
          <w:p>
            <w:pPr>
              <w:spacing w:after="20" w:before="20" w:line="240" w:lineRule="auto"/>
              <w:jc w:val="center"/>
            </w:pPr>
            <w:r/>
            <w:r>
              <w:rPr>
                <w:rFonts w:ascii="Calibri" w:hAnsi="Calibri"/>
                <w:b w:val="0"/>
                <w:sz w:val="15"/>
              </w:rPr>
              <w:t>FR-12</w:t>
            </w:r>
          </w:p>
        </w:tc>
        <w:tc>
          <w:tcPr>
            <w:tcW w:type="dxa" w:w="1757"/>
            <w:shd w:val="clear" w:fill="F7F9FB"/>
          </w:tcPr>
          <w:p>
            <w:pPr>
              <w:spacing w:after="20" w:before="20" w:line="240" w:lineRule="auto"/>
            </w:pPr>
            <w:r/>
            <w:r>
              <w:rPr>
                <w:rFonts w:ascii="Calibri" w:hAnsi="Calibri"/>
                <w:b w:val="0"/>
                <w:sz w:val="15"/>
              </w:rPr>
              <w:t>Project life-cycle view</w:t>
            </w:r>
          </w:p>
        </w:tc>
        <w:tc>
          <w:tcPr>
            <w:tcW w:type="dxa" w:w="2438"/>
            <w:shd w:val="clear" w:fill="F7F9FB"/>
          </w:tcPr>
          <w:p>
            <w:pPr>
              <w:spacing w:after="20" w:before="20" w:line="240" w:lineRule="auto"/>
            </w:pPr>
            <w:r/>
            <w:r>
              <w:rPr>
                <w:rFonts w:ascii="Calibri" w:hAnsi="Calibri"/>
                <w:b w:val="0"/>
                <w:sz w:val="15"/>
              </w:rPr>
              <w:t>Show consumption and investment against the project's elapsed timeline, start and end dates, and remaining period.</w:t>
            </w:r>
          </w:p>
        </w:tc>
        <w:tc>
          <w:tcPr>
            <w:tcW w:type="dxa" w:w="2835"/>
            <w:shd w:val="clear" w:fill="F7F9FB"/>
          </w:tcPr>
          <w:p>
            <w:pPr>
              <w:spacing w:after="20" w:before="20" w:line="240" w:lineRule="auto"/>
            </w:pPr>
            <w:r/>
            <w:r>
              <w:rPr>
                <w:rFonts w:ascii="Calibri" w:hAnsi="Calibri"/>
                <w:b w:val="0"/>
                <w:sz w:val="15"/>
              </w:rPr>
              <w:t>Timeline reflects the project master dates; closed projects show values only for active months.</w:t>
            </w:r>
          </w:p>
        </w:tc>
        <w:tc>
          <w:tcPr>
            <w:tcW w:type="dxa" w:w="850"/>
            <w:shd w:val="clear" w:fill="F7F9FB"/>
          </w:tcPr>
          <w:p>
            <w:pPr>
              <w:spacing w:after="20" w:before="20" w:line="240" w:lineRule="auto"/>
              <w:jc w:val="center"/>
            </w:pPr>
            <w:r/>
            <w:r>
              <w:rPr>
                <w:rFonts w:ascii="Calibri" w:hAnsi="Calibri"/>
                <w:b w:val="0"/>
                <w:sz w:val="15"/>
              </w:rPr>
              <w:t>Must</w:t>
            </w:r>
          </w:p>
        </w:tc>
        <w:tc>
          <w:tcPr>
            <w:tcW w:type="dxa" w:w="737"/>
            <w:shd w:val="clear" w:fill="F7F9FB"/>
          </w:tcPr>
          <w:p>
            <w:pPr>
              <w:spacing w:after="20" w:before="20" w:line="240" w:lineRule="auto"/>
              <w:jc w:val="center"/>
            </w:pPr>
            <w:r/>
            <w:r>
              <w:rPr>
                <w:rFonts w:ascii="Calibri" w:hAnsi="Calibri"/>
                <w:b w:val="0"/>
                <w:sz w:val="15"/>
              </w:rPr>
              <w:t>BR-02</w:t>
            </w:r>
          </w:p>
        </w:tc>
      </w:tr>
      <w:tr>
        <w:tc>
          <w:tcPr>
            <w:tcW w:type="dxa" w:w="680"/>
          </w:tcPr>
          <w:p>
            <w:pPr>
              <w:spacing w:after="20" w:before="20" w:line="240" w:lineRule="auto"/>
              <w:jc w:val="center"/>
            </w:pPr>
            <w:r/>
            <w:r>
              <w:rPr>
                <w:rFonts w:ascii="Calibri" w:hAnsi="Calibri"/>
                <w:b w:val="0"/>
                <w:sz w:val="15"/>
              </w:rPr>
              <w:t>FR-13</w:t>
            </w:r>
          </w:p>
        </w:tc>
        <w:tc>
          <w:tcPr>
            <w:tcW w:type="dxa" w:w="1757"/>
          </w:tcPr>
          <w:p>
            <w:pPr>
              <w:spacing w:after="20" w:before="20" w:line="240" w:lineRule="auto"/>
            </w:pPr>
            <w:r/>
            <w:r>
              <w:rPr>
                <w:rFonts w:ascii="Calibri" w:hAnsi="Calibri"/>
                <w:b w:val="0"/>
                <w:sz w:val="15"/>
              </w:rPr>
              <w:t>Open commitments</w:t>
            </w:r>
          </w:p>
        </w:tc>
        <w:tc>
          <w:tcPr>
            <w:tcW w:type="dxa" w:w="2438"/>
          </w:tcPr>
          <w:p>
            <w:pPr>
              <w:spacing w:after="20" w:before="20" w:line="240" w:lineRule="auto"/>
            </w:pPr>
            <w:r/>
            <w:r>
              <w:rPr>
                <w:rFonts w:ascii="Calibri" w:hAnsi="Calibri"/>
                <w:b w:val="0"/>
                <w:sz w:val="15"/>
              </w:rPr>
              <w:t>Report the value and quantity of purchase orders not yet fully received, by project and item, in-transit or pending.</w:t>
            </w:r>
          </w:p>
        </w:tc>
        <w:tc>
          <w:tcPr>
            <w:tcW w:type="dxa" w:w="2835"/>
          </w:tcPr>
          <w:p>
            <w:pPr>
              <w:spacing w:after="20" w:before="20" w:line="240" w:lineRule="auto"/>
            </w:pPr>
            <w:r/>
            <w:r>
              <w:rPr>
                <w:rFonts w:ascii="Calibri" w:hAnsi="Calibri"/>
                <w:b w:val="0"/>
                <w:sz w:val="15"/>
              </w:rPr>
              <w:t>Open commitment equals ordered quantity less received quantity, valued at PO unit price; cancelled orders excluded.</w:t>
            </w:r>
          </w:p>
        </w:tc>
        <w:tc>
          <w:tcPr>
            <w:tcW w:type="dxa" w:w="850"/>
          </w:tcPr>
          <w:p>
            <w:pPr>
              <w:spacing w:after="20" w:before="20" w:line="240" w:lineRule="auto"/>
              <w:jc w:val="center"/>
            </w:pPr>
            <w:r/>
            <w:r>
              <w:rPr>
                <w:rFonts w:ascii="Calibri" w:hAnsi="Calibri"/>
                <w:b w:val="0"/>
                <w:sz w:val="15"/>
              </w:rPr>
              <w:t>Must</w:t>
            </w:r>
          </w:p>
        </w:tc>
        <w:tc>
          <w:tcPr>
            <w:tcW w:type="dxa" w:w="737"/>
          </w:tcPr>
          <w:p>
            <w:pPr>
              <w:spacing w:after="20" w:before="20" w:line="240" w:lineRule="auto"/>
              <w:jc w:val="center"/>
            </w:pPr>
            <w:r/>
            <w:r>
              <w:rPr>
                <w:rFonts w:ascii="Calibri" w:hAnsi="Calibri"/>
                <w:b w:val="0"/>
                <w:sz w:val="15"/>
              </w:rPr>
              <w:t>BR-02</w:t>
            </w:r>
          </w:p>
        </w:tc>
      </w:tr>
      <w:tr>
        <w:tc>
          <w:tcPr>
            <w:tcW w:type="dxa" w:w="680"/>
            <w:shd w:val="clear" w:fill="F7F9FB"/>
          </w:tcPr>
          <w:p>
            <w:pPr>
              <w:spacing w:after="20" w:before="20" w:line="240" w:lineRule="auto"/>
              <w:jc w:val="center"/>
            </w:pPr>
            <w:r/>
            <w:r>
              <w:rPr>
                <w:rFonts w:ascii="Calibri" w:hAnsi="Calibri"/>
                <w:b w:val="0"/>
                <w:sz w:val="15"/>
              </w:rPr>
              <w:t>FR-14</w:t>
            </w:r>
          </w:p>
        </w:tc>
        <w:tc>
          <w:tcPr>
            <w:tcW w:type="dxa" w:w="1757"/>
            <w:shd w:val="clear" w:fill="F7F9FB"/>
          </w:tcPr>
          <w:p>
            <w:pPr>
              <w:spacing w:after="20" w:before="20" w:line="240" w:lineRule="auto"/>
            </w:pPr>
            <w:r/>
            <w:r>
              <w:rPr>
                <w:rFonts w:ascii="Calibri" w:hAnsi="Calibri"/>
                <w:b w:val="0"/>
                <w:sz w:val="15"/>
              </w:rPr>
              <w:t>Cost per beneficiary</w:t>
            </w:r>
          </w:p>
        </w:tc>
        <w:tc>
          <w:tcPr>
            <w:tcW w:type="dxa" w:w="2438"/>
            <w:shd w:val="clear" w:fill="F7F9FB"/>
          </w:tcPr>
          <w:p>
            <w:pPr>
              <w:spacing w:after="20" w:before="20" w:line="240" w:lineRule="auto"/>
            </w:pPr>
            <w:r/>
            <w:r>
              <w:rPr>
                <w:rFonts w:ascii="Calibri" w:hAnsi="Calibri"/>
                <w:b w:val="0"/>
                <w:sz w:val="15"/>
              </w:rPr>
              <w:t>Calculate product consumption value per beneficiary served for each project and month, plus year-to-date.</w:t>
            </w:r>
          </w:p>
        </w:tc>
        <w:tc>
          <w:tcPr>
            <w:tcW w:type="dxa" w:w="2835"/>
            <w:shd w:val="clear" w:fill="F7F9FB"/>
          </w:tcPr>
          <w:p>
            <w:pPr>
              <w:spacing w:after="20" w:before="20" w:line="240" w:lineRule="auto"/>
            </w:pPr>
            <w:r/>
            <w:r>
              <w:rPr>
                <w:rFonts w:ascii="Calibri" w:hAnsi="Calibri"/>
                <w:b w:val="0"/>
                <w:sz w:val="15"/>
              </w:rPr>
              <w:t>Consumption value divided by beneficiaries served for the same project and month; blank if the denominator is zero, with a note.</w:t>
            </w:r>
          </w:p>
        </w:tc>
        <w:tc>
          <w:tcPr>
            <w:tcW w:type="dxa" w:w="850"/>
            <w:shd w:val="clear" w:fill="F7F9FB"/>
          </w:tcPr>
          <w:p>
            <w:pPr>
              <w:spacing w:after="20" w:before="20" w:line="240" w:lineRule="auto"/>
              <w:jc w:val="center"/>
            </w:pPr>
            <w:r/>
            <w:r>
              <w:rPr>
                <w:rFonts w:ascii="Calibri" w:hAnsi="Calibri"/>
                <w:b w:val="0"/>
                <w:sz w:val="15"/>
              </w:rPr>
              <w:t>Should</w:t>
            </w:r>
          </w:p>
        </w:tc>
        <w:tc>
          <w:tcPr>
            <w:tcW w:type="dxa" w:w="737"/>
            <w:shd w:val="clear" w:fill="F7F9FB"/>
          </w:tcPr>
          <w:p>
            <w:pPr>
              <w:spacing w:after="20" w:before="20" w:line="240" w:lineRule="auto"/>
              <w:jc w:val="center"/>
            </w:pPr>
            <w:r/>
            <w:r>
              <w:rPr>
                <w:rFonts w:ascii="Calibri" w:hAnsi="Calibri"/>
                <w:b w:val="0"/>
                <w:sz w:val="15"/>
              </w:rPr>
              <w:t>BR-05</w:t>
            </w:r>
          </w:p>
        </w:tc>
      </w:tr>
      <w:tr>
        <w:tc>
          <w:tcPr>
            <w:tcW w:type="dxa" w:w="680"/>
          </w:tcPr>
          <w:p>
            <w:pPr>
              <w:spacing w:after="20" w:before="20" w:line="240" w:lineRule="auto"/>
              <w:jc w:val="center"/>
            </w:pPr>
            <w:r/>
            <w:r>
              <w:rPr>
                <w:rFonts w:ascii="Calibri" w:hAnsi="Calibri"/>
                <w:b w:val="0"/>
                <w:sz w:val="15"/>
              </w:rPr>
              <w:t>FR-15</w:t>
            </w:r>
          </w:p>
        </w:tc>
        <w:tc>
          <w:tcPr>
            <w:tcW w:type="dxa" w:w="1757"/>
          </w:tcPr>
          <w:p>
            <w:pPr>
              <w:spacing w:after="20" w:before="20" w:line="240" w:lineRule="auto"/>
            </w:pPr>
            <w:r/>
            <w:r>
              <w:rPr>
                <w:rFonts w:ascii="Calibri" w:hAnsi="Calibri"/>
                <w:b w:val="0"/>
                <w:sz w:val="15"/>
              </w:rPr>
              <w:t>Cost per patient visit</w:t>
            </w:r>
          </w:p>
        </w:tc>
        <w:tc>
          <w:tcPr>
            <w:tcW w:type="dxa" w:w="2438"/>
          </w:tcPr>
          <w:p>
            <w:pPr>
              <w:spacing w:after="20" w:before="20" w:line="240" w:lineRule="auto"/>
            </w:pPr>
            <w:r/>
            <w:r>
              <w:rPr>
                <w:rFonts w:ascii="Calibri" w:hAnsi="Calibri"/>
                <w:b w:val="0"/>
                <w:sz w:val="15"/>
              </w:rPr>
              <w:t>Calculate product consumption value per patient visit for each project and month.</w:t>
            </w:r>
          </w:p>
        </w:tc>
        <w:tc>
          <w:tcPr>
            <w:tcW w:type="dxa" w:w="2835"/>
          </w:tcPr>
          <w:p>
            <w:pPr>
              <w:spacing w:after="20" w:before="20" w:line="240" w:lineRule="auto"/>
            </w:pPr>
            <w:r/>
            <w:r>
              <w:rPr>
                <w:rFonts w:ascii="Calibri" w:hAnsi="Calibri"/>
                <w:b w:val="0"/>
                <w:sz w:val="15"/>
              </w:rPr>
              <w:t>As above using patient visits as denominator.</w:t>
            </w:r>
          </w:p>
        </w:tc>
        <w:tc>
          <w:tcPr>
            <w:tcW w:type="dxa" w:w="850"/>
          </w:tcPr>
          <w:p>
            <w:pPr>
              <w:spacing w:after="20" w:before="20" w:line="240" w:lineRule="auto"/>
              <w:jc w:val="center"/>
            </w:pPr>
            <w:r/>
            <w:r>
              <w:rPr>
                <w:rFonts w:ascii="Calibri" w:hAnsi="Calibri"/>
                <w:b w:val="0"/>
                <w:sz w:val="15"/>
              </w:rPr>
              <w:t>Should</w:t>
            </w:r>
          </w:p>
        </w:tc>
        <w:tc>
          <w:tcPr>
            <w:tcW w:type="dxa" w:w="737"/>
          </w:tcPr>
          <w:p>
            <w:pPr>
              <w:spacing w:after="20" w:before="20" w:line="240" w:lineRule="auto"/>
              <w:jc w:val="center"/>
            </w:pPr>
            <w:r/>
            <w:r>
              <w:rPr>
                <w:rFonts w:ascii="Calibri" w:hAnsi="Calibri"/>
                <w:b w:val="0"/>
                <w:sz w:val="15"/>
              </w:rPr>
              <w:t>BR-05</w:t>
            </w:r>
          </w:p>
        </w:tc>
      </w:tr>
      <w:tr>
        <w:tc>
          <w:tcPr>
            <w:tcW w:type="dxa" w:w="680"/>
            <w:shd w:val="clear" w:fill="F7F9FB"/>
          </w:tcPr>
          <w:p>
            <w:pPr>
              <w:spacing w:after="20" w:before="20" w:line="240" w:lineRule="auto"/>
              <w:jc w:val="center"/>
            </w:pPr>
            <w:r/>
            <w:r>
              <w:rPr>
                <w:rFonts w:ascii="Calibri" w:hAnsi="Calibri"/>
                <w:b w:val="0"/>
                <w:sz w:val="15"/>
              </w:rPr>
              <w:t>FR-16</w:t>
            </w:r>
          </w:p>
        </w:tc>
        <w:tc>
          <w:tcPr>
            <w:tcW w:type="dxa" w:w="1757"/>
            <w:shd w:val="clear" w:fill="F7F9FB"/>
          </w:tcPr>
          <w:p>
            <w:pPr>
              <w:spacing w:after="20" w:before="20" w:line="240" w:lineRule="auto"/>
            </w:pPr>
            <w:r/>
            <w:r>
              <w:rPr>
                <w:rFonts w:ascii="Calibri" w:hAnsi="Calibri"/>
                <w:b w:val="0"/>
                <w:sz w:val="15"/>
              </w:rPr>
              <w:t>Consumption per capita of service volume trend</w:t>
            </w:r>
          </w:p>
        </w:tc>
        <w:tc>
          <w:tcPr>
            <w:tcW w:type="dxa" w:w="2438"/>
            <w:shd w:val="clear" w:fill="F7F9FB"/>
          </w:tcPr>
          <w:p>
            <w:pPr>
              <w:spacing w:after="20" w:before="20" w:line="240" w:lineRule="auto"/>
            </w:pPr>
            <w:r/>
            <w:r>
              <w:rPr>
                <w:rFonts w:ascii="Calibri" w:hAnsi="Calibri"/>
                <w:b w:val="0"/>
                <w:sz w:val="15"/>
              </w:rPr>
              <w:t>Chart cost per beneficiary over time to show efficiency movement independently of price inflation.</w:t>
            </w:r>
          </w:p>
        </w:tc>
        <w:tc>
          <w:tcPr>
            <w:tcW w:type="dxa" w:w="2835"/>
            <w:shd w:val="clear" w:fill="F7F9FB"/>
          </w:tcPr>
          <w:p>
            <w:pPr>
              <w:spacing w:after="20" w:before="20" w:line="240" w:lineRule="auto"/>
            </w:pPr>
            <w:r/>
            <w:r>
              <w:rPr>
                <w:rFonts w:ascii="Calibri" w:hAnsi="Calibri"/>
                <w:b w:val="0"/>
                <w:sz w:val="15"/>
              </w:rPr>
              <w:t>Chart uses a constant-unit-cost option in addition to actual cost, so price effect can be separated from volume effect.</w:t>
            </w:r>
          </w:p>
        </w:tc>
        <w:tc>
          <w:tcPr>
            <w:tcW w:type="dxa" w:w="850"/>
            <w:shd w:val="clear" w:fill="F7F9FB"/>
          </w:tcPr>
          <w:p>
            <w:pPr>
              <w:spacing w:after="20" w:before="20" w:line="240" w:lineRule="auto"/>
              <w:jc w:val="center"/>
            </w:pPr>
            <w:r/>
            <w:r>
              <w:rPr>
                <w:rFonts w:ascii="Calibri" w:hAnsi="Calibri"/>
                <w:b w:val="0"/>
                <w:sz w:val="15"/>
              </w:rPr>
              <w:t>Could</w:t>
            </w:r>
          </w:p>
        </w:tc>
        <w:tc>
          <w:tcPr>
            <w:tcW w:type="dxa" w:w="737"/>
            <w:shd w:val="clear" w:fill="F7F9FB"/>
          </w:tcPr>
          <w:p>
            <w:pPr>
              <w:spacing w:after="20" w:before="20" w:line="240" w:lineRule="auto"/>
              <w:jc w:val="center"/>
            </w:pPr>
            <w:r/>
            <w:r>
              <w:rPr>
                <w:rFonts w:ascii="Calibri" w:hAnsi="Calibri"/>
                <w:b w:val="0"/>
                <w:sz w:val="15"/>
              </w:rPr>
              <w:t>BR-05</w:t>
            </w:r>
          </w:p>
        </w:tc>
      </w:tr>
      <w:tr>
        <w:tc>
          <w:tcPr>
            <w:tcW w:type="dxa" w:w="680"/>
          </w:tcPr>
          <w:p>
            <w:pPr>
              <w:spacing w:after="20" w:before="20" w:line="240" w:lineRule="auto"/>
              <w:jc w:val="center"/>
            </w:pPr>
            <w:r/>
            <w:r>
              <w:rPr>
                <w:rFonts w:ascii="Calibri" w:hAnsi="Calibri"/>
                <w:b w:val="0"/>
                <w:sz w:val="15"/>
              </w:rPr>
              <w:t>FR-17</w:t>
            </w:r>
          </w:p>
        </w:tc>
        <w:tc>
          <w:tcPr>
            <w:tcW w:type="dxa" w:w="1757"/>
          </w:tcPr>
          <w:p>
            <w:pPr>
              <w:spacing w:after="20" w:before="20" w:line="240" w:lineRule="auto"/>
            </w:pPr>
            <w:r/>
            <w:r>
              <w:rPr>
                <w:rFonts w:ascii="Calibri" w:hAnsi="Calibri"/>
                <w:b w:val="0"/>
                <w:sz w:val="15"/>
              </w:rPr>
              <w:t>Budget versus consumption</w:t>
            </w:r>
          </w:p>
        </w:tc>
        <w:tc>
          <w:tcPr>
            <w:tcW w:type="dxa" w:w="2438"/>
          </w:tcPr>
          <w:p>
            <w:pPr>
              <w:spacing w:after="20" w:before="20" w:line="240" w:lineRule="auto"/>
            </w:pPr>
            <w:r/>
            <w:r>
              <w:rPr>
                <w:rFonts w:ascii="Calibri" w:hAnsi="Calibri"/>
                <w:b w:val="0"/>
                <w:sz w:val="15"/>
              </w:rPr>
              <w:t>Compare consumption with budget by project, fiscal year and expense category, with variance and utilisation percentage.</w:t>
            </w:r>
          </w:p>
        </w:tc>
        <w:tc>
          <w:tcPr>
            <w:tcW w:type="dxa" w:w="2835"/>
          </w:tcPr>
          <w:p>
            <w:pPr>
              <w:spacing w:after="20" w:before="20" w:line="240" w:lineRule="auto"/>
            </w:pPr>
            <w:r/>
            <w:r>
              <w:rPr>
                <w:rFonts w:ascii="Calibri" w:hAnsi="Calibri"/>
                <w:b w:val="0"/>
                <w:sz w:val="15"/>
              </w:rPr>
              <w:t>Variance equals budget − consumption; utilisation equals consumption ÷ budget; categories without budget are flagged.</w:t>
            </w:r>
          </w:p>
        </w:tc>
        <w:tc>
          <w:tcPr>
            <w:tcW w:type="dxa" w:w="850"/>
          </w:tcPr>
          <w:p>
            <w:pPr>
              <w:spacing w:after="20" w:before="20" w:line="240" w:lineRule="auto"/>
              <w:jc w:val="center"/>
            </w:pPr>
            <w:r/>
            <w:r>
              <w:rPr>
                <w:rFonts w:ascii="Calibri" w:hAnsi="Calibri"/>
                <w:b w:val="0"/>
                <w:sz w:val="15"/>
              </w:rPr>
              <w:t>Must</w:t>
            </w:r>
          </w:p>
        </w:tc>
        <w:tc>
          <w:tcPr>
            <w:tcW w:type="dxa" w:w="737"/>
          </w:tcPr>
          <w:p>
            <w:pPr>
              <w:spacing w:after="20" w:before="20" w:line="240" w:lineRule="auto"/>
              <w:jc w:val="center"/>
            </w:pPr>
            <w:r/>
            <w:r>
              <w:rPr>
                <w:rFonts w:ascii="Calibri" w:hAnsi="Calibri"/>
                <w:b w:val="0"/>
                <w:sz w:val="15"/>
              </w:rPr>
              <w:t>BR-09</w:t>
            </w:r>
          </w:p>
        </w:tc>
      </w:tr>
      <w:tr>
        <w:tc>
          <w:tcPr>
            <w:tcW w:type="dxa" w:w="680"/>
            <w:shd w:val="clear" w:fill="F7F9FB"/>
          </w:tcPr>
          <w:p>
            <w:pPr>
              <w:spacing w:after="20" w:before="20" w:line="240" w:lineRule="auto"/>
              <w:jc w:val="center"/>
            </w:pPr>
            <w:r/>
            <w:r>
              <w:rPr>
                <w:rFonts w:ascii="Calibri" w:hAnsi="Calibri"/>
                <w:b w:val="0"/>
                <w:sz w:val="15"/>
              </w:rPr>
              <w:t>FR-18</w:t>
            </w:r>
          </w:p>
        </w:tc>
        <w:tc>
          <w:tcPr>
            <w:tcW w:type="dxa" w:w="1757"/>
            <w:shd w:val="clear" w:fill="F7F9FB"/>
          </w:tcPr>
          <w:p>
            <w:pPr>
              <w:spacing w:after="20" w:before="20" w:line="240" w:lineRule="auto"/>
            </w:pPr>
            <w:r/>
            <w:r>
              <w:rPr>
                <w:rFonts w:ascii="Calibri" w:hAnsi="Calibri"/>
                <w:b w:val="0"/>
                <w:sz w:val="15"/>
              </w:rPr>
              <w:t>Burn rate and projection</w:t>
            </w:r>
          </w:p>
        </w:tc>
        <w:tc>
          <w:tcPr>
            <w:tcW w:type="dxa" w:w="2438"/>
            <w:shd w:val="clear" w:fill="F7F9FB"/>
          </w:tcPr>
          <w:p>
            <w:pPr>
              <w:spacing w:after="20" w:before="20" w:line="240" w:lineRule="auto"/>
            </w:pPr>
            <w:r/>
            <w:r>
              <w:rPr>
                <w:rFonts w:ascii="Calibri" w:hAnsi="Calibri"/>
                <w:b w:val="0"/>
                <w:sz w:val="15"/>
              </w:rPr>
              <w:t>Show average monthly consumption against available budget and project a simple straight-line year-end position.</w:t>
            </w:r>
          </w:p>
        </w:tc>
        <w:tc>
          <w:tcPr>
            <w:tcW w:type="dxa" w:w="2835"/>
            <w:shd w:val="clear" w:fill="F7F9FB"/>
          </w:tcPr>
          <w:p>
            <w:pPr>
              <w:spacing w:after="20" w:before="20" w:line="240" w:lineRule="auto"/>
            </w:pPr>
            <w:r/>
            <w:r>
              <w:rPr>
                <w:rFonts w:ascii="Calibri" w:hAnsi="Calibri"/>
                <w:b w:val="0"/>
                <w:sz w:val="15"/>
              </w:rPr>
              <w:t>Projection equals year-to-date consumption plus average monthly consumption × remaining months.</w:t>
            </w:r>
          </w:p>
        </w:tc>
        <w:tc>
          <w:tcPr>
            <w:tcW w:type="dxa" w:w="850"/>
            <w:shd w:val="clear" w:fill="F7F9FB"/>
          </w:tcPr>
          <w:p>
            <w:pPr>
              <w:spacing w:after="20" w:before="20" w:line="240" w:lineRule="auto"/>
              <w:jc w:val="center"/>
            </w:pPr>
            <w:r/>
            <w:r>
              <w:rPr>
                <w:rFonts w:ascii="Calibri" w:hAnsi="Calibri"/>
                <w:b w:val="0"/>
                <w:sz w:val="15"/>
              </w:rPr>
              <w:t>Should</w:t>
            </w:r>
          </w:p>
        </w:tc>
        <w:tc>
          <w:tcPr>
            <w:tcW w:type="dxa" w:w="737"/>
            <w:shd w:val="clear" w:fill="F7F9FB"/>
          </w:tcPr>
          <w:p>
            <w:pPr>
              <w:spacing w:after="20" w:before="20" w:line="240" w:lineRule="auto"/>
              <w:jc w:val="center"/>
            </w:pPr>
            <w:r/>
            <w:r>
              <w:rPr>
                <w:rFonts w:ascii="Calibri" w:hAnsi="Calibri"/>
                <w:b w:val="0"/>
                <w:sz w:val="15"/>
              </w:rPr>
              <w:t>BR-09</w:t>
            </w:r>
          </w:p>
        </w:tc>
      </w:tr>
      <w:tr>
        <w:tc>
          <w:tcPr>
            <w:tcW w:type="dxa" w:w="680"/>
          </w:tcPr>
          <w:p>
            <w:pPr>
              <w:spacing w:after="20" w:before="20" w:line="240" w:lineRule="auto"/>
              <w:jc w:val="center"/>
            </w:pPr>
            <w:r/>
            <w:r>
              <w:rPr>
                <w:rFonts w:ascii="Calibri" w:hAnsi="Calibri"/>
                <w:b w:val="0"/>
                <w:sz w:val="15"/>
              </w:rPr>
              <w:t>FR-19</w:t>
            </w:r>
          </w:p>
        </w:tc>
        <w:tc>
          <w:tcPr>
            <w:tcW w:type="dxa" w:w="1757"/>
          </w:tcPr>
          <w:p>
            <w:pPr>
              <w:spacing w:after="20" w:before="20" w:line="240" w:lineRule="auto"/>
            </w:pPr>
            <w:r/>
            <w:r>
              <w:rPr>
                <w:rFonts w:ascii="Calibri" w:hAnsi="Calibri"/>
                <w:b w:val="0"/>
                <w:sz w:val="15"/>
              </w:rPr>
              <w:t>Stock on hand and days of cover</w:t>
            </w:r>
          </w:p>
        </w:tc>
        <w:tc>
          <w:tcPr>
            <w:tcW w:type="dxa" w:w="2438"/>
          </w:tcPr>
          <w:p>
            <w:pPr>
              <w:spacing w:after="20" w:before="20" w:line="240" w:lineRule="auto"/>
            </w:pPr>
            <w:r/>
            <w:r>
              <w:rPr>
                <w:rFonts w:ascii="Calibri" w:hAnsi="Calibri"/>
                <w:b w:val="0"/>
                <w:sz w:val="15"/>
              </w:rPr>
              <w:t>Report closing quantity and value on hand per item and warehouse, with days of cover based on recent consumption.</w:t>
            </w:r>
          </w:p>
        </w:tc>
        <w:tc>
          <w:tcPr>
            <w:tcW w:type="dxa" w:w="2835"/>
          </w:tcPr>
          <w:p>
            <w:pPr>
              <w:spacing w:after="20" w:before="20" w:line="240" w:lineRule="auto"/>
            </w:pPr>
            <w:r/>
            <w:r>
              <w:rPr>
                <w:rFonts w:ascii="Calibri" w:hAnsi="Calibri"/>
                <w:b w:val="0"/>
                <w:sz w:val="15"/>
              </w:rPr>
              <w:t>On hand equals receipts less issues (plus opening) to the period end; days of cover equals on hand ÷ average daily consumption over the selected lookback.</w:t>
            </w:r>
          </w:p>
        </w:tc>
        <w:tc>
          <w:tcPr>
            <w:tcW w:type="dxa" w:w="850"/>
          </w:tcPr>
          <w:p>
            <w:pPr>
              <w:spacing w:after="20" w:before="20" w:line="240" w:lineRule="auto"/>
              <w:jc w:val="center"/>
            </w:pPr>
            <w:r/>
            <w:r>
              <w:rPr>
                <w:rFonts w:ascii="Calibri" w:hAnsi="Calibri"/>
                <w:b w:val="0"/>
                <w:sz w:val="15"/>
              </w:rPr>
              <w:t>Must</w:t>
            </w:r>
          </w:p>
        </w:tc>
        <w:tc>
          <w:tcPr>
            <w:tcW w:type="dxa" w:w="737"/>
          </w:tcPr>
          <w:p>
            <w:pPr>
              <w:spacing w:after="20" w:before="20" w:line="240" w:lineRule="auto"/>
              <w:jc w:val="center"/>
            </w:pPr>
            <w:r/>
            <w:r>
              <w:rPr>
                <w:rFonts w:ascii="Calibri" w:hAnsi="Calibri"/>
                <w:b w:val="0"/>
                <w:sz w:val="15"/>
              </w:rPr>
              <w:t>BR-06</w:t>
            </w:r>
          </w:p>
        </w:tc>
      </w:tr>
      <w:tr>
        <w:tc>
          <w:tcPr>
            <w:tcW w:type="dxa" w:w="680"/>
            <w:shd w:val="clear" w:fill="F7F9FB"/>
          </w:tcPr>
          <w:p>
            <w:pPr>
              <w:spacing w:after="20" w:before="20" w:line="240" w:lineRule="auto"/>
              <w:jc w:val="center"/>
            </w:pPr>
            <w:r/>
            <w:r>
              <w:rPr>
                <w:rFonts w:ascii="Calibri" w:hAnsi="Calibri"/>
                <w:b w:val="0"/>
                <w:sz w:val="15"/>
              </w:rPr>
              <w:t>FR-20</w:t>
            </w:r>
          </w:p>
        </w:tc>
        <w:tc>
          <w:tcPr>
            <w:tcW w:type="dxa" w:w="1757"/>
            <w:shd w:val="clear" w:fill="F7F9FB"/>
          </w:tcPr>
          <w:p>
            <w:pPr>
              <w:spacing w:after="20" w:before="20" w:line="240" w:lineRule="auto"/>
            </w:pPr>
            <w:r/>
            <w:r>
              <w:rPr>
                <w:rFonts w:ascii="Calibri" w:hAnsi="Calibri"/>
                <w:b w:val="0"/>
                <w:sz w:val="15"/>
              </w:rPr>
              <w:t>Stock turnover and slow-moving items</w:t>
            </w:r>
          </w:p>
        </w:tc>
        <w:tc>
          <w:tcPr>
            <w:tcW w:type="dxa" w:w="2438"/>
            <w:shd w:val="clear" w:fill="F7F9FB"/>
          </w:tcPr>
          <w:p>
            <w:pPr>
              <w:spacing w:after="20" w:before="20" w:line="240" w:lineRule="auto"/>
            </w:pPr>
            <w:r/>
            <w:r>
              <w:rPr>
                <w:rFonts w:ascii="Calibri" w:hAnsi="Calibri"/>
                <w:b w:val="0"/>
                <w:sz w:val="15"/>
              </w:rPr>
              <w:t>Identify items with no or low consumption in the last 3, 6 and 12 months, with quantity and value held.</w:t>
            </w:r>
          </w:p>
        </w:tc>
        <w:tc>
          <w:tcPr>
            <w:tcW w:type="dxa" w:w="2835"/>
            <w:shd w:val="clear" w:fill="F7F9FB"/>
          </w:tcPr>
          <w:p>
            <w:pPr>
              <w:spacing w:after="20" w:before="20" w:line="240" w:lineRule="auto"/>
            </w:pPr>
            <w:r/>
            <w:r>
              <w:rPr>
                <w:rFonts w:ascii="Calibri" w:hAnsi="Calibri"/>
                <w:b w:val="0"/>
                <w:sz w:val="15"/>
              </w:rPr>
              <w:t>An item appears in the 6-month list only if it had zero issues in the last 6 months and positive stock on hand.</w:t>
            </w:r>
          </w:p>
        </w:tc>
        <w:tc>
          <w:tcPr>
            <w:tcW w:type="dxa" w:w="850"/>
            <w:shd w:val="clear" w:fill="F7F9FB"/>
          </w:tcPr>
          <w:p>
            <w:pPr>
              <w:spacing w:after="20" w:before="20" w:line="240" w:lineRule="auto"/>
              <w:jc w:val="center"/>
            </w:pPr>
            <w:r/>
            <w:r>
              <w:rPr>
                <w:rFonts w:ascii="Calibri" w:hAnsi="Calibri"/>
                <w:b w:val="0"/>
                <w:sz w:val="15"/>
              </w:rPr>
              <w:t>Must</w:t>
            </w:r>
          </w:p>
        </w:tc>
        <w:tc>
          <w:tcPr>
            <w:tcW w:type="dxa" w:w="737"/>
            <w:shd w:val="clear" w:fill="F7F9FB"/>
          </w:tcPr>
          <w:p>
            <w:pPr>
              <w:spacing w:after="20" w:before="20" w:line="240" w:lineRule="auto"/>
              <w:jc w:val="center"/>
            </w:pPr>
            <w:r/>
            <w:r>
              <w:rPr>
                <w:rFonts w:ascii="Calibri" w:hAnsi="Calibri"/>
                <w:b w:val="0"/>
                <w:sz w:val="15"/>
              </w:rPr>
              <w:t>BR-06</w:t>
            </w:r>
          </w:p>
        </w:tc>
      </w:tr>
      <w:tr>
        <w:tc>
          <w:tcPr>
            <w:tcW w:type="dxa" w:w="680"/>
          </w:tcPr>
          <w:p>
            <w:pPr>
              <w:spacing w:after="20" w:before="20" w:line="240" w:lineRule="auto"/>
              <w:jc w:val="center"/>
            </w:pPr>
            <w:r/>
            <w:r>
              <w:rPr>
                <w:rFonts w:ascii="Calibri" w:hAnsi="Calibri"/>
                <w:b w:val="0"/>
                <w:sz w:val="15"/>
              </w:rPr>
              <w:t>FR-21</w:t>
            </w:r>
          </w:p>
        </w:tc>
        <w:tc>
          <w:tcPr>
            <w:tcW w:type="dxa" w:w="1757"/>
          </w:tcPr>
          <w:p>
            <w:pPr>
              <w:spacing w:after="20" w:before="20" w:line="240" w:lineRule="auto"/>
            </w:pPr>
            <w:r/>
            <w:r>
              <w:rPr>
                <w:rFonts w:ascii="Calibri" w:hAnsi="Calibri"/>
                <w:b w:val="0"/>
                <w:sz w:val="15"/>
              </w:rPr>
              <w:t>Near-expiry and expired stock</w:t>
            </w:r>
          </w:p>
        </w:tc>
        <w:tc>
          <w:tcPr>
            <w:tcW w:type="dxa" w:w="2438"/>
          </w:tcPr>
          <w:p>
            <w:pPr>
              <w:spacing w:after="20" w:before="20" w:line="240" w:lineRule="auto"/>
            </w:pPr>
            <w:r/>
            <w:r>
              <w:rPr>
                <w:rFonts w:ascii="Calibri" w:hAnsi="Calibri"/>
                <w:b w:val="0"/>
                <w:sz w:val="15"/>
              </w:rPr>
              <w:t>List batches expiring within 30, 60, 90 and 180 days, and already expired, with quantity and value at risk.</w:t>
            </w:r>
          </w:p>
        </w:tc>
        <w:tc>
          <w:tcPr>
            <w:tcW w:type="dxa" w:w="2835"/>
          </w:tcPr>
          <w:p>
            <w:pPr>
              <w:spacing w:after="20" w:before="20" w:line="240" w:lineRule="auto"/>
            </w:pPr>
            <w:r/>
            <w:r>
              <w:rPr>
                <w:rFonts w:ascii="Calibri" w:hAnsi="Calibri"/>
                <w:b w:val="0"/>
                <w:sz w:val="15"/>
              </w:rPr>
              <w:t>A batch appears in exactly one bucket by days to expiry from the report date; expired stock is valued and listed separately.</w:t>
            </w:r>
          </w:p>
        </w:tc>
        <w:tc>
          <w:tcPr>
            <w:tcW w:type="dxa" w:w="850"/>
          </w:tcPr>
          <w:p>
            <w:pPr>
              <w:spacing w:after="20" w:before="20" w:line="240" w:lineRule="auto"/>
              <w:jc w:val="center"/>
            </w:pPr>
            <w:r/>
            <w:r>
              <w:rPr>
                <w:rFonts w:ascii="Calibri" w:hAnsi="Calibri"/>
                <w:b w:val="0"/>
                <w:sz w:val="15"/>
              </w:rPr>
              <w:t>Must</w:t>
            </w:r>
          </w:p>
        </w:tc>
        <w:tc>
          <w:tcPr>
            <w:tcW w:type="dxa" w:w="737"/>
          </w:tcPr>
          <w:p>
            <w:pPr>
              <w:spacing w:after="20" w:before="20" w:line="240" w:lineRule="auto"/>
              <w:jc w:val="center"/>
            </w:pPr>
            <w:r/>
            <w:r>
              <w:rPr>
                <w:rFonts w:ascii="Calibri" w:hAnsi="Calibri"/>
                <w:b w:val="0"/>
                <w:sz w:val="15"/>
              </w:rPr>
              <w:t>BR-06</w:t>
            </w:r>
          </w:p>
        </w:tc>
      </w:tr>
      <w:tr>
        <w:tc>
          <w:tcPr>
            <w:tcW w:type="dxa" w:w="680"/>
            <w:shd w:val="clear" w:fill="F7F9FB"/>
          </w:tcPr>
          <w:p>
            <w:pPr>
              <w:spacing w:after="20" w:before="20" w:line="240" w:lineRule="auto"/>
              <w:jc w:val="center"/>
            </w:pPr>
            <w:r/>
            <w:r>
              <w:rPr>
                <w:rFonts w:ascii="Calibri" w:hAnsi="Calibri"/>
                <w:b w:val="0"/>
                <w:sz w:val="15"/>
              </w:rPr>
              <w:t>FR-22</w:t>
            </w:r>
          </w:p>
        </w:tc>
        <w:tc>
          <w:tcPr>
            <w:tcW w:type="dxa" w:w="1757"/>
            <w:shd w:val="clear" w:fill="F7F9FB"/>
          </w:tcPr>
          <w:p>
            <w:pPr>
              <w:spacing w:after="20" w:before="20" w:line="240" w:lineRule="auto"/>
            </w:pPr>
            <w:r/>
            <w:r>
              <w:rPr>
                <w:rFonts w:ascii="Calibri" w:hAnsi="Calibri"/>
                <w:b w:val="0"/>
                <w:sz w:val="15"/>
              </w:rPr>
              <w:t>Stock-out and unmet demand</w:t>
            </w:r>
          </w:p>
        </w:tc>
        <w:tc>
          <w:tcPr>
            <w:tcW w:type="dxa" w:w="2438"/>
            <w:shd w:val="clear" w:fill="F7F9FB"/>
          </w:tcPr>
          <w:p>
            <w:pPr>
              <w:spacing w:after="20" w:before="20" w:line="240" w:lineRule="auto"/>
            </w:pPr>
            <w:r/>
            <w:r>
              <w:rPr>
                <w:rFonts w:ascii="Calibri" w:hAnsi="Calibri"/>
                <w:b w:val="0"/>
                <w:sz w:val="15"/>
              </w:rPr>
              <w:t>Report items and project-months where demand could not be met, plus out-of-stock days where data allows.</w:t>
            </w:r>
          </w:p>
        </w:tc>
        <w:tc>
          <w:tcPr>
            <w:tcW w:type="dxa" w:w="2835"/>
            <w:shd w:val="clear" w:fill="F7F9FB"/>
          </w:tcPr>
          <w:p>
            <w:pPr>
              <w:spacing w:after="20" w:before="20" w:line="240" w:lineRule="auto"/>
            </w:pPr>
            <w:r/>
            <w:r>
              <w:rPr>
                <w:rFonts w:ascii="Calibri" w:hAnsi="Calibri"/>
                <w:b w:val="0"/>
                <w:sz w:val="15"/>
              </w:rPr>
              <w:t>Identified from requisition-to-issue lag or a documented stock-out register; each instance has project, item, month and quantity.</w:t>
            </w:r>
          </w:p>
        </w:tc>
        <w:tc>
          <w:tcPr>
            <w:tcW w:type="dxa" w:w="850"/>
            <w:shd w:val="clear" w:fill="F7F9FB"/>
          </w:tcPr>
          <w:p>
            <w:pPr>
              <w:spacing w:after="20" w:before="20" w:line="240" w:lineRule="auto"/>
              <w:jc w:val="center"/>
            </w:pPr>
            <w:r/>
            <w:r>
              <w:rPr>
                <w:rFonts w:ascii="Calibri" w:hAnsi="Calibri"/>
                <w:b w:val="0"/>
                <w:sz w:val="15"/>
              </w:rPr>
              <w:t>Should</w:t>
            </w:r>
          </w:p>
        </w:tc>
        <w:tc>
          <w:tcPr>
            <w:tcW w:type="dxa" w:w="737"/>
            <w:shd w:val="clear" w:fill="F7F9FB"/>
          </w:tcPr>
          <w:p>
            <w:pPr>
              <w:spacing w:after="20" w:before="20" w:line="240" w:lineRule="auto"/>
              <w:jc w:val="center"/>
            </w:pPr>
            <w:r/>
            <w:r>
              <w:rPr>
                <w:rFonts w:ascii="Calibri" w:hAnsi="Calibri"/>
                <w:b w:val="0"/>
                <w:sz w:val="15"/>
              </w:rPr>
              <w:t>BR-06</w:t>
            </w:r>
          </w:p>
        </w:tc>
      </w:tr>
      <w:tr>
        <w:tc>
          <w:tcPr>
            <w:tcW w:type="dxa" w:w="680"/>
          </w:tcPr>
          <w:p>
            <w:pPr>
              <w:spacing w:after="20" w:before="20" w:line="240" w:lineRule="auto"/>
              <w:jc w:val="center"/>
            </w:pPr>
            <w:r/>
            <w:r>
              <w:rPr>
                <w:rFonts w:ascii="Calibri" w:hAnsi="Calibri"/>
                <w:b w:val="0"/>
                <w:sz w:val="15"/>
              </w:rPr>
              <w:t>FR-23</w:t>
            </w:r>
          </w:p>
        </w:tc>
        <w:tc>
          <w:tcPr>
            <w:tcW w:type="dxa" w:w="1757"/>
          </w:tcPr>
          <w:p>
            <w:pPr>
              <w:spacing w:after="20" w:before="20" w:line="240" w:lineRule="auto"/>
            </w:pPr>
            <w:r/>
            <w:r>
              <w:rPr>
                <w:rFonts w:ascii="Calibri" w:hAnsi="Calibri"/>
                <w:b w:val="0"/>
                <w:sz w:val="15"/>
              </w:rPr>
              <w:t>Wastage and write-off</w:t>
            </w:r>
          </w:p>
        </w:tc>
        <w:tc>
          <w:tcPr>
            <w:tcW w:type="dxa" w:w="2438"/>
          </w:tcPr>
          <w:p>
            <w:pPr>
              <w:spacing w:after="20" w:before="20" w:line="240" w:lineRule="auto"/>
            </w:pPr>
            <w:r/>
            <w:r>
              <w:rPr>
                <w:rFonts w:ascii="Calibri" w:hAnsi="Calibri"/>
                <w:b w:val="0"/>
                <w:sz w:val="15"/>
              </w:rPr>
              <w:t>Record and report wastage, damage and expiry write-offs by project, item and value.</w:t>
            </w:r>
          </w:p>
        </w:tc>
        <w:tc>
          <w:tcPr>
            <w:tcW w:type="dxa" w:w="2835"/>
          </w:tcPr>
          <w:p>
            <w:pPr>
              <w:spacing w:after="20" w:before="20" w:line="240" w:lineRule="auto"/>
            </w:pPr>
            <w:r/>
            <w:r>
              <w:rPr>
                <w:rFonts w:ascii="Calibri" w:hAnsi="Calibri"/>
                <w:b w:val="0"/>
                <w:sz w:val="15"/>
              </w:rPr>
              <w:t>Write-off entries reconcile to approved inventory adjustment documents.</w:t>
            </w:r>
          </w:p>
        </w:tc>
        <w:tc>
          <w:tcPr>
            <w:tcW w:type="dxa" w:w="850"/>
          </w:tcPr>
          <w:p>
            <w:pPr>
              <w:spacing w:after="20" w:before="20" w:line="240" w:lineRule="auto"/>
              <w:jc w:val="center"/>
            </w:pPr>
            <w:r/>
            <w:r>
              <w:rPr>
                <w:rFonts w:ascii="Calibri" w:hAnsi="Calibri"/>
                <w:b w:val="0"/>
                <w:sz w:val="15"/>
              </w:rPr>
              <w:t>Could</w:t>
            </w:r>
          </w:p>
        </w:tc>
        <w:tc>
          <w:tcPr>
            <w:tcW w:type="dxa" w:w="737"/>
          </w:tcPr>
          <w:p>
            <w:pPr>
              <w:spacing w:after="20" w:before="20" w:line="240" w:lineRule="auto"/>
              <w:jc w:val="center"/>
            </w:pPr>
            <w:r/>
            <w:r>
              <w:rPr>
                <w:rFonts w:ascii="Calibri" w:hAnsi="Calibri"/>
                <w:b w:val="0"/>
                <w:sz w:val="15"/>
              </w:rPr>
              <w:t>BR-06</w:t>
            </w:r>
          </w:p>
        </w:tc>
      </w:tr>
      <w:tr>
        <w:tc>
          <w:tcPr>
            <w:tcW w:type="dxa" w:w="680"/>
            <w:shd w:val="clear" w:fill="F7F9FB"/>
          </w:tcPr>
          <w:p>
            <w:pPr>
              <w:spacing w:after="20" w:before="20" w:line="240" w:lineRule="auto"/>
              <w:jc w:val="center"/>
            </w:pPr>
            <w:r/>
            <w:r>
              <w:rPr>
                <w:rFonts w:ascii="Calibri" w:hAnsi="Calibri"/>
                <w:b w:val="0"/>
                <w:sz w:val="15"/>
              </w:rPr>
              <w:t>FR-24</w:t>
            </w:r>
          </w:p>
        </w:tc>
        <w:tc>
          <w:tcPr>
            <w:tcW w:type="dxa" w:w="1757"/>
            <w:shd w:val="clear" w:fill="F7F9FB"/>
          </w:tcPr>
          <w:p>
            <w:pPr>
              <w:spacing w:after="20" w:before="20" w:line="240" w:lineRule="auto"/>
            </w:pPr>
            <w:r/>
            <w:r>
              <w:rPr>
                <w:rFonts w:ascii="Calibri" w:hAnsi="Calibri"/>
                <w:b w:val="0"/>
                <w:sz w:val="15"/>
              </w:rPr>
              <w:t>Price variance and unit price trend</w:t>
            </w:r>
          </w:p>
        </w:tc>
        <w:tc>
          <w:tcPr>
            <w:tcW w:type="dxa" w:w="2438"/>
            <w:shd w:val="clear" w:fill="F7F9FB"/>
          </w:tcPr>
          <w:p>
            <w:pPr>
              <w:spacing w:after="20" w:before="20" w:line="240" w:lineRule="auto"/>
            </w:pPr>
            <w:r/>
            <w:r>
              <w:rPr>
                <w:rFonts w:ascii="Calibri" w:hAnsi="Calibri"/>
                <w:b w:val="0"/>
                <w:sz w:val="15"/>
              </w:rPr>
              <w:t>Show average purchase unit price per item per period and the variance against the prior purchase, standard cost and budget assumption.</w:t>
            </w:r>
          </w:p>
        </w:tc>
        <w:tc>
          <w:tcPr>
            <w:tcW w:type="dxa" w:w="2835"/>
            <w:shd w:val="clear" w:fill="F7F9FB"/>
          </w:tcPr>
          <w:p>
            <w:pPr>
              <w:spacing w:after="20" w:before="20" w:line="240" w:lineRule="auto"/>
            </w:pPr>
            <w:r/>
            <w:r>
              <w:rPr>
                <w:rFonts w:ascii="Calibri" w:hAnsi="Calibri"/>
                <w:b w:val="0"/>
                <w:sz w:val="15"/>
              </w:rPr>
              <w:t>Zero-value and donated lines are excluded from average price and shown separately; method stated on the page.</w:t>
            </w:r>
          </w:p>
        </w:tc>
        <w:tc>
          <w:tcPr>
            <w:tcW w:type="dxa" w:w="850"/>
            <w:shd w:val="clear" w:fill="F7F9FB"/>
          </w:tcPr>
          <w:p>
            <w:pPr>
              <w:spacing w:after="20" w:before="20" w:line="240" w:lineRule="auto"/>
              <w:jc w:val="center"/>
            </w:pPr>
            <w:r/>
            <w:r>
              <w:rPr>
                <w:rFonts w:ascii="Calibri" w:hAnsi="Calibri"/>
                <w:b w:val="0"/>
                <w:sz w:val="15"/>
              </w:rPr>
              <w:t>Should</w:t>
            </w:r>
          </w:p>
        </w:tc>
        <w:tc>
          <w:tcPr>
            <w:tcW w:type="dxa" w:w="737"/>
            <w:shd w:val="clear" w:fill="F7F9FB"/>
          </w:tcPr>
          <w:p>
            <w:pPr>
              <w:spacing w:after="20" w:before="20" w:line="240" w:lineRule="auto"/>
              <w:jc w:val="center"/>
            </w:pPr>
            <w:r/>
            <w:r>
              <w:rPr>
                <w:rFonts w:ascii="Calibri" w:hAnsi="Calibri"/>
                <w:b w:val="0"/>
                <w:sz w:val="15"/>
              </w:rPr>
              <w:t>BR-07</w:t>
            </w:r>
          </w:p>
        </w:tc>
      </w:tr>
      <w:tr>
        <w:tc>
          <w:tcPr>
            <w:tcW w:type="dxa" w:w="680"/>
          </w:tcPr>
          <w:p>
            <w:pPr>
              <w:spacing w:after="20" w:before="20" w:line="240" w:lineRule="auto"/>
              <w:jc w:val="center"/>
            </w:pPr>
            <w:r/>
            <w:r>
              <w:rPr>
                <w:rFonts w:ascii="Calibri" w:hAnsi="Calibri"/>
                <w:b w:val="0"/>
                <w:sz w:val="15"/>
              </w:rPr>
              <w:t>FR-25</w:t>
            </w:r>
          </w:p>
        </w:tc>
        <w:tc>
          <w:tcPr>
            <w:tcW w:type="dxa" w:w="1757"/>
          </w:tcPr>
          <w:p>
            <w:pPr>
              <w:spacing w:after="20" w:before="20" w:line="240" w:lineRule="auto"/>
            </w:pPr>
            <w:r/>
            <w:r>
              <w:rPr>
                <w:rFonts w:ascii="Calibri" w:hAnsi="Calibri"/>
                <w:b w:val="0"/>
                <w:sz w:val="15"/>
              </w:rPr>
              <w:t>Supplier analysis</w:t>
            </w:r>
          </w:p>
        </w:tc>
        <w:tc>
          <w:tcPr>
            <w:tcW w:type="dxa" w:w="2438"/>
          </w:tcPr>
          <w:p>
            <w:pPr>
              <w:spacing w:after="20" w:before="20" w:line="240" w:lineRule="auto"/>
            </w:pPr>
            <w:r/>
            <w:r>
              <w:rPr>
                <w:rFonts w:ascii="Calibri" w:hAnsi="Calibri"/>
                <w:b w:val="0"/>
                <w:sz w:val="15"/>
              </w:rPr>
              <w:t>Compare suppliers on purchase value, average price per item, lead time and order fulfilment (received in full and on time).</w:t>
            </w:r>
          </w:p>
        </w:tc>
        <w:tc>
          <w:tcPr>
            <w:tcW w:type="dxa" w:w="2835"/>
          </w:tcPr>
          <w:p>
            <w:pPr>
              <w:spacing w:after="20" w:before="20" w:line="240" w:lineRule="auto"/>
            </w:pPr>
            <w:r/>
            <w:r>
              <w:rPr>
                <w:rFonts w:ascii="Calibri" w:hAnsi="Calibri"/>
                <w:b w:val="0"/>
                <w:sz w:val="15"/>
              </w:rPr>
              <w:t>Lead time equals GRN date less PO date; fulfilment percentage equals fully received orders ÷ total orders.</w:t>
            </w:r>
          </w:p>
        </w:tc>
        <w:tc>
          <w:tcPr>
            <w:tcW w:type="dxa" w:w="850"/>
          </w:tcPr>
          <w:p>
            <w:pPr>
              <w:spacing w:after="20" w:before="20" w:line="240" w:lineRule="auto"/>
              <w:jc w:val="center"/>
            </w:pPr>
            <w:r/>
            <w:r>
              <w:rPr>
                <w:rFonts w:ascii="Calibri" w:hAnsi="Calibri"/>
                <w:b w:val="0"/>
                <w:sz w:val="15"/>
              </w:rPr>
              <w:t>Should</w:t>
            </w:r>
          </w:p>
        </w:tc>
        <w:tc>
          <w:tcPr>
            <w:tcW w:type="dxa" w:w="737"/>
          </w:tcPr>
          <w:p>
            <w:pPr>
              <w:spacing w:after="20" w:before="20" w:line="240" w:lineRule="auto"/>
              <w:jc w:val="center"/>
            </w:pPr>
            <w:r/>
            <w:r>
              <w:rPr>
                <w:rFonts w:ascii="Calibri" w:hAnsi="Calibri"/>
                <w:b w:val="0"/>
                <w:sz w:val="15"/>
              </w:rPr>
              <w:t>BR-07</w:t>
            </w:r>
          </w:p>
        </w:tc>
      </w:tr>
      <w:tr>
        <w:tc>
          <w:tcPr>
            <w:tcW w:type="dxa" w:w="680"/>
            <w:shd w:val="clear" w:fill="F7F9FB"/>
          </w:tcPr>
          <w:p>
            <w:pPr>
              <w:spacing w:after="20" w:before="20" w:line="240" w:lineRule="auto"/>
              <w:jc w:val="center"/>
            </w:pPr>
            <w:r/>
            <w:r>
              <w:rPr>
                <w:rFonts w:ascii="Calibri" w:hAnsi="Calibri"/>
                <w:b w:val="0"/>
                <w:sz w:val="15"/>
              </w:rPr>
              <w:t>FR-26</w:t>
            </w:r>
          </w:p>
        </w:tc>
        <w:tc>
          <w:tcPr>
            <w:tcW w:type="dxa" w:w="1757"/>
            <w:shd w:val="clear" w:fill="F7F9FB"/>
          </w:tcPr>
          <w:p>
            <w:pPr>
              <w:spacing w:after="20" w:before="20" w:line="240" w:lineRule="auto"/>
            </w:pPr>
            <w:r/>
            <w:r>
              <w:rPr>
                <w:rFonts w:ascii="Calibri" w:hAnsi="Calibri"/>
                <w:b w:val="0"/>
                <w:sz w:val="15"/>
              </w:rPr>
              <w:t>Warehouse and location analysis</w:t>
            </w:r>
          </w:p>
        </w:tc>
        <w:tc>
          <w:tcPr>
            <w:tcW w:type="dxa" w:w="2438"/>
            <w:shd w:val="clear" w:fill="F7F9FB"/>
          </w:tcPr>
          <w:p>
            <w:pPr>
              <w:spacing w:after="20" w:before="20" w:line="240" w:lineRule="auto"/>
            </w:pPr>
            <w:r/>
            <w:r>
              <w:rPr>
                <w:rFonts w:ascii="Calibri" w:hAnsi="Calibri"/>
                <w:b w:val="0"/>
                <w:sz w:val="15"/>
              </w:rPr>
              <w:t>Show consumption and stock by warehouse and district, including transfer movements between stores.</w:t>
            </w:r>
          </w:p>
        </w:tc>
        <w:tc>
          <w:tcPr>
            <w:tcW w:type="dxa" w:w="2835"/>
            <w:shd w:val="clear" w:fill="F7F9FB"/>
          </w:tcPr>
          <w:p>
            <w:pPr>
              <w:spacing w:after="20" w:before="20" w:line="240" w:lineRule="auto"/>
            </w:pPr>
            <w:r/>
            <w:r>
              <w:rPr>
                <w:rFonts w:ascii="Calibri" w:hAnsi="Calibri"/>
                <w:b w:val="0"/>
                <w:sz w:val="15"/>
              </w:rPr>
              <w:t>Inter-store transfers are shown separately and excluded from project consumption value to avoid double counting.</w:t>
            </w:r>
          </w:p>
        </w:tc>
        <w:tc>
          <w:tcPr>
            <w:tcW w:type="dxa" w:w="850"/>
            <w:shd w:val="clear" w:fill="F7F9FB"/>
          </w:tcPr>
          <w:p>
            <w:pPr>
              <w:spacing w:after="20" w:before="20" w:line="240" w:lineRule="auto"/>
              <w:jc w:val="center"/>
            </w:pPr>
            <w:r/>
            <w:r>
              <w:rPr>
                <w:rFonts w:ascii="Calibri" w:hAnsi="Calibri"/>
                <w:b w:val="0"/>
                <w:sz w:val="15"/>
              </w:rPr>
              <w:t>Should</w:t>
            </w:r>
          </w:p>
        </w:tc>
        <w:tc>
          <w:tcPr>
            <w:tcW w:type="dxa" w:w="737"/>
            <w:shd w:val="clear" w:fill="F7F9FB"/>
          </w:tcPr>
          <w:p>
            <w:pPr>
              <w:spacing w:after="20" w:before="20" w:line="240" w:lineRule="auto"/>
              <w:jc w:val="center"/>
            </w:pPr>
            <w:r/>
            <w:r>
              <w:rPr>
                <w:rFonts w:ascii="Calibri" w:hAnsi="Calibri"/>
                <w:b w:val="0"/>
                <w:sz w:val="15"/>
              </w:rPr>
              <w:t>BR-01</w:t>
            </w:r>
          </w:p>
        </w:tc>
      </w:tr>
      <w:tr>
        <w:tc>
          <w:tcPr>
            <w:tcW w:type="dxa" w:w="680"/>
          </w:tcPr>
          <w:p>
            <w:pPr>
              <w:spacing w:after="20" w:before="20" w:line="240" w:lineRule="auto"/>
              <w:jc w:val="center"/>
            </w:pPr>
            <w:r/>
            <w:r>
              <w:rPr>
                <w:rFonts w:ascii="Calibri" w:hAnsi="Calibri"/>
                <w:b w:val="0"/>
                <w:sz w:val="15"/>
              </w:rPr>
              <w:t>FR-27</w:t>
            </w:r>
          </w:p>
        </w:tc>
        <w:tc>
          <w:tcPr>
            <w:tcW w:type="dxa" w:w="1757"/>
          </w:tcPr>
          <w:p>
            <w:pPr>
              <w:spacing w:after="20" w:before="20" w:line="240" w:lineRule="auto"/>
            </w:pPr>
            <w:r/>
            <w:r>
              <w:rPr>
                <w:rFonts w:ascii="Calibri" w:hAnsi="Calibri"/>
                <w:b w:val="0"/>
                <w:sz w:val="15"/>
              </w:rPr>
              <w:t>Equipment versus consumables</w:t>
            </w:r>
          </w:p>
        </w:tc>
        <w:tc>
          <w:tcPr>
            <w:tcW w:type="dxa" w:w="2438"/>
          </w:tcPr>
          <w:p>
            <w:pPr>
              <w:spacing w:after="20" w:before="20" w:line="240" w:lineRule="auto"/>
            </w:pPr>
            <w:r/>
            <w:r>
              <w:rPr>
                <w:rFonts w:ascii="Calibri" w:hAnsi="Calibri"/>
                <w:b w:val="0"/>
                <w:sz w:val="15"/>
              </w:rPr>
              <w:t>Separate capital equipment purchases and issues from consumable consumption in all analyses.</w:t>
            </w:r>
          </w:p>
        </w:tc>
        <w:tc>
          <w:tcPr>
            <w:tcW w:type="dxa" w:w="2835"/>
          </w:tcPr>
          <w:p>
            <w:pPr>
              <w:spacing w:after="20" w:before="20" w:line="240" w:lineRule="auto"/>
            </w:pPr>
            <w:r/>
            <w:r>
              <w:rPr>
                <w:rFonts w:ascii="Calibri" w:hAnsi="Calibri"/>
                <w:b w:val="0"/>
                <w:sz w:val="15"/>
              </w:rPr>
              <w:t>Equipment items are identified from the item master flag; separate totals and a distinct view are provided.</w:t>
            </w:r>
          </w:p>
        </w:tc>
        <w:tc>
          <w:tcPr>
            <w:tcW w:type="dxa" w:w="850"/>
          </w:tcPr>
          <w:p>
            <w:pPr>
              <w:spacing w:after="20" w:before="20" w:line="240" w:lineRule="auto"/>
              <w:jc w:val="center"/>
            </w:pPr>
            <w:r/>
            <w:r>
              <w:rPr>
                <w:rFonts w:ascii="Calibri" w:hAnsi="Calibri"/>
                <w:b w:val="0"/>
                <w:sz w:val="15"/>
              </w:rPr>
              <w:t>Should</w:t>
            </w:r>
          </w:p>
        </w:tc>
        <w:tc>
          <w:tcPr>
            <w:tcW w:type="dxa" w:w="737"/>
          </w:tcPr>
          <w:p>
            <w:pPr>
              <w:spacing w:after="20" w:before="20" w:line="240" w:lineRule="auto"/>
              <w:jc w:val="center"/>
            </w:pPr>
            <w:r/>
            <w:r>
              <w:rPr>
                <w:rFonts w:ascii="Calibri" w:hAnsi="Calibri"/>
                <w:b w:val="0"/>
                <w:sz w:val="15"/>
              </w:rPr>
              <w:t>BR-01</w:t>
            </w:r>
          </w:p>
        </w:tc>
      </w:tr>
      <w:tr>
        <w:tc>
          <w:tcPr>
            <w:tcW w:type="dxa" w:w="680"/>
            <w:shd w:val="clear" w:fill="F7F9FB"/>
          </w:tcPr>
          <w:p>
            <w:pPr>
              <w:spacing w:after="20" w:before="20" w:line="240" w:lineRule="auto"/>
              <w:jc w:val="center"/>
            </w:pPr>
            <w:r/>
            <w:r>
              <w:rPr>
                <w:rFonts w:ascii="Calibri" w:hAnsi="Calibri"/>
                <w:b w:val="0"/>
                <w:sz w:val="15"/>
              </w:rPr>
              <w:t>FR-28</w:t>
            </w:r>
          </w:p>
        </w:tc>
        <w:tc>
          <w:tcPr>
            <w:tcW w:type="dxa" w:w="1757"/>
            <w:shd w:val="clear" w:fill="F7F9FB"/>
          </w:tcPr>
          <w:p>
            <w:pPr>
              <w:spacing w:after="20" w:before="20" w:line="240" w:lineRule="auto"/>
            </w:pPr>
            <w:r/>
            <w:r>
              <w:rPr>
                <w:rFonts w:ascii="Calibri" w:hAnsi="Calibri"/>
                <w:b w:val="0"/>
                <w:sz w:val="15"/>
              </w:rPr>
              <w:t>Donor-wise reporting pack</w:t>
            </w:r>
          </w:p>
        </w:tc>
        <w:tc>
          <w:tcPr>
            <w:tcW w:type="dxa" w:w="2438"/>
            <w:shd w:val="clear" w:fill="F7F9FB"/>
          </w:tcPr>
          <w:p>
            <w:pPr>
              <w:spacing w:after="20" w:before="20" w:line="240" w:lineRule="auto"/>
            </w:pPr>
            <w:r/>
            <w:r>
              <w:rPr>
                <w:rFonts w:ascii="Calibri" w:hAnsi="Calibri"/>
                <w:b w:val="0"/>
                <w:sz w:val="15"/>
              </w:rPr>
              <w:t>Provide a donor-filtered view comprising consumption, investment, budget utilisation and cost per beneficiary.</w:t>
            </w:r>
          </w:p>
        </w:tc>
        <w:tc>
          <w:tcPr>
            <w:tcW w:type="dxa" w:w="2835"/>
            <w:shd w:val="clear" w:fill="F7F9FB"/>
          </w:tcPr>
          <w:p>
            <w:pPr>
              <w:spacing w:after="20" w:before="20" w:line="240" w:lineRule="auto"/>
            </w:pPr>
            <w:r/>
            <w:r>
              <w:rPr>
                <w:rFonts w:ascii="Calibri" w:hAnsi="Calibri"/>
                <w:b w:val="0"/>
                <w:sz w:val="15"/>
              </w:rPr>
              <w:t>Filtering by donor restricts all visuals and exports consistently.</w:t>
            </w:r>
          </w:p>
        </w:tc>
        <w:tc>
          <w:tcPr>
            <w:tcW w:type="dxa" w:w="850"/>
            <w:shd w:val="clear" w:fill="F7F9FB"/>
          </w:tcPr>
          <w:p>
            <w:pPr>
              <w:spacing w:after="20" w:before="20" w:line="240" w:lineRule="auto"/>
              <w:jc w:val="center"/>
            </w:pPr>
            <w:r/>
            <w:r>
              <w:rPr>
                <w:rFonts w:ascii="Calibri" w:hAnsi="Calibri"/>
                <w:b w:val="0"/>
                <w:sz w:val="15"/>
              </w:rPr>
              <w:t>Should</w:t>
            </w:r>
          </w:p>
        </w:tc>
        <w:tc>
          <w:tcPr>
            <w:tcW w:type="dxa" w:w="737"/>
            <w:shd w:val="clear" w:fill="F7F9FB"/>
          </w:tcPr>
          <w:p>
            <w:pPr>
              <w:spacing w:after="20" w:before="20" w:line="240" w:lineRule="auto"/>
              <w:jc w:val="center"/>
            </w:pPr>
            <w:r/>
            <w:r>
              <w:rPr>
                <w:rFonts w:ascii="Calibri" w:hAnsi="Calibri"/>
                <w:b w:val="0"/>
                <w:sz w:val="15"/>
              </w:rPr>
              <w:t>BR-05</w:t>
            </w:r>
          </w:p>
        </w:tc>
      </w:tr>
      <w:tr>
        <w:tc>
          <w:tcPr>
            <w:tcW w:type="dxa" w:w="680"/>
          </w:tcPr>
          <w:p>
            <w:pPr>
              <w:spacing w:after="20" w:before="20" w:line="240" w:lineRule="auto"/>
              <w:jc w:val="center"/>
            </w:pPr>
            <w:r/>
            <w:r>
              <w:rPr>
                <w:rFonts w:ascii="Calibri" w:hAnsi="Calibri"/>
                <w:b w:val="0"/>
                <w:sz w:val="15"/>
              </w:rPr>
              <w:t>FR-29</w:t>
            </w:r>
          </w:p>
        </w:tc>
        <w:tc>
          <w:tcPr>
            <w:tcW w:type="dxa" w:w="1757"/>
          </w:tcPr>
          <w:p>
            <w:pPr>
              <w:spacing w:after="20" w:before="20" w:line="240" w:lineRule="auto"/>
            </w:pPr>
            <w:r/>
            <w:r>
              <w:rPr>
                <w:rFonts w:ascii="Calibri" w:hAnsi="Calibri"/>
                <w:b w:val="0"/>
                <w:sz w:val="15"/>
              </w:rPr>
              <w:t>Exception panel</w:t>
            </w:r>
          </w:p>
        </w:tc>
        <w:tc>
          <w:tcPr>
            <w:tcW w:type="dxa" w:w="2438"/>
          </w:tcPr>
          <w:p>
            <w:pPr>
              <w:spacing w:after="20" w:before="20" w:line="240" w:lineRule="auto"/>
            </w:pPr>
            <w:r/>
            <w:r>
              <w:rPr>
                <w:rFonts w:ascii="Calibri" w:hAnsi="Calibri"/>
                <w:b w:val="0"/>
                <w:sz w:val="15"/>
              </w:rPr>
              <w:t>Surface unattributed consumption, zero-value purchases, duplicate receipts, cancelled orders, negative or unusual quantities, and missing master data.</w:t>
            </w:r>
          </w:p>
        </w:tc>
        <w:tc>
          <w:tcPr>
            <w:tcW w:type="dxa" w:w="2835"/>
          </w:tcPr>
          <w:p>
            <w:pPr>
              <w:spacing w:after="20" w:before="20" w:line="240" w:lineRule="auto"/>
            </w:pPr>
            <w:r/>
            <w:r>
              <w:rPr>
                <w:rFonts w:ascii="Calibri" w:hAnsi="Calibri"/>
                <w:b w:val="0"/>
                <w:sz w:val="15"/>
              </w:rPr>
              <w:t>Each exception type shows count, value, age and named owner; items can be marked resolved with notes.</w:t>
            </w:r>
          </w:p>
        </w:tc>
        <w:tc>
          <w:tcPr>
            <w:tcW w:type="dxa" w:w="850"/>
          </w:tcPr>
          <w:p>
            <w:pPr>
              <w:spacing w:after="20" w:before="20" w:line="240" w:lineRule="auto"/>
              <w:jc w:val="center"/>
            </w:pPr>
            <w:r/>
            <w:r>
              <w:rPr>
                <w:rFonts w:ascii="Calibri" w:hAnsi="Calibri"/>
                <w:b w:val="0"/>
                <w:sz w:val="15"/>
              </w:rPr>
              <w:t>Must</w:t>
            </w:r>
          </w:p>
        </w:tc>
        <w:tc>
          <w:tcPr>
            <w:tcW w:type="dxa" w:w="737"/>
          </w:tcPr>
          <w:p>
            <w:pPr>
              <w:spacing w:after="20" w:before="20" w:line="240" w:lineRule="auto"/>
              <w:jc w:val="center"/>
            </w:pPr>
            <w:r/>
            <w:r>
              <w:rPr>
                <w:rFonts w:ascii="Calibri" w:hAnsi="Calibri"/>
                <w:b w:val="0"/>
                <w:sz w:val="15"/>
              </w:rPr>
              <w:t>BR-08</w:t>
            </w:r>
          </w:p>
        </w:tc>
      </w:tr>
      <w:tr>
        <w:tc>
          <w:tcPr>
            <w:tcW w:type="dxa" w:w="680"/>
            <w:shd w:val="clear" w:fill="F7F9FB"/>
          </w:tcPr>
          <w:p>
            <w:pPr>
              <w:spacing w:after="20" w:before="20" w:line="240" w:lineRule="auto"/>
              <w:jc w:val="center"/>
            </w:pPr>
            <w:r/>
            <w:r>
              <w:rPr>
                <w:rFonts w:ascii="Calibri" w:hAnsi="Calibri"/>
                <w:b w:val="0"/>
                <w:sz w:val="15"/>
              </w:rPr>
              <w:t>FR-30</w:t>
            </w:r>
          </w:p>
        </w:tc>
        <w:tc>
          <w:tcPr>
            <w:tcW w:type="dxa" w:w="1757"/>
            <w:shd w:val="clear" w:fill="F7F9FB"/>
          </w:tcPr>
          <w:p>
            <w:pPr>
              <w:spacing w:after="20" w:before="20" w:line="240" w:lineRule="auto"/>
            </w:pPr>
            <w:r/>
            <w:r>
              <w:rPr>
                <w:rFonts w:ascii="Calibri" w:hAnsi="Calibri"/>
                <w:b w:val="0"/>
                <w:sz w:val="15"/>
              </w:rPr>
              <w:t>Unattributed consumption handling</w:t>
            </w:r>
          </w:p>
        </w:tc>
        <w:tc>
          <w:tcPr>
            <w:tcW w:type="dxa" w:w="2438"/>
            <w:shd w:val="clear" w:fill="F7F9FB"/>
          </w:tcPr>
          <w:p>
            <w:pPr>
              <w:spacing w:after="20" w:before="20" w:line="240" w:lineRule="auto"/>
            </w:pPr>
            <w:r/>
            <w:r>
              <w:rPr>
                <w:rFonts w:ascii="Calibri" w:hAnsi="Calibri"/>
                <w:b w:val="0"/>
                <w:sz w:val="15"/>
              </w:rPr>
              <w:t>Identify consumption charged to generic or invalid project codes and show it as a separate category with the originating project where identifiable.</w:t>
            </w:r>
          </w:p>
        </w:tc>
        <w:tc>
          <w:tcPr>
            <w:tcW w:type="dxa" w:w="2835"/>
            <w:shd w:val="clear" w:fill="F7F9FB"/>
          </w:tcPr>
          <w:p>
            <w:pPr>
              <w:spacing w:after="20" w:before="20" w:line="240" w:lineRule="auto"/>
            </w:pPr>
            <w:r/>
            <w:r>
              <w:rPr>
                <w:rFonts w:ascii="Calibri" w:hAnsi="Calibri"/>
                <w:b w:val="0"/>
                <w:sz w:val="15"/>
              </w:rPr>
              <w:t>Unattributed value is never silently allocated; it appears in totals and in the exception panel.</w:t>
            </w:r>
          </w:p>
        </w:tc>
        <w:tc>
          <w:tcPr>
            <w:tcW w:type="dxa" w:w="850"/>
            <w:shd w:val="clear" w:fill="F7F9FB"/>
          </w:tcPr>
          <w:p>
            <w:pPr>
              <w:spacing w:after="20" w:before="20" w:line="240" w:lineRule="auto"/>
              <w:jc w:val="center"/>
            </w:pPr>
            <w:r/>
            <w:r>
              <w:rPr>
                <w:rFonts w:ascii="Calibri" w:hAnsi="Calibri"/>
                <w:b w:val="0"/>
                <w:sz w:val="15"/>
              </w:rPr>
              <w:t>Must</w:t>
            </w:r>
          </w:p>
        </w:tc>
        <w:tc>
          <w:tcPr>
            <w:tcW w:type="dxa" w:w="737"/>
            <w:shd w:val="clear" w:fill="F7F9FB"/>
          </w:tcPr>
          <w:p>
            <w:pPr>
              <w:spacing w:after="20" w:before="20" w:line="240" w:lineRule="auto"/>
              <w:jc w:val="center"/>
            </w:pPr>
            <w:r/>
            <w:r>
              <w:rPr>
                <w:rFonts w:ascii="Calibri" w:hAnsi="Calibri"/>
                <w:b w:val="0"/>
                <w:sz w:val="15"/>
              </w:rPr>
              <w:t>BR-08</w:t>
            </w:r>
          </w:p>
        </w:tc>
      </w:tr>
      <w:tr>
        <w:tc>
          <w:tcPr>
            <w:tcW w:type="dxa" w:w="680"/>
          </w:tcPr>
          <w:p>
            <w:pPr>
              <w:spacing w:after="20" w:before="20" w:line="240" w:lineRule="auto"/>
              <w:jc w:val="center"/>
            </w:pPr>
            <w:r/>
            <w:r>
              <w:rPr>
                <w:rFonts w:ascii="Calibri" w:hAnsi="Calibri"/>
                <w:b w:val="0"/>
                <w:sz w:val="15"/>
              </w:rPr>
              <w:t>FR-31</w:t>
            </w:r>
          </w:p>
        </w:tc>
        <w:tc>
          <w:tcPr>
            <w:tcW w:type="dxa" w:w="1757"/>
          </w:tcPr>
          <w:p>
            <w:pPr>
              <w:spacing w:after="20" w:before="20" w:line="240" w:lineRule="auto"/>
            </w:pPr>
            <w:r/>
            <w:r>
              <w:rPr>
                <w:rFonts w:ascii="Calibri" w:hAnsi="Calibri"/>
                <w:b w:val="0"/>
                <w:sz w:val="15"/>
              </w:rPr>
              <w:t>Threshold alerts and indicators</w:t>
            </w:r>
          </w:p>
        </w:tc>
        <w:tc>
          <w:tcPr>
            <w:tcW w:type="dxa" w:w="2438"/>
          </w:tcPr>
          <w:p>
            <w:pPr>
              <w:spacing w:after="20" w:before="20" w:line="240" w:lineRule="auto"/>
            </w:pPr>
            <w:r/>
            <w:r>
              <w:rPr>
                <w:rFonts w:ascii="Calibri" w:hAnsi="Calibri"/>
                <w:b w:val="0"/>
                <w:sz w:val="15"/>
              </w:rPr>
              <w:t>Highlight values that breach configurable thresholds (for example consumption variance over 15%, cover below 15 days, expiry within 60 days).</w:t>
            </w:r>
          </w:p>
        </w:tc>
        <w:tc>
          <w:tcPr>
            <w:tcW w:type="dxa" w:w="2835"/>
          </w:tcPr>
          <w:p>
            <w:pPr>
              <w:spacing w:after="20" w:before="20" w:line="240" w:lineRule="auto"/>
            </w:pPr>
            <w:r/>
            <w:r>
              <w:rPr>
                <w:rFonts w:ascii="Calibri" w:hAnsi="Calibri"/>
                <w:b w:val="0"/>
                <w:sz w:val="15"/>
              </w:rPr>
              <w:t>Thresholds are maintained by an administrator without code change; breached values are visually flagged.</w:t>
            </w:r>
          </w:p>
        </w:tc>
        <w:tc>
          <w:tcPr>
            <w:tcW w:type="dxa" w:w="850"/>
          </w:tcPr>
          <w:p>
            <w:pPr>
              <w:spacing w:after="20" w:before="20" w:line="240" w:lineRule="auto"/>
              <w:jc w:val="center"/>
            </w:pPr>
            <w:r/>
            <w:r>
              <w:rPr>
                <w:rFonts w:ascii="Calibri" w:hAnsi="Calibri"/>
                <w:b w:val="0"/>
                <w:sz w:val="15"/>
              </w:rPr>
              <w:t>Should</w:t>
            </w:r>
          </w:p>
        </w:tc>
        <w:tc>
          <w:tcPr>
            <w:tcW w:type="dxa" w:w="737"/>
          </w:tcPr>
          <w:p>
            <w:pPr>
              <w:spacing w:after="20" w:before="20" w:line="240" w:lineRule="auto"/>
              <w:jc w:val="center"/>
            </w:pPr>
            <w:r/>
            <w:r>
              <w:rPr>
                <w:rFonts w:ascii="Calibri" w:hAnsi="Calibri"/>
                <w:b w:val="0"/>
                <w:sz w:val="15"/>
              </w:rPr>
              <w:t>BR-08</w:t>
            </w:r>
          </w:p>
        </w:tc>
      </w:tr>
      <w:tr>
        <w:tc>
          <w:tcPr>
            <w:tcW w:type="dxa" w:w="680"/>
            <w:shd w:val="clear" w:fill="F7F9FB"/>
          </w:tcPr>
          <w:p>
            <w:pPr>
              <w:spacing w:after="20" w:before="20" w:line="240" w:lineRule="auto"/>
              <w:jc w:val="center"/>
            </w:pPr>
            <w:r/>
            <w:r>
              <w:rPr>
                <w:rFonts w:ascii="Calibri" w:hAnsi="Calibri"/>
                <w:b w:val="0"/>
                <w:sz w:val="15"/>
              </w:rPr>
              <w:t>FR-32</w:t>
            </w:r>
          </w:p>
        </w:tc>
        <w:tc>
          <w:tcPr>
            <w:tcW w:type="dxa" w:w="1757"/>
            <w:shd w:val="clear" w:fill="F7F9FB"/>
          </w:tcPr>
          <w:p>
            <w:pPr>
              <w:spacing w:after="20" w:before="20" w:line="240" w:lineRule="auto"/>
            </w:pPr>
            <w:r/>
            <w:r>
              <w:rPr>
                <w:rFonts w:ascii="Calibri" w:hAnsi="Calibri"/>
                <w:b w:val="0"/>
                <w:sz w:val="15"/>
              </w:rPr>
              <w:t>Commentary capture</w:t>
            </w:r>
          </w:p>
        </w:tc>
        <w:tc>
          <w:tcPr>
            <w:tcW w:type="dxa" w:w="2438"/>
            <w:shd w:val="clear" w:fill="F7F9FB"/>
          </w:tcPr>
          <w:p>
            <w:pPr>
              <w:spacing w:after="20" w:before="20" w:line="240" w:lineRule="auto"/>
            </w:pPr>
            <w:r/>
            <w:r>
              <w:rPr>
                <w:rFonts w:ascii="Calibri" w:hAnsi="Calibri"/>
                <w:b w:val="0"/>
                <w:sz w:val="15"/>
              </w:rPr>
              <w:t>Allow an authorised user to record a text note against a project-period KPI or a variance.</w:t>
            </w:r>
          </w:p>
        </w:tc>
        <w:tc>
          <w:tcPr>
            <w:tcW w:type="dxa" w:w="2835"/>
            <w:shd w:val="clear" w:fill="F7F9FB"/>
          </w:tcPr>
          <w:p>
            <w:pPr>
              <w:spacing w:after="20" w:before="20" w:line="240" w:lineRule="auto"/>
            </w:pPr>
            <w:r/>
            <w:r>
              <w:rPr>
                <w:rFonts w:ascii="Calibri" w:hAnsi="Calibri"/>
                <w:b w:val="0"/>
                <w:sz w:val="15"/>
              </w:rPr>
              <w:t>Notes are stored with user and timestamp, visible to authorised users, and retained in exports.</w:t>
            </w:r>
          </w:p>
        </w:tc>
        <w:tc>
          <w:tcPr>
            <w:tcW w:type="dxa" w:w="850"/>
            <w:shd w:val="clear" w:fill="F7F9FB"/>
          </w:tcPr>
          <w:p>
            <w:pPr>
              <w:spacing w:after="20" w:before="20" w:line="240" w:lineRule="auto"/>
              <w:jc w:val="center"/>
            </w:pPr>
            <w:r/>
            <w:r>
              <w:rPr>
                <w:rFonts w:ascii="Calibri" w:hAnsi="Calibri"/>
                <w:b w:val="0"/>
                <w:sz w:val="15"/>
              </w:rPr>
              <w:t>Should</w:t>
            </w:r>
          </w:p>
        </w:tc>
        <w:tc>
          <w:tcPr>
            <w:tcW w:type="dxa" w:w="737"/>
            <w:shd w:val="clear" w:fill="F7F9FB"/>
          </w:tcPr>
          <w:p>
            <w:pPr>
              <w:spacing w:after="20" w:before="20" w:line="240" w:lineRule="auto"/>
              <w:jc w:val="center"/>
            </w:pPr>
            <w:r/>
            <w:r>
              <w:rPr>
                <w:rFonts w:ascii="Calibri" w:hAnsi="Calibri"/>
                <w:b w:val="0"/>
                <w:sz w:val="15"/>
              </w:rPr>
              <w:t>BR-09</w:t>
            </w:r>
          </w:p>
        </w:tc>
      </w:tr>
      <w:tr>
        <w:tc>
          <w:tcPr>
            <w:tcW w:type="dxa" w:w="680"/>
          </w:tcPr>
          <w:p>
            <w:pPr>
              <w:spacing w:after="20" w:before="20" w:line="240" w:lineRule="auto"/>
              <w:jc w:val="center"/>
            </w:pPr>
            <w:r/>
            <w:r>
              <w:rPr>
                <w:rFonts w:ascii="Calibri" w:hAnsi="Calibri"/>
                <w:b w:val="0"/>
                <w:sz w:val="15"/>
              </w:rPr>
              <w:t>FR-33</w:t>
            </w:r>
          </w:p>
        </w:tc>
        <w:tc>
          <w:tcPr>
            <w:tcW w:type="dxa" w:w="1757"/>
          </w:tcPr>
          <w:p>
            <w:pPr>
              <w:spacing w:after="20" w:before="20" w:line="240" w:lineRule="auto"/>
            </w:pPr>
            <w:r/>
            <w:r>
              <w:rPr>
                <w:rFonts w:ascii="Calibri" w:hAnsi="Calibri"/>
                <w:b w:val="0"/>
                <w:sz w:val="15"/>
              </w:rPr>
              <w:t>Export and distribution</w:t>
            </w:r>
          </w:p>
        </w:tc>
        <w:tc>
          <w:tcPr>
            <w:tcW w:type="dxa" w:w="2438"/>
          </w:tcPr>
          <w:p>
            <w:pPr>
              <w:spacing w:after="20" w:before="20" w:line="240" w:lineRule="auto"/>
            </w:pPr>
            <w:r/>
            <w:r>
              <w:rPr>
                <w:rFonts w:ascii="Calibri" w:hAnsi="Calibri"/>
                <w:b w:val="0"/>
                <w:sz w:val="15"/>
              </w:rPr>
              <w:t>Export any page to Excel and PDF with filters applied; schedule a page to be emailed to a distribution list.</w:t>
            </w:r>
          </w:p>
        </w:tc>
        <w:tc>
          <w:tcPr>
            <w:tcW w:type="dxa" w:w="2835"/>
          </w:tcPr>
          <w:p>
            <w:pPr>
              <w:spacing w:after="20" w:before="20" w:line="240" w:lineRule="auto"/>
            </w:pPr>
            <w:r/>
            <w:r>
              <w:rPr>
                <w:rFonts w:ascii="Calibri" w:hAnsi="Calibri"/>
                <w:b w:val="0"/>
                <w:sz w:val="15"/>
              </w:rPr>
              <w:t>Export reflects the current filter state; scheduled delivery states the as-at date of the data.</w:t>
            </w:r>
          </w:p>
        </w:tc>
        <w:tc>
          <w:tcPr>
            <w:tcW w:type="dxa" w:w="850"/>
          </w:tcPr>
          <w:p>
            <w:pPr>
              <w:spacing w:after="20" w:before="20" w:line="240" w:lineRule="auto"/>
              <w:jc w:val="center"/>
            </w:pPr>
            <w:r/>
            <w:r>
              <w:rPr>
                <w:rFonts w:ascii="Calibri" w:hAnsi="Calibri"/>
                <w:b w:val="0"/>
                <w:sz w:val="15"/>
              </w:rPr>
              <w:t>Must</w:t>
            </w:r>
          </w:p>
        </w:tc>
        <w:tc>
          <w:tcPr>
            <w:tcW w:type="dxa" w:w="737"/>
          </w:tcPr>
          <w:p>
            <w:pPr>
              <w:spacing w:after="20" w:before="20" w:line="240" w:lineRule="auto"/>
              <w:jc w:val="center"/>
            </w:pPr>
            <w:r/>
            <w:r>
              <w:rPr>
                <w:rFonts w:ascii="Calibri" w:hAnsi="Calibri"/>
                <w:b w:val="0"/>
                <w:sz w:val="15"/>
              </w:rPr>
              <w:t>BR-11</w:t>
            </w:r>
          </w:p>
        </w:tc>
      </w:tr>
      <w:tr>
        <w:tc>
          <w:tcPr>
            <w:tcW w:type="dxa" w:w="680"/>
            <w:shd w:val="clear" w:fill="F7F9FB"/>
          </w:tcPr>
          <w:p>
            <w:pPr>
              <w:spacing w:after="20" w:before="20" w:line="240" w:lineRule="auto"/>
              <w:jc w:val="center"/>
            </w:pPr>
            <w:r/>
            <w:r>
              <w:rPr>
                <w:rFonts w:ascii="Calibri" w:hAnsi="Calibri"/>
                <w:b w:val="0"/>
                <w:sz w:val="15"/>
              </w:rPr>
              <w:t>FR-34</w:t>
            </w:r>
          </w:p>
        </w:tc>
        <w:tc>
          <w:tcPr>
            <w:tcW w:type="dxa" w:w="1757"/>
            <w:shd w:val="clear" w:fill="F7F9FB"/>
          </w:tcPr>
          <w:p>
            <w:pPr>
              <w:spacing w:after="20" w:before="20" w:line="240" w:lineRule="auto"/>
            </w:pPr>
            <w:r/>
            <w:r>
              <w:rPr>
                <w:rFonts w:ascii="Calibri" w:hAnsi="Calibri"/>
                <w:b w:val="0"/>
                <w:sz w:val="15"/>
              </w:rPr>
              <w:t>Data freshness indicator</w:t>
            </w:r>
          </w:p>
        </w:tc>
        <w:tc>
          <w:tcPr>
            <w:tcW w:type="dxa" w:w="2438"/>
            <w:shd w:val="clear" w:fill="F7F9FB"/>
          </w:tcPr>
          <w:p>
            <w:pPr>
              <w:spacing w:after="20" w:before="20" w:line="240" w:lineRule="auto"/>
            </w:pPr>
            <w:r/>
            <w:r>
              <w:rPr>
                <w:rFonts w:ascii="Calibri" w:hAnsi="Calibri"/>
                <w:b w:val="0"/>
                <w:sz w:val="15"/>
              </w:rPr>
              <w:t>Display the date and time of the last successful data load and any load failure on every page.</w:t>
            </w:r>
          </w:p>
        </w:tc>
        <w:tc>
          <w:tcPr>
            <w:tcW w:type="dxa" w:w="2835"/>
            <w:shd w:val="clear" w:fill="F7F9FB"/>
          </w:tcPr>
          <w:p>
            <w:pPr>
              <w:spacing w:after="20" w:before="20" w:line="240" w:lineRule="auto"/>
            </w:pPr>
            <w:r/>
            <w:r>
              <w:rPr>
                <w:rFonts w:ascii="Calibri" w:hAnsi="Calibri"/>
                <w:b w:val="0"/>
                <w:sz w:val="15"/>
              </w:rPr>
              <w:t>Indicator matches the load log; failure is shown in red with the last successful timestamp.</w:t>
            </w:r>
          </w:p>
        </w:tc>
        <w:tc>
          <w:tcPr>
            <w:tcW w:type="dxa" w:w="850"/>
            <w:shd w:val="clear" w:fill="F7F9FB"/>
          </w:tcPr>
          <w:p>
            <w:pPr>
              <w:spacing w:after="20" w:before="20" w:line="240" w:lineRule="auto"/>
              <w:jc w:val="center"/>
            </w:pPr>
            <w:r/>
            <w:r>
              <w:rPr>
                <w:rFonts w:ascii="Calibri" w:hAnsi="Calibri"/>
                <w:b w:val="0"/>
                <w:sz w:val="15"/>
              </w:rPr>
              <w:t>Must</w:t>
            </w:r>
          </w:p>
        </w:tc>
        <w:tc>
          <w:tcPr>
            <w:tcW w:type="dxa" w:w="737"/>
            <w:shd w:val="clear" w:fill="F7F9FB"/>
          </w:tcPr>
          <w:p>
            <w:pPr>
              <w:spacing w:after="20" w:before="20" w:line="240" w:lineRule="auto"/>
              <w:jc w:val="center"/>
            </w:pPr>
            <w:r/>
            <w:r>
              <w:rPr>
                <w:rFonts w:ascii="Calibri" w:hAnsi="Calibri"/>
                <w:b w:val="0"/>
                <w:sz w:val="15"/>
              </w:rPr>
              <w:t>BR-11</w:t>
            </w:r>
          </w:p>
        </w:tc>
      </w:tr>
      <w:tr>
        <w:tc>
          <w:tcPr>
            <w:tcW w:type="dxa" w:w="680"/>
          </w:tcPr>
          <w:p>
            <w:pPr>
              <w:spacing w:after="20" w:before="20" w:line="240" w:lineRule="auto"/>
              <w:jc w:val="center"/>
            </w:pPr>
            <w:r/>
            <w:r>
              <w:rPr>
                <w:rFonts w:ascii="Calibri" w:hAnsi="Calibri"/>
                <w:b w:val="0"/>
                <w:sz w:val="15"/>
              </w:rPr>
              <w:t>FR-35</w:t>
            </w:r>
          </w:p>
        </w:tc>
        <w:tc>
          <w:tcPr>
            <w:tcW w:type="dxa" w:w="1757"/>
          </w:tcPr>
          <w:p>
            <w:pPr>
              <w:spacing w:after="20" w:before="20" w:line="240" w:lineRule="auto"/>
            </w:pPr>
            <w:r/>
            <w:r>
              <w:rPr>
                <w:rFonts w:ascii="Calibri" w:hAnsi="Calibri"/>
                <w:b w:val="0"/>
                <w:sz w:val="15"/>
              </w:rPr>
              <w:t>Search and filter</w:t>
            </w:r>
          </w:p>
        </w:tc>
        <w:tc>
          <w:tcPr>
            <w:tcW w:type="dxa" w:w="2438"/>
          </w:tcPr>
          <w:p>
            <w:pPr>
              <w:spacing w:after="20" w:before="20" w:line="240" w:lineRule="auto"/>
            </w:pPr>
            <w:r/>
            <w:r>
              <w:rPr>
                <w:rFonts w:ascii="Calibri" w:hAnsi="Calibri"/>
                <w:b w:val="0"/>
                <w:sz w:val="15"/>
              </w:rPr>
              <w:t>Provide filters for period, project, donor, category, item, warehouse, supplier, issue type and service point, with multi-select and search.</w:t>
            </w:r>
          </w:p>
        </w:tc>
        <w:tc>
          <w:tcPr>
            <w:tcW w:type="dxa" w:w="2835"/>
          </w:tcPr>
          <w:p>
            <w:pPr>
              <w:spacing w:after="20" w:before="20" w:line="240" w:lineRule="auto"/>
            </w:pPr>
            <w:r/>
            <w:r>
              <w:rPr>
                <w:rFonts w:ascii="Calibri" w:hAnsi="Calibri"/>
                <w:b w:val="0"/>
                <w:sz w:val="15"/>
              </w:rPr>
              <w:t>Filters apply consistently across all visuals on the page; selections persist during the session.</w:t>
            </w:r>
          </w:p>
        </w:tc>
        <w:tc>
          <w:tcPr>
            <w:tcW w:type="dxa" w:w="850"/>
          </w:tcPr>
          <w:p>
            <w:pPr>
              <w:spacing w:after="20" w:before="20" w:line="240" w:lineRule="auto"/>
              <w:jc w:val="center"/>
            </w:pPr>
            <w:r/>
            <w:r>
              <w:rPr>
                <w:rFonts w:ascii="Calibri" w:hAnsi="Calibri"/>
                <w:b w:val="0"/>
                <w:sz w:val="15"/>
              </w:rPr>
              <w:t>Must</w:t>
            </w:r>
          </w:p>
        </w:tc>
        <w:tc>
          <w:tcPr>
            <w:tcW w:type="dxa" w:w="737"/>
          </w:tcPr>
          <w:p>
            <w:pPr>
              <w:spacing w:after="20" w:before="20" w:line="240" w:lineRule="auto"/>
              <w:jc w:val="center"/>
            </w:pPr>
            <w:r/>
            <w:r>
              <w:rPr>
                <w:rFonts w:ascii="Calibri" w:hAnsi="Calibri"/>
                <w:b w:val="0"/>
                <w:sz w:val="15"/>
              </w:rPr>
              <w:t>BR-01</w:t>
            </w:r>
          </w:p>
        </w:tc>
      </w:tr>
      <w:tr>
        <w:tc>
          <w:tcPr>
            <w:tcW w:type="dxa" w:w="680"/>
            <w:shd w:val="clear" w:fill="F7F9FB"/>
          </w:tcPr>
          <w:p>
            <w:pPr>
              <w:spacing w:after="20" w:before="20" w:line="240" w:lineRule="auto"/>
              <w:jc w:val="center"/>
            </w:pPr>
            <w:r/>
            <w:r>
              <w:rPr>
                <w:rFonts w:ascii="Calibri" w:hAnsi="Calibri"/>
                <w:b w:val="0"/>
                <w:sz w:val="15"/>
              </w:rPr>
              <w:t>FR-36</w:t>
            </w:r>
          </w:p>
        </w:tc>
        <w:tc>
          <w:tcPr>
            <w:tcW w:type="dxa" w:w="1757"/>
            <w:shd w:val="clear" w:fill="F7F9FB"/>
          </w:tcPr>
          <w:p>
            <w:pPr>
              <w:spacing w:after="20" w:before="20" w:line="240" w:lineRule="auto"/>
            </w:pPr>
            <w:r/>
            <w:r>
              <w:rPr>
                <w:rFonts w:ascii="Calibri" w:hAnsi="Calibri"/>
                <w:b w:val="0"/>
                <w:sz w:val="15"/>
              </w:rPr>
              <w:t>Drill-through to source document list</w:t>
            </w:r>
          </w:p>
        </w:tc>
        <w:tc>
          <w:tcPr>
            <w:tcW w:type="dxa" w:w="2438"/>
            <w:shd w:val="clear" w:fill="F7F9FB"/>
          </w:tcPr>
          <w:p>
            <w:pPr>
              <w:spacing w:after="20" w:before="20" w:line="240" w:lineRule="auto"/>
            </w:pPr>
            <w:r/>
            <w:r>
              <w:rPr>
                <w:rFonts w:ascii="Calibri" w:hAnsi="Calibri"/>
                <w:b w:val="0"/>
                <w:sz w:val="15"/>
              </w:rPr>
              <w:t>List the underlying issue, GRN and PO records for any selected figure, exportable for audit.</w:t>
            </w:r>
          </w:p>
        </w:tc>
        <w:tc>
          <w:tcPr>
            <w:tcW w:type="dxa" w:w="2835"/>
            <w:shd w:val="clear" w:fill="F7F9FB"/>
          </w:tcPr>
          <w:p>
            <w:pPr>
              <w:spacing w:after="20" w:before="20" w:line="240" w:lineRule="auto"/>
            </w:pPr>
            <w:r/>
            <w:r>
              <w:rPr>
                <w:rFonts w:ascii="Calibri" w:hAnsi="Calibri"/>
                <w:b w:val="0"/>
                <w:sz w:val="15"/>
              </w:rPr>
              <w:t>The exported list sums to the selected figure and includes document numbers, dates, quantities, costs and batches.</w:t>
            </w:r>
          </w:p>
        </w:tc>
        <w:tc>
          <w:tcPr>
            <w:tcW w:type="dxa" w:w="850"/>
            <w:shd w:val="clear" w:fill="F7F9FB"/>
          </w:tcPr>
          <w:p>
            <w:pPr>
              <w:spacing w:after="20" w:before="20" w:line="240" w:lineRule="auto"/>
              <w:jc w:val="center"/>
            </w:pPr>
            <w:r/>
            <w:r>
              <w:rPr>
                <w:rFonts w:ascii="Calibri" w:hAnsi="Calibri"/>
                <w:b w:val="0"/>
                <w:sz w:val="15"/>
              </w:rPr>
              <w:t>Must</w:t>
            </w:r>
          </w:p>
        </w:tc>
        <w:tc>
          <w:tcPr>
            <w:tcW w:type="dxa" w:w="737"/>
            <w:shd w:val="clear" w:fill="F7F9FB"/>
          </w:tcPr>
          <w:p>
            <w:pPr>
              <w:spacing w:after="20" w:before="20" w:line="240" w:lineRule="auto"/>
              <w:jc w:val="center"/>
            </w:pPr>
            <w:r/>
            <w:r>
              <w:rPr>
                <w:rFonts w:ascii="Calibri" w:hAnsi="Calibri"/>
                <w:b w:val="0"/>
                <w:sz w:val="15"/>
              </w:rPr>
              <w:t>BR-08</w:t>
            </w:r>
          </w:p>
        </w:tc>
      </w:tr>
      <w:tr>
        <w:tc>
          <w:tcPr>
            <w:tcW w:type="dxa" w:w="680"/>
          </w:tcPr>
          <w:p>
            <w:pPr>
              <w:spacing w:after="20" w:before="20" w:line="240" w:lineRule="auto"/>
              <w:jc w:val="center"/>
            </w:pPr>
            <w:r/>
            <w:r>
              <w:rPr>
                <w:rFonts w:ascii="Calibri" w:hAnsi="Calibri"/>
                <w:b w:val="0"/>
                <w:sz w:val="15"/>
              </w:rPr>
              <w:t>FR-37</w:t>
            </w:r>
          </w:p>
        </w:tc>
        <w:tc>
          <w:tcPr>
            <w:tcW w:type="dxa" w:w="1757"/>
          </w:tcPr>
          <w:p>
            <w:pPr>
              <w:spacing w:after="20" w:before="20" w:line="240" w:lineRule="auto"/>
            </w:pPr>
            <w:r/>
            <w:r>
              <w:rPr>
                <w:rFonts w:ascii="Calibri" w:hAnsi="Calibri"/>
                <w:b w:val="0"/>
                <w:sz w:val="15"/>
              </w:rPr>
              <w:t>Role-based security</w:t>
            </w:r>
          </w:p>
        </w:tc>
        <w:tc>
          <w:tcPr>
            <w:tcW w:type="dxa" w:w="2438"/>
          </w:tcPr>
          <w:p>
            <w:pPr>
              <w:spacing w:after="20" w:before="20" w:line="240" w:lineRule="auto"/>
            </w:pPr>
            <w:r/>
            <w:r>
              <w:rPr>
                <w:rFonts w:ascii="Calibri" w:hAnsi="Calibri"/>
                <w:b w:val="0"/>
                <w:sz w:val="15"/>
              </w:rPr>
              <w:t>Restrict data by role: all-data, project-scoped, warehouse-scoped, donor-scoped and read-only audit.</w:t>
            </w:r>
          </w:p>
        </w:tc>
        <w:tc>
          <w:tcPr>
            <w:tcW w:type="dxa" w:w="2835"/>
          </w:tcPr>
          <w:p>
            <w:pPr>
              <w:spacing w:after="20" w:before="20" w:line="240" w:lineRule="auto"/>
            </w:pPr>
            <w:r/>
            <w:r>
              <w:rPr>
                <w:rFonts w:ascii="Calibri" w:hAnsi="Calibri"/>
                <w:b w:val="0"/>
                <w:sz w:val="15"/>
              </w:rPr>
              <w:t>A project-scoped user cannot see other projects' data in any visual, export or drill-through.</w:t>
            </w:r>
          </w:p>
        </w:tc>
        <w:tc>
          <w:tcPr>
            <w:tcW w:type="dxa" w:w="850"/>
          </w:tcPr>
          <w:p>
            <w:pPr>
              <w:spacing w:after="20" w:before="20" w:line="240" w:lineRule="auto"/>
              <w:jc w:val="center"/>
            </w:pPr>
            <w:r/>
            <w:r>
              <w:rPr>
                <w:rFonts w:ascii="Calibri" w:hAnsi="Calibri"/>
                <w:b w:val="0"/>
                <w:sz w:val="15"/>
              </w:rPr>
              <w:t>Must</w:t>
            </w:r>
          </w:p>
        </w:tc>
        <w:tc>
          <w:tcPr>
            <w:tcW w:type="dxa" w:w="737"/>
          </w:tcPr>
          <w:p>
            <w:pPr>
              <w:spacing w:after="20" w:before="20" w:line="240" w:lineRule="auto"/>
              <w:jc w:val="center"/>
            </w:pPr>
            <w:r/>
            <w:r>
              <w:rPr>
                <w:rFonts w:ascii="Calibri" w:hAnsi="Calibri"/>
                <w:b w:val="0"/>
                <w:sz w:val="15"/>
              </w:rPr>
              <w:t>BR-10</w:t>
            </w:r>
          </w:p>
        </w:tc>
      </w:tr>
      <w:tr>
        <w:tc>
          <w:tcPr>
            <w:tcW w:type="dxa" w:w="680"/>
            <w:shd w:val="clear" w:fill="F7F9FB"/>
          </w:tcPr>
          <w:p>
            <w:pPr>
              <w:spacing w:after="20" w:before="20" w:line="240" w:lineRule="auto"/>
              <w:jc w:val="center"/>
            </w:pPr>
            <w:r/>
            <w:r>
              <w:rPr>
                <w:rFonts w:ascii="Calibri" w:hAnsi="Calibri"/>
                <w:b w:val="0"/>
                <w:sz w:val="15"/>
              </w:rPr>
              <w:t>FR-38</w:t>
            </w:r>
          </w:p>
        </w:tc>
        <w:tc>
          <w:tcPr>
            <w:tcW w:type="dxa" w:w="1757"/>
            <w:shd w:val="clear" w:fill="F7F9FB"/>
          </w:tcPr>
          <w:p>
            <w:pPr>
              <w:spacing w:after="20" w:before="20" w:line="240" w:lineRule="auto"/>
            </w:pPr>
            <w:r/>
            <w:r>
              <w:rPr>
                <w:rFonts w:ascii="Calibri" w:hAnsi="Calibri"/>
                <w:b w:val="0"/>
                <w:sz w:val="15"/>
              </w:rPr>
              <w:t>Audit trail of usage and changes</w:t>
            </w:r>
          </w:p>
        </w:tc>
        <w:tc>
          <w:tcPr>
            <w:tcW w:type="dxa" w:w="2438"/>
            <w:shd w:val="clear" w:fill="F7F9FB"/>
          </w:tcPr>
          <w:p>
            <w:pPr>
              <w:spacing w:after="20" w:before="20" w:line="240" w:lineRule="auto"/>
            </w:pPr>
            <w:r/>
            <w:r>
              <w:rPr>
                <w:rFonts w:ascii="Calibri" w:hAnsi="Calibri"/>
                <w:b w:val="0"/>
                <w:sz w:val="15"/>
              </w:rPr>
              <w:t>Log access, exports and configuration changes (thresholds, commentary, ownership).</w:t>
            </w:r>
          </w:p>
        </w:tc>
        <w:tc>
          <w:tcPr>
            <w:tcW w:type="dxa" w:w="2835"/>
            <w:shd w:val="clear" w:fill="F7F9FB"/>
          </w:tcPr>
          <w:p>
            <w:pPr>
              <w:spacing w:after="20" w:before="20" w:line="240" w:lineRule="auto"/>
            </w:pPr>
            <w:r/>
            <w:r>
              <w:rPr>
                <w:rFonts w:ascii="Calibri" w:hAnsi="Calibri"/>
                <w:b w:val="0"/>
                <w:sz w:val="15"/>
              </w:rPr>
              <w:t>Log retains at least 12 months and is accessible to IT and internal audit.</w:t>
            </w:r>
          </w:p>
        </w:tc>
        <w:tc>
          <w:tcPr>
            <w:tcW w:type="dxa" w:w="850"/>
            <w:shd w:val="clear" w:fill="F7F9FB"/>
          </w:tcPr>
          <w:p>
            <w:pPr>
              <w:spacing w:after="20" w:before="20" w:line="240" w:lineRule="auto"/>
              <w:jc w:val="center"/>
            </w:pPr>
            <w:r/>
            <w:r>
              <w:rPr>
                <w:rFonts w:ascii="Calibri" w:hAnsi="Calibri"/>
                <w:b w:val="0"/>
                <w:sz w:val="15"/>
              </w:rPr>
              <w:t>Should</w:t>
            </w:r>
          </w:p>
        </w:tc>
        <w:tc>
          <w:tcPr>
            <w:tcW w:type="dxa" w:w="737"/>
            <w:shd w:val="clear" w:fill="F7F9FB"/>
          </w:tcPr>
          <w:p>
            <w:pPr>
              <w:spacing w:after="20" w:before="20" w:line="240" w:lineRule="auto"/>
              <w:jc w:val="center"/>
            </w:pPr>
            <w:r/>
            <w:r>
              <w:rPr>
                <w:rFonts w:ascii="Calibri" w:hAnsi="Calibri"/>
                <w:b w:val="0"/>
                <w:sz w:val="15"/>
              </w:rPr>
              <w:t>BR-10</w:t>
            </w:r>
          </w:p>
        </w:tc>
      </w:tr>
      <w:tr>
        <w:tc>
          <w:tcPr>
            <w:tcW w:type="dxa" w:w="680"/>
          </w:tcPr>
          <w:p>
            <w:pPr>
              <w:spacing w:after="20" w:before="20" w:line="240" w:lineRule="auto"/>
              <w:jc w:val="center"/>
            </w:pPr>
            <w:r/>
            <w:r>
              <w:rPr>
                <w:rFonts w:ascii="Calibri" w:hAnsi="Calibri"/>
                <w:b w:val="0"/>
                <w:sz w:val="15"/>
              </w:rPr>
              <w:t>FR-39</w:t>
            </w:r>
          </w:p>
        </w:tc>
        <w:tc>
          <w:tcPr>
            <w:tcW w:type="dxa" w:w="1757"/>
          </w:tcPr>
          <w:p>
            <w:pPr>
              <w:spacing w:after="20" w:before="20" w:line="240" w:lineRule="auto"/>
            </w:pPr>
            <w:r/>
            <w:r>
              <w:rPr>
                <w:rFonts w:ascii="Calibri" w:hAnsi="Calibri"/>
                <w:b w:val="0"/>
                <w:sz w:val="15"/>
              </w:rPr>
              <w:t>Master-data exception register</w:t>
            </w:r>
          </w:p>
        </w:tc>
        <w:tc>
          <w:tcPr>
            <w:tcW w:type="dxa" w:w="2438"/>
          </w:tcPr>
          <w:p>
            <w:pPr>
              <w:spacing w:after="20" w:before="20" w:line="240" w:lineRule="auto"/>
            </w:pPr>
            <w:r/>
            <w:r>
              <w:rPr>
                <w:rFonts w:ascii="Calibri" w:hAnsi="Calibri"/>
                <w:b w:val="0"/>
                <w:sz w:val="15"/>
              </w:rPr>
              <w:t>List items, projects and suppliers present in transactions but missing, inactive or invalid in the master data.</w:t>
            </w:r>
          </w:p>
        </w:tc>
        <w:tc>
          <w:tcPr>
            <w:tcW w:type="dxa" w:w="2835"/>
          </w:tcPr>
          <w:p>
            <w:pPr>
              <w:spacing w:after="20" w:before="20" w:line="240" w:lineRule="auto"/>
            </w:pPr>
            <w:r/>
            <w:r>
              <w:rPr>
                <w:rFonts w:ascii="Calibri" w:hAnsi="Calibri"/>
                <w:b w:val="0"/>
                <w:sz w:val="15"/>
              </w:rPr>
              <w:t>Register is refreshed each load; each entry has a suggested owner action.</w:t>
            </w:r>
          </w:p>
        </w:tc>
        <w:tc>
          <w:tcPr>
            <w:tcW w:type="dxa" w:w="850"/>
          </w:tcPr>
          <w:p>
            <w:pPr>
              <w:spacing w:after="20" w:before="20" w:line="240" w:lineRule="auto"/>
              <w:jc w:val="center"/>
            </w:pPr>
            <w:r/>
            <w:r>
              <w:rPr>
                <w:rFonts w:ascii="Calibri" w:hAnsi="Calibri"/>
                <w:b w:val="0"/>
                <w:sz w:val="15"/>
              </w:rPr>
              <w:t>Should</w:t>
            </w:r>
          </w:p>
        </w:tc>
        <w:tc>
          <w:tcPr>
            <w:tcW w:type="dxa" w:w="737"/>
          </w:tcPr>
          <w:p>
            <w:pPr>
              <w:spacing w:after="20" w:before="20" w:line="240" w:lineRule="auto"/>
              <w:jc w:val="center"/>
            </w:pPr>
            <w:r/>
            <w:r>
              <w:rPr>
                <w:rFonts w:ascii="Calibri" w:hAnsi="Calibri"/>
                <w:b w:val="0"/>
                <w:sz w:val="15"/>
              </w:rPr>
              <w:t>BR-08</w:t>
            </w:r>
          </w:p>
        </w:tc>
      </w:tr>
      <w:tr>
        <w:tc>
          <w:tcPr>
            <w:tcW w:type="dxa" w:w="680"/>
            <w:shd w:val="clear" w:fill="F7F9FB"/>
          </w:tcPr>
          <w:p>
            <w:pPr>
              <w:spacing w:after="20" w:before="20" w:line="240" w:lineRule="auto"/>
              <w:jc w:val="center"/>
            </w:pPr>
            <w:r/>
            <w:r>
              <w:rPr>
                <w:rFonts w:ascii="Calibri" w:hAnsi="Calibri"/>
                <w:b w:val="0"/>
                <w:sz w:val="15"/>
              </w:rPr>
              <w:t>FR-40</w:t>
            </w:r>
          </w:p>
        </w:tc>
        <w:tc>
          <w:tcPr>
            <w:tcW w:type="dxa" w:w="1757"/>
            <w:shd w:val="clear" w:fill="F7F9FB"/>
          </w:tcPr>
          <w:p>
            <w:pPr>
              <w:spacing w:after="20" w:before="20" w:line="240" w:lineRule="auto"/>
            </w:pPr>
            <w:r/>
            <w:r>
              <w:rPr>
                <w:rFonts w:ascii="Calibri" w:hAnsi="Calibri"/>
                <w:b w:val="0"/>
                <w:sz w:val="15"/>
              </w:rPr>
              <w:t>Indicative requirement proposal</w:t>
            </w:r>
          </w:p>
        </w:tc>
        <w:tc>
          <w:tcPr>
            <w:tcW w:type="dxa" w:w="2438"/>
            <w:shd w:val="clear" w:fill="F7F9FB"/>
          </w:tcPr>
          <w:p>
            <w:pPr>
              <w:spacing w:after="20" w:before="20" w:line="240" w:lineRule="auto"/>
            </w:pPr>
            <w:r/>
            <w:r>
              <w:rPr>
                <w:rFonts w:ascii="Calibri" w:hAnsi="Calibri"/>
                <w:b w:val="0"/>
                <w:sz w:val="15"/>
              </w:rPr>
              <w:t>For each item, propose an indicative purchase quantity for the next period based on recent consumption, cover target and lead time.</w:t>
            </w:r>
          </w:p>
        </w:tc>
        <w:tc>
          <w:tcPr>
            <w:tcW w:type="dxa" w:w="2835"/>
            <w:shd w:val="clear" w:fill="F7F9FB"/>
          </w:tcPr>
          <w:p>
            <w:pPr>
              <w:spacing w:after="20" w:before="20" w:line="240" w:lineRule="auto"/>
            </w:pPr>
            <w:r/>
            <w:r>
              <w:rPr>
                <w:rFonts w:ascii="Calibri" w:hAnsi="Calibri"/>
                <w:b w:val="0"/>
                <w:sz w:val="15"/>
              </w:rPr>
              <w:t>Proposal equals (average monthly consumption × (cover target months + lead time in months)) − on hand − open commitment, floored at zero; the calculation basis is displayed.</w:t>
            </w:r>
          </w:p>
        </w:tc>
        <w:tc>
          <w:tcPr>
            <w:tcW w:type="dxa" w:w="850"/>
            <w:shd w:val="clear" w:fill="F7F9FB"/>
          </w:tcPr>
          <w:p>
            <w:pPr>
              <w:spacing w:after="20" w:before="20" w:line="240" w:lineRule="auto"/>
              <w:jc w:val="center"/>
            </w:pPr>
            <w:r/>
            <w:r>
              <w:rPr>
                <w:rFonts w:ascii="Calibri" w:hAnsi="Calibri"/>
                <w:b w:val="0"/>
                <w:sz w:val="15"/>
              </w:rPr>
              <w:t>Should</w:t>
            </w:r>
          </w:p>
        </w:tc>
        <w:tc>
          <w:tcPr>
            <w:tcW w:type="dxa" w:w="737"/>
            <w:shd w:val="clear" w:fill="F7F9FB"/>
          </w:tcPr>
          <w:p>
            <w:pPr>
              <w:spacing w:after="20" w:before="20" w:line="240" w:lineRule="auto"/>
              <w:jc w:val="center"/>
            </w:pPr>
            <w:r/>
            <w:r>
              <w:rPr>
                <w:rFonts w:ascii="Calibri" w:hAnsi="Calibri"/>
                <w:b w:val="0"/>
                <w:sz w:val="15"/>
              </w:rPr>
              <w:t>BR-04</w:t>
            </w:r>
          </w:p>
        </w:tc>
      </w:tr>
      <w:tr>
        <w:tc>
          <w:tcPr>
            <w:tcW w:type="dxa" w:w="680"/>
          </w:tcPr>
          <w:p>
            <w:pPr>
              <w:spacing w:after="20" w:before="20" w:line="240" w:lineRule="auto"/>
              <w:jc w:val="center"/>
            </w:pPr>
            <w:r/>
            <w:r>
              <w:rPr>
                <w:rFonts w:ascii="Calibri" w:hAnsi="Calibri"/>
                <w:b w:val="0"/>
                <w:sz w:val="15"/>
              </w:rPr>
              <w:t>FR-41</w:t>
            </w:r>
          </w:p>
        </w:tc>
        <w:tc>
          <w:tcPr>
            <w:tcW w:type="dxa" w:w="1757"/>
          </w:tcPr>
          <w:p>
            <w:pPr>
              <w:spacing w:after="20" w:before="20" w:line="240" w:lineRule="auto"/>
            </w:pPr>
            <w:r/>
            <w:r>
              <w:rPr>
                <w:rFonts w:ascii="Calibri" w:hAnsi="Calibri"/>
                <w:b w:val="0"/>
                <w:sz w:val="15"/>
              </w:rPr>
              <w:t>Consumption by issue type</w:t>
            </w:r>
          </w:p>
        </w:tc>
        <w:tc>
          <w:tcPr>
            <w:tcW w:type="dxa" w:w="2438"/>
          </w:tcPr>
          <w:p>
            <w:pPr>
              <w:spacing w:after="20" w:before="20" w:line="240" w:lineRule="auto"/>
            </w:pPr>
            <w:r/>
            <w:r>
              <w:rPr>
                <w:rFonts w:ascii="Calibri" w:hAnsi="Calibri"/>
                <w:b w:val="0"/>
                <w:sz w:val="15"/>
              </w:rPr>
              <w:t>Separate project issues, department issues and transfers so that only project consumption is counted in project KPIs.</w:t>
            </w:r>
          </w:p>
        </w:tc>
        <w:tc>
          <w:tcPr>
            <w:tcW w:type="dxa" w:w="2835"/>
          </w:tcPr>
          <w:p>
            <w:pPr>
              <w:spacing w:after="20" w:before="20" w:line="240" w:lineRule="auto"/>
            </w:pPr>
            <w:r/>
            <w:r>
              <w:rPr>
                <w:rFonts w:ascii="Calibri" w:hAnsi="Calibri"/>
                <w:b w:val="0"/>
                <w:sz w:val="15"/>
              </w:rPr>
              <w:t>Totals by issue type reconcile to the grand total of issues.</w:t>
            </w:r>
          </w:p>
        </w:tc>
        <w:tc>
          <w:tcPr>
            <w:tcW w:type="dxa" w:w="850"/>
          </w:tcPr>
          <w:p>
            <w:pPr>
              <w:spacing w:after="20" w:before="20" w:line="240" w:lineRule="auto"/>
              <w:jc w:val="center"/>
            </w:pPr>
            <w:r/>
            <w:r>
              <w:rPr>
                <w:rFonts w:ascii="Calibri" w:hAnsi="Calibri"/>
                <w:b w:val="0"/>
                <w:sz w:val="15"/>
              </w:rPr>
              <w:t>Must</w:t>
            </w:r>
          </w:p>
        </w:tc>
        <w:tc>
          <w:tcPr>
            <w:tcW w:type="dxa" w:w="737"/>
          </w:tcPr>
          <w:p>
            <w:pPr>
              <w:spacing w:after="20" w:before="20" w:line="240" w:lineRule="auto"/>
              <w:jc w:val="center"/>
            </w:pPr>
            <w:r/>
            <w:r>
              <w:rPr>
                <w:rFonts w:ascii="Calibri" w:hAnsi="Calibri"/>
                <w:b w:val="0"/>
                <w:sz w:val="15"/>
              </w:rPr>
              <w:t>BR-01</w:t>
            </w:r>
          </w:p>
        </w:tc>
      </w:tr>
      <w:tr>
        <w:tc>
          <w:tcPr>
            <w:tcW w:type="dxa" w:w="680"/>
            <w:shd w:val="clear" w:fill="F7F9FB"/>
          </w:tcPr>
          <w:p>
            <w:pPr>
              <w:spacing w:after="20" w:before="20" w:line="240" w:lineRule="auto"/>
              <w:jc w:val="center"/>
            </w:pPr>
            <w:r/>
            <w:r>
              <w:rPr>
                <w:rFonts w:ascii="Calibri" w:hAnsi="Calibri"/>
                <w:b w:val="0"/>
                <w:sz w:val="15"/>
              </w:rPr>
              <w:t>FR-42</w:t>
            </w:r>
          </w:p>
        </w:tc>
        <w:tc>
          <w:tcPr>
            <w:tcW w:type="dxa" w:w="1757"/>
            <w:shd w:val="clear" w:fill="F7F9FB"/>
          </w:tcPr>
          <w:p>
            <w:pPr>
              <w:spacing w:after="20" w:before="20" w:line="240" w:lineRule="auto"/>
            </w:pPr>
            <w:r/>
            <w:r>
              <w:rPr>
                <w:rFonts w:ascii="Calibri" w:hAnsi="Calibri"/>
                <w:b w:val="0"/>
                <w:sz w:val="15"/>
              </w:rPr>
              <w:t>Unit of measure consistency</w:t>
            </w:r>
          </w:p>
        </w:tc>
        <w:tc>
          <w:tcPr>
            <w:tcW w:type="dxa" w:w="2438"/>
            <w:shd w:val="clear" w:fill="F7F9FB"/>
          </w:tcPr>
          <w:p>
            <w:pPr>
              <w:spacing w:after="20" w:before="20" w:line="240" w:lineRule="auto"/>
            </w:pPr>
            <w:r/>
            <w:r>
              <w:rPr>
                <w:rFonts w:ascii="Calibri" w:hAnsi="Calibri"/>
                <w:b w:val="0"/>
                <w:sz w:val="15"/>
              </w:rPr>
              <w:t>Normalise all quantities to the base unit of measure, with pack size available for reference.</w:t>
            </w:r>
          </w:p>
        </w:tc>
        <w:tc>
          <w:tcPr>
            <w:tcW w:type="dxa" w:w="2835"/>
            <w:shd w:val="clear" w:fill="F7F9FB"/>
          </w:tcPr>
          <w:p>
            <w:pPr>
              <w:spacing w:after="20" w:before="20" w:line="240" w:lineRule="auto"/>
            </w:pPr>
            <w:r/>
            <w:r>
              <w:rPr>
                <w:rFonts w:ascii="Calibri" w:hAnsi="Calibri"/>
                <w:b w:val="0"/>
                <w:sz w:val="15"/>
              </w:rPr>
              <w:t>Pack-based ordering (for example a pack of 1,000 tablets) is converted to base units before aggregation; conversion is documented.</w:t>
            </w:r>
          </w:p>
        </w:tc>
        <w:tc>
          <w:tcPr>
            <w:tcW w:type="dxa" w:w="850"/>
            <w:shd w:val="clear" w:fill="F7F9FB"/>
          </w:tcPr>
          <w:p>
            <w:pPr>
              <w:spacing w:after="20" w:before="20" w:line="240" w:lineRule="auto"/>
              <w:jc w:val="center"/>
            </w:pPr>
            <w:r/>
            <w:r>
              <w:rPr>
                <w:rFonts w:ascii="Calibri" w:hAnsi="Calibri"/>
                <w:b w:val="0"/>
                <w:sz w:val="15"/>
              </w:rPr>
              <w:t>Must</w:t>
            </w:r>
          </w:p>
        </w:tc>
        <w:tc>
          <w:tcPr>
            <w:tcW w:type="dxa" w:w="737"/>
            <w:shd w:val="clear" w:fill="F7F9FB"/>
          </w:tcPr>
          <w:p>
            <w:pPr>
              <w:spacing w:after="20" w:before="20" w:line="240" w:lineRule="auto"/>
              <w:jc w:val="center"/>
            </w:pPr>
            <w:r/>
            <w:r>
              <w:rPr>
                <w:rFonts w:ascii="Calibri" w:hAnsi="Calibri"/>
                <w:b w:val="0"/>
                <w:sz w:val="15"/>
              </w:rPr>
              <w:t>BR-12</w:t>
            </w:r>
          </w:p>
        </w:tc>
      </w:tr>
      <w:tr>
        <w:tc>
          <w:tcPr>
            <w:tcW w:type="dxa" w:w="680"/>
          </w:tcPr>
          <w:p>
            <w:pPr>
              <w:spacing w:after="20" w:before="20" w:line="240" w:lineRule="auto"/>
              <w:jc w:val="center"/>
            </w:pPr>
            <w:r/>
            <w:r>
              <w:rPr>
                <w:rFonts w:ascii="Calibri" w:hAnsi="Calibri"/>
                <w:b w:val="0"/>
                <w:sz w:val="15"/>
              </w:rPr>
              <w:t>FR-43</w:t>
            </w:r>
          </w:p>
        </w:tc>
        <w:tc>
          <w:tcPr>
            <w:tcW w:type="dxa" w:w="1757"/>
          </w:tcPr>
          <w:p>
            <w:pPr>
              <w:spacing w:after="20" w:before="20" w:line="240" w:lineRule="auto"/>
            </w:pPr>
            <w:r/>
            <w:r>
              <w:rPr>
                <w:rFonts w:ascii="Calibri" w:hAnsi="Calibri"/>
                <w:b w:val="0"/>
                <w:sz w:val="15"/>
              </w:rPr>
              <w:t>Currency and inflation handling</w:t>
            </w:r>
          </w:p>
        </w:tc>
        <w:tc>
          <w:tcPr>
            <w:tcW w:type="dxa" w:w="2438"/>
          </w:tcPr>
          <w:p>
            <w:pPr>
              <w:spacing w:after="20" w:before="20" w:line="240" w:lineRule="auto"/>
            </w:pPr>
            <w:r/>
            <w:r>
              <w:rPr>
                <w:rFonts w:ascii="Calibri" w:hAnsi="Calibri"/>
                <w:b w:val="0"/>
                <w:sz w:val="15"/>
              </w:rPr>
              <w:t>Report values in PKR; provide a constant-price view using a documented index for trend comparison.</w:t>
            </w:r>
          </w:p>
        </w:tc>
        <w:tc>
          <w:tcPr>
            <w:tcW w:type="dxa" w:w="2835"/>
          </w:tcPr>
          <w:p>
            <w:pPr>
              <w:spacing w:after="20" w:before="20" w:line="240" w:lineRule="auto"/>
            </w:pPr>
            <w:r/>
            <w:r>
              <w:rPr>
                <w:rFonts w:ascii="Calibri" w:hAnsi="Calibri"/>
                <w:b w:val="0"/>
                <w:sz w:val="15"/>
              </w:rPr>
              <w:t>Actual and constant-price values are labelled distinctly and never mixed in one series.</w:t>
            </w:r>
          </w:p>
        </w:tc>
        <w:tc>
          <w:tcPr>
            <w:tcW w:type="dxa" w:w="850"/>
          </w:tcPr>
          <w:p>
            <w:pPr>
              <w:spacing w:after="20" w:before="20" w:line="240" w:lineRule="auto"/>
              <w:jc w:val="center"/>
            </w:pPr>
            <w:r/>
            <w:r>
              <w:rPr>
                <w:rFonts w:ascii="Calibri" w:hAnsi="Calibri"/>
                <w:b w:val="0"/>
                <w:sz w:val="15"/>
              </w:rPr>
              <w:t>Could</w:t>
            </w:r>
          </w:p>
        </w:tc>
        <w:tc>
          <w:tcPr>
            <w:tcW w:type="dxa" w:w="737"/>
          </w:tcPr>
          <w:p>
            <w:pPr>
              <w:spacing w:after="20" w:before="20" w:line="240" w:lineRule="auto"/>
              <w:jc w:val="center"/>
            </w:pPr>
            <w:r/>
            <w:r>
              <w:rPr>
                <w:rFonts w:ascii="Calibri" w:hAnsi="Calibri"/>
                <w:b w:val="0"/>
                <w:sz w:val="15"/>
              </w:rPr>
              <w:t>BR-03</w:t>
            </w:r>
          </w:p>
        </w:tc>
      </w:tr>
      <w:tr>
        <w:tc>
          <w:tcPr>
            <w:tcW w:type="dxa" w:w="680"/>
            <w:shd w:val="clear" w:fill="F7F9FB"/>
          </w:tcPr>
          <w:p>
            <w:pPr>
              <w:spacing w:after="20" w:before="20" w:line="240" w:lineRule="auto"/>
              <w:jc w:val="center"/>
            </w:pPr>
            <w:r/>
            <w:r>
              <w:rPr>
                <w:rFonts w:ascii="Calibri" w:hAnsi="Calibri"/>
                <w:b w:val="0"/>
                <w:sz w:val="15"/>
              </w:rPr>
              <w:t>FR-44</w:t>
            </w:r>
          </w:p>
        </w:tc>
        <w:tc>
          <w:tcPr>
            <w:tcW w:type="dxa" w:w="1757"/>
            <w:shd w:val="clear" w:fill="F7F9FB"/>
          </w:tcPr>
          <w:p>
            <w:pPr>
              <w:spacing w:after="20" w:before="20" w:line="240" w:lineRule="auto"/>
            </w:pPr>
            <w:r/>
            <w:r>
              <w:rPr>
                <w:rFonts w:ascii="Calibri" w:hAnsi="Calibri"/>
                <w:b w:val="0"/>
                <w:sz w:val="15"/>
              </w:rPr>
              <w:t>Project status and progress</w:t>
            </w:r>
          </w:p>
        </w:tc>
        <w:tc>
          <w:tcPr>
            <w:tcW w:type="dxa" w:w="2438"/>
            <w:shd w:val="clear" w:fill="F7F9FB"/>
          </w:tcPr>
          <w:p>
            <w:pPr>
              <w:spacing w:after="20" w:before="20" w:line="240" w:lineRule="auto"/>
            </w:pPr>
            <w:r/>
            <w:r>
              <w:rPr>
                <w:rFonts w:ascii="Calibri" w:hAnsi="Calibri"/>
                <w:b w:val="0"/>
                <w:sz w:val="15"/>
              </w:rPr>
              <w:t>Show project start and end dates, elapsed and remaining duration, status and budget consumed to date.</w:t>
            </w:r>
          </w:p>
        </w:tc>
        <w:tc>
          <w:tcPr>
            <w:tcW w:type="dxa" w:w="2835"/>
            <w:shd w:val="clear" w:fill="F7F9FB"/>
          </w:tcPr>
          <w:p>
            <w:pPr>
              <w:spacing w:after="20" w:before="20" w:line="240" w:lineRule="auto"/>
            </w:pPr>
            <w:r/>
            <w:r>
              <w:rPr>
                <w:rFonts w:ascii="Calibri" w:hAnsi="Calibri"/>
                <w:b w:val="0"/>
                <w:sz w:val="15"/>
              </w:rPr>
              <w:t>Progress percentage equals elapsed days ÷ total project days; status matches the project master.</w:t>
            </w:r>
          </w:p>
        </w:tc>
        <w:tc>
          <w:tcPr>
            <w:tcW w:type="dxa" w:w="850"/>
            <w:shd w:val="clear" w:fill="F7F9FB"/>
          </w:tcPr>
          <w:p>
            <w:pPr>
              <w:spacing w:after="20" w:before="20" w:line="240" w:lineRule="auto"/>
              <w:jc w:val="center"/>
            </w:pPr>
            <w:r/>
            <w:r>
              <w:rPr>
                <w:rFonts w:ascii="Calibri" w:hAnsi="Calibri"/>
                <w:b w:val="0"/>
                <w:sz w:val="15"/>
              </w:rPr>
              <w:t>Must</w:t>
            </w:r>
          </w:p>
        </w:tc>
        <w:tc>
          <w:tcPr>
            <w:tcW w:type="dxa" w:w="737"/>
            <w:shd w:val="clear" w:fill="F7F9FB"/>
          </w:tcPr>
          <w:p>
            <w:pPr>
              <w:spacing w:after="20" w:before="20" w:line="240" w:lineRule="auto"/>
              <w:jc w:val="center"/>
            </w:pPr>
            <w:r/>
            <w:r>
              <w:rPr>
                <w:rFonts w:ascii="Calibri" w:hAnsi="Calibri"/>
                <w:b w:val="0"/>
                <w:sz w:val="15"/>
              </w:rPr>
              <w:t>BR-02</w:t>
            </w:r>
          </w:p>
        </w:tc>
      </w:tr>
      <w:tr>
        <w:tc>
          <w:tcPr>
            <w:tcW w:type="dxa" w:w="680"/>
          </w:tcPr>
          <w:p>
            <w:pPr>
              <w:spacing w:after="20" w:before="20" w:line="240" w:lineRule="auto"/>
              <w:jc w:val="center"/>
            </w:pPr>
            <w:r/>
            <w:r>
              <w:rPr>
                <w:rFonts w:ascii="Calibri" w:hAnsi="Calibri"/>
                <w:b w:val="0"/>
                <w:sz w:val="15"/>
              </w:rPr>
              <w:t>FR-45</w:t>
            </w:r>
          </w:p>
        </w:tc>
        <w:tc>
          <w:tcPr>
            <w:tcW w:type="dxa" w:w="1757"/>
          </w:tcPr>
          <w:p>
            <w:pPr>
              <w:spacing w:after="20" w:before="20" w:line="240" w:lineRule="auto"/>
            </w:pPr>
            <w:r/>
            <w:r>
              <w:rPr>
                <w:rFonts w:ascii="Calibri" w:hAnsi="Calibri"/>
                <w:b w:val="0"/>
                <w:sz w:val="15"/>
              </w:rPr>
              <w:t>Saved views and personalisation</w:t>
            </w:r>
          </w:p>
        </w:tc>
        <w:tc>
          <w:tcPr>
            <w:tcW w:type="dxa" w:w="2438"/>
          </w:tcPr>
          <w:p>
            <w:pPr>
              <w:spacing w:after="20" w:before="20" w:line="240" w:lineRule="auto"/>
            </w:pPr>
            <w:r/>
            <w:r>
              <w:rPr>
                <w:rFonts w:ascii="Calibri" w:hAnsi="Calibri"/>
                <w:b w:val="0"/>
                <w:sz w:val="15"/>
              </w:rPr>
              <w:t>Allow users to save filter combinations as personal or shared views.</w:t>
            </w:r>
          </w:p>
        </w:tc>
        <w:tc>
          <w:tcPr>
            <w:tcW w:type="dxa" w:w="2835"/>
          </w:tcPr>
          <w:p>
            <w:pPr>
              <w:spacing w:after="20" w:before="20" w:line="240" w:lineRule="auto"/>
            </w:pPr>
            <w:r/>
            <w:r>
              <w:rPr>
                <w:rFonts w:ascii="Calibri" w:hAnsi="Calibri"/>
                <w:b w:val="0"/>
                <w:sz w:val="15"/>
              </w:rPr>
              <w:t>Saved views are private by default and shareable on request; they do not alter underlying definitions.</w:t>
            </w:r>
          </w:p>
        </w:tc>
        <w:tc>
          <w:tcPr>
            <w:tcW w:type="dxa" w:w="850"/>
          </w:tcPr>
          <w:p>
            <w:pPr>
              <w:spacing w:after="20" w:before="20" w:line="240" w:lineRule="auto"/>
              <w:jc w:val="center"/>
            </w:pPr>
            <w:r/>
            <w:r>
              <w:rPr>
                <w:rFonts w:ascii="Calibri" w:hAnsi="Calibri"/>
                <w:b w:val="0"/>
                <w:sz w:val="15"/>
              </w:rPr>
              <w:t>Could</w:t>
            </w:r>
          </w:p>
        </w:tc>
        <w:tc>
          <w:tcPr>
            <w:tcW w:type="dxa" w:w="737"/>
          </w:tcPr>
          <w:p>
            <w:pPr>
              <w:spacing w:after="20" w:before="20" w:line="240" w:lineRule="auto"/>
              <w:jc w:val="center"/>
            </w:pPr>
            <w:r/>
            <w:r>
              <w:rPr>
                <w:rFonts w:ascii="Calibri" w:hAnsi="Calibri"/>
                <w:b w:val="0"/>
                <w:sz w:val="15"/>
              </w:rPr>
              <w:t>BR-11</w:t>
            </w:r>
          </w:p>
        </w:tc>
      </w:tr>
      <w:tr>
        <w:tc>
          <w:tcPr>
            <w:tcW w:type="dxa" w:w="680"/>
            <w:shd w:val="clear" w:fill="F7F9FB"/>
          </w:tcPr>
          <w:p>
            <w:pPr>
              <w:spacing w:after="20" w:before="20" w:line="240" w:lineRule="auto"/>
              <w:jc w:val="center"/>
            </w:pPr>
            <w:r/>
            <w:r>
              <w:rPr>
                <w:rFonts w:ascii="Calibri" w:hAnsi="Calibri"/>
                <w:b w:val="0"/>
                <w:sz w:val="15"/>
              </w:rPr>
              <w:t>FR-46</w:t>
            </w:r>
          </w:p>
        </w:tc>
        <w:tc>
          <w:tcPr>
            <w:tcW w:type="dxa" w:w="1757"/>
            <w:shd w:val="clear" w:fill="F7F9FB"/>
          </w:tcPr>
          <w:p>
            <w:pPr>
              <w:spacing w:after="20" w:before="20" w:line="240" w:lineRule="auto"/>
            </w:pPr>
            <w:r/>
            <w:r>
              <w:rPr>
                <w:rFonts w:ascii="Calibri" w:hAnsi="Calibri"/>
                <w:b w:val="0"/>
                <w:sz w:val="15"/>
              </w:rPr>
              <w:t>Mobile and responsive access</w:t>
            </w:r>
          </w:p>
        </w:tc>
        <w:tc>
          <w:tcPr>
            <w:tcW w:type="dxa" w:w="2438"/>
            <w:shd w:val="clear" w:fill="F7F9FB"/>
          </w:tcPr>
          <w:p>
            <w:pPr>
              <w:spacing w:after="20" w:before="20" w:line="240" w:lineRule="auto"/>
            </w:pPr>
            <w:r/>
            <w:r>
              <w:rPr>
                <w:rFonts w:ascii="Calibri" w:hAnsi="Calibri"/>
                <w:b w:val="0"/>
                <w:sz w:val="15"/>
              </w:rPr>
              <w:t>Provide a responsive layout for tablet and mobile for the executive and project pages.</w:t>
            </w:r>
          </w:p>
        </w:tc>
        <w:tc>
          <w:tcPr>
            <w:tcW w:type="dxa" w:w="2835"/>
            <w:shd w:val="clear" w:fill="F7F9FB"/>
          </w:tcPr>
          <w:p>
            <w:pPr>
              <w:spacing w:after="20" w:before="20" w:line="240" w:lineRule="auto"/>
            </w:pPr>
            <w:r/>
            <w:r>
              <w:rPr>
                <w:rFonts w:ascii="Calibri" w:hAnsi="Calibri"/>
                <w:b w:val="0"/>
                <w:sz w:val="15"/>
              </w:rPr>
              <w:t>Key visuals remain legible and usable at 768 px width; no horizontal scrolling of KPI tiles.</w:t>
            </w:r>
          </w:p>
        </w:tc>
        <w:tc>
          <w:tcPr>
            <w:tcW w:type="dxa" w:w="850"/>
            <w:shd w:val="clear" w:fill="F7F9FB"/>
          </w:tcPr>
          <w:p>
            <w:pPr>
              <w:spacing w:after="20" w:before="20" w:line="240" w:lineRule="auto"/>
              <w:jc w:val="center"/>
            </w:pPr>
            <w:r/>
            <w:r>
              <w:rPr>
                <w:rFonts w:ascii="Calibri" w:hAnsi="Calibri"/>
                <w:b w:val="0"/>
                <w:sz w:val="15"/>
              </w:rPr>
              <w:t>Could</w:t>
            </w:r>
          </w:p>
        </w:tc>
        <w:tc>
          <w:tcPr>
            <w:tcW w:type="dxa" w:w="737"/>
            <w:shd w:val="clear" w:fill="F7F9FB"/>
          </w:tcPr>
          <w:p>
            <w:pPr>
              <w:spacing w:after="20" w:before="20" w:line="240" w:lineRule="auto"/>
              <w:jc w:val="center"/>
            </w:pPr>
            <w:r/>
            <w:r>
              <w:rPr>
                <w:rFonts w:ascii="Calibri" w:hAnsi="Calibri"/>
                <w:b w:val="0"/>
                <w:sz w:val="15"/>
              </w:rPr>
              <w:t>BR-11</w:t>
            </w:r>
          </w:p>
        </w:tc>
      </w:tr>
      <w:tr>
        <w:tc>
          <w:tcPr>
            <w:tcW w:type="dxa" w:w="680"/>
          </w:tcPr>
          <w:p>
            <w:pPr>
              <w:spacing w:after="20" w:before="20" w:line="240" w:lineRule="auto"/>
              <w:jc w:val="center"/>
            </w:pPr>
            <w:r/>
            <w:r>
              <w:rPr>
                <w:rFonts w:ascii="Calibri" w:hAnsi="Calibri"/>
                <w:b w:val="0"/>
                <w:sz w:val="15"/>
              </w:rPr>
              <w:t>FR-47</w:t>
            </w:r>
          </w:p>
        </w:tc>
        <w:tc>
          <w:tcPr>
            <w:tcW w:type="dxa" w:w="1757"/>
          </w:tcPr>
          <w:p>
            <w:pPr>
              <w:spacing w:after="20" w:before="20" w:line="240" w:lineRule="auto"/>
            </w:pPr>
            <w:r/>
            <w:r>
              <w:rPr>
                <w:rFonts w:ascii="Calibri" w:hAnsi="Calibri"/>
                <w:b w:val="0"/>
                <w:sz w:val="15"/>
              </w:rPr>
              <w:t>Documentation and definitions access</w:t>
            </w:r>
          </w:p>
        </w:tc>
        <w:tc>
          <w:tcPr>
            <w:tcW w:type="dxa" w:w="2438"/>
          </w:tcPr>
          <w:p>
            <w:pPr>
              <w:spacing w:after="20" w:before="20" w:line="240" w:lineRule="auto"/>
            </w:pPr>
            <w:r/>
            <w:r>
              <w:rPr>
                <w:rFonts w:ascii="Calibri" w:hAnsi="Calibri"/>
                <w:b w:val="0"/>
                <w:sz w:val="15"/>
              </w:rPr>
              <w:t>Make KPI definitions, calculation rules and the data dictionary available from within the dashboard.</w:t>
            </w:r>
          </w:p>
        </w:tc>
        <w:tc>
          <w:tcPr>
            <w:tcW w:type="dxa" w:w="2835"/>
          </w:tcPr>
          <w:p>
            <w:pPr>
              <w:spacing w:after="20" w:before="20" w:line="240" w:lineRule="auto"/>
            </w:pPr>
            <w:r/>
            <w:r>
              <w:rPr>
                <w:rFonts w:ascii="Calibri" w:hAnsi="Calibri"/>
                <w:b w:val="0"/>
                <w:sz w:val="15"/>
              </w:rPr>
              <w:t>A definitions page is reachable from every view and matches the approved KPI dictionary version.</w:t>
            </w:r>
          </w:p>
        </w:tc>
        <w:tc>
          <w:tcPr>
            <w:tcW w:type="dxa" w:w="850"/>
          </w:tcPr>
          <w:p>
            <w:pPr>
              <w:spacing w:after="20" w:before="20" w:line="240" w:lineRule="auto"/>
              <w:jc w:val="center"/>
            </w:pPr>
            <w:r/>
            <w:r>
              <w:rPr>
                <w:rFonts w:ascii="Calibri" w:hAnsi="Calibri"/>
                <w:b w:val="0"/>
                <w:sz w:val="15"/>
              </w:rPr>
              <w:t>Should</w:t>
            </w:r>
          </w:p>
        </w:tc>
        <w:tc>
          <w:tcPr>
            <w:tcW w:type="dxa" w:w="737"/>
          </w:tcPr>
          <w:p>
            <w:pPr>
              <w:spacing w:after="20" w:before="20" w:line="240" w:lineRule="auto"/>
              <w:jc w:val="center"/>
            </w:pPr>
            <w:r/>
            <w:r>
              <w:rPr>
                <w:rFonts w:ascii="Calibri" w:hAnsi="Calibri"/>
                <w:b w:val="0"/>
                <w:sz w:val="15"/>
              </w:rPr>
              <w:t>BR-12</w:t>
            </w:r>
          </w:p>
        </w:tc>
      </w:tr>
      <w:tr>
        <w:tc>
          <w:tcPr>
            <w:tcW w:type="dxa" w:w="680"/>
            <w:shd w:val="clear" w:fill="F7F9FB"/>
          </w:tcPr>
          <w:p>
            <w:pPr>
              <w:spacing w:after="20" w:before="20" w:line="240" w:lineRule="auto"/>
              <w:jc w:val="center"/>
            </w:pPr>
            <w:r/>
            <w:r>
              <w:rPr>
                <w:rFonts w:ascii="Calibri" w:hAnsi="Calibri"/>
                <w:b w:val="0"/>
                <w:sz w:val="15"/>
              </w:rPr>
              <w:t>FR-48</w:t>
            </w:r>
          </w:p>
        </w:tc>
        <w:tc>
          <w:tcPr>
            <w:tcW w:type="dxa" w:w="1757"/>
            <w:shd w:val="clear" w:fill="F7F9FB"/>
          </w:tcPr>
          <w:p>
            <w:pPr>
              <w:spacing w:after="20" w:before="20" w:line="240" w:lineRule="auto"/>
            </w:pPr>
            <w:r/>
            <w:r>
              <w:rPr>
                <w:rFonts w:ascii="Calibri" w:hAnsi="Calibri"/>
                <w:b w:val="0"/>
                <w:sz w:val="15"/>
              </w:rPr>
              <w:t>Historical restatement control</w:t>
            </w:r>
          </w:p>
        </w:tc>
        <w:tc>
          <w:tcPr>
            <w:tcW w:type="dxa" w:w="2438"/>
            <w:shd w:val="clear" w:fill="F7F9FB"/>
          </w:tcPr>
          <w:p>
            <w:pPr>
              <w:spacing w:after="20" w:before="20" w:line="240" w:lineRule="auto"/>
            </w:pPr>
            <w:r/>
            <w:r>
              <w:rPr>
                <w:rFonts w:ascii="Calibri" w:hAnsi="Calibri"/>
                <w:b w:val="0"/>
                <w:sz w:val="15"/>
              </w:rPr>
              <w:t>Preserve monthly snapshots so that previously reported figures can be reproduced after later data corrections.</w:t>
            </w:r>
          </w:p>
        </w:tc>
        <w:tc>
          <w:tcPr>
            <w:tcW w:type="dxa" w:w="2835"/>
            <w:shd w:val="clear" w:fill="F7F9FB"/>
          </w:tcPr>
          <w:p>
            <w:pPr>
              <w:spacing w:after="20" w:before="20" w:line="240" w:lineRule="auto"/>
            </w:pPr>
            <w:r/>
            <w:r>
              <w:rPr>
                <w:rFonts w:ascii="Calibri" w:hAnsi="Calibri"/>
                <w:b w:val="0"/>
                <w:sz w:val="15"/>
              </w:rPr>
              <w:t>A closed period can be viewed as originally reported and as currently restated, with the difference shown.</w:t>
            </w:r>
          </w:p>
        </w:tc>
        <w:tc>
          <w:tcPr>
            <w:tcW w:type="dxa" w:w="850"/>
            <w:shd w:val="clear" w:fill="F7F9FB"/>
          </w:tcPr>
          <w:p>
            <w:pPr>
              <w:spacing w:after="20" w:before="20" w:line="240" w:lineRule="auto"/>
              <w:jc w:val="center"/>
            </w:pPr>
            <w:r/>
            <w:r>
              <w:rPr>
                <w:rFonts w:ascii="Calibri" w:hAnsi="Calibri"/>
                <w:b w:val="0"/>
                <w:sz w:val="15"/>
              </w:rPr>
              <w:t>Should</w:t>
            </w:r>
          </w:p>
        </w:tc>
        <w:tc>
          <w:tcPr>
            <w:tcW w:type="dxa" w:w="737"/>
            <w:shd w:val="clear" w:fill="F7F9FB"/>
          </w:tcPr>
          <w:p>
            <w:pPr>
              <w:spacing w:after="20" w:before="20" w:line="240" w:lineRule="auto"/>
              <w:jc w:val="center"/>
            </w:pPr>
            <w:r/>
            <w:r>
              <w:rPr>
                <w:rFonts w:ascii="Calibri" w:hAnsi="Calibri"/>
                <w:b w:val="0"/>
                <w:sz w:val="15"/>
              </w:rPr>
              <w:t>BR-08</w:t>
            </w:r>
          </w:p>
        </w:tc>
      </w:tr>
    </w:tbl>
    <w:p>
      <w:pPr>
        <w:spacing w:after="20"/>
      </w:pPr>
    </w:p>
    <w:p>
      <w:r>
        <w:br w:type="page"/>
      </w:r>
    </w:p>
    <w:p>
      <w:pPr>
        <w:pStyle w:val="Heading1"/>
      </w:pPr>
      <w:r>
        <w:t>11. Dashboard and Report Specification</w:t>
      </w:r>
    </w:p>
    <w:p>
      <w:pPr>
        <w:spacing w:after="100"/>
      </w:pPr>
      <w:r>
        <w:rPr>
          <w:b w:val="0"/>
          <w:i w:val="0"/>
        </w:rPr>
        <w:t>Five pages are specified. Each page states its purpose, audience and content. Wireframe sketches are in Appendix C. All pages carry the common filter bar, data-freshness indicator and export control.</w:t>
      </w:r>
    </w:p>
    <w:p>
      <w:pPr>
        <w:pStyle w:val="Heading2"/>
      </w:pPr>
      <w:r>
        <w:t>Page 1 – Executive Summary</w:t>
      </w:r>
    </w:p>
    <w:p>
      <w:pPr>
        <w:spacing w:after="80"/>
      </w:pPr>
      <w:r>
        <w:rPr>
          <w:b w:val="0"/>
          <w:i/>
          <w:color w:val="595959"/>
          <w:sz w:val="18"/>
        </w:rPr>
        <w:t>Primary audience: Executive management</w:t>
      </w:r>
    </w:p>
    <w:tbl>
      <w:tblPr>
        <w:tblStyle w:val="TableGrid"/>
        <w:tblW w:type="auto" w:w="0"/>
        <w:jc w:val="center"/>
        <w:tblLayout w:type="fixed"/>
        <w:tblLook w:firstColumn="1" w:firstRow="1" w:lastColumn="0" w:lastRow="0" w:noHBand="0" w:noVBand="1" w:val="04A0"/>
      </w:tblPr>
      <w:tblGrid>
        <w:gridCol w:w="5043"/>
        <w:gridCol w:w="5043"/>
      </w:tblGrid>
      <w:tr>
        <w:trPr>
          <w:tblHeader/>
        </w:trPr>
        <w:tc>
          <w:tcPr>
            <w:tcW w:type="dxa" w:w="2494"/>
            <w:shd w:val="clear" w:fill="1F3B57"/>
          </w:tcPr>
          <w:p>
            <w:pPr>
              <w:spacing w:after="20" w:before="20" w:line="240" w:lineRule="auto"/>
            </w:pPr>
            <w:r/>
            <w:r>
              <w:rPr>
                <w:rFonts w:ascii="Calibri" w:hAnsi="Calibri"/>
                <w:b/>
                <w:color w:val="FFFFFF"/>
                <w:sz w:val="17"/>
              </w:rPr>
              <w:t>Area</w:t>
            </w:r>
          </w:p>
        </w:tc>
        <w:tc>
          <w:tcPr>
            <w:tcW w:type="dxa" w:w="7257"/>
            <w:shd w:val="clear" w:fill="1F3B57"/>
          </w:tcPr>
          <w:p>
            <w:pPr>
              <w:spacing w:after="20" w:before="20" w:line="240" w:lineRule="auto"/>
            </w:pPr>
            <w:r/>
            <w:r>
              <w:rPr>
                <w:rFonts w:ascii="Calibri" w:hAnsi="Calibri"/>
                <w:b/>
                <w:color w:val="FFFFFF"/>
                <w:sz w:val="17"/>
              </w:rPr>
              <w:t>Content</w:t>
            </w:r>
          </w:p>
        </w:tc>
      </w:tr>
      <w:tr>
        <w:tc>
          <w:tcPr>
            <w:tcW w:type="dxa" w:w="2494"/>
          </w:tcPr>
          <w:p>
            <w:pPr>
              <w:spacing w:after="20" w:before="20" w:line="240" w:lineRule="auto"/>
            </w:pPr>
            <w:r/>
            <w:r>
              <w:rPr>
                <w:rFonts w:ascii="Calibri" w:hAnsi="Calibri"/>
                <w:b w:val="0"/>
                <w:sz w:val="17"/>
              </w:rPr>
              <w:t>KPI tiles</w:t>
            </w:r>
          </w:p>
        </w:tc>
        <w:tc>
          <w:tcPr>
            <w:tcW w:type="dxa" w:w="7257"/>
          </w:tcPr>
          <w:p>
            <w:pPr>
              <w:spacing w:after="20" w:before="20" w:line="240" w:lineRule="auto"/>
            </w:pPr>
            <w:r/>
            <w:r>
              <w:rPr>
                <w:rFonts w:ascii="Calibri" w:hAnsi="Calibri"/>
                <w:b w:val="0"/>
                <w:sz w:val="17"/>
              </w:rPr>
              <w:t>Total consumption value; total procurement investment; consumption-to-investment ratio; budget utilisation; unattributed consumption value; number of open exceptions</w:t>
            </w:r>
          </w:p>
        </w:tc>
      </w:tr>
      <w:tr>
        <w:tc>
          <w:tcPr>
            <w:tcW w:type="dxa" w:w="2494"/>
            <w:shd w:val="clear" w:fill="F7F9FB"/>
          </w:tcPr>
          <w:p>
            <w:pPr>
              <w:spacing w:after="20" w:before="20" w:line="240" w:lineRule="auto"/>
            </w:pPr>
            <w:r/>
            <w:r>
              <w:rPr>
                <w:rFonts w:ascii="Calibri" w:hAnsi="Calibri"/>
                <w:b w:val="0"/>
                <w:sz w:val="17"/>
              </w:rPr>
              <w:t>Trend</w:t>
            </w:r>
          </w:p>
        </w:tc>
        <w:tc>
          <w:tcPr>
            <w:tcW w:type="dxa" w:w="7257"/>
            <w:shd w:val="clear" w:fill="F7F9FB"/>
          </w:tcPr>
          <w:p>
            <w:pPr>
              <w:spacing w:after="20" w:before="20" w:line="240" w:lineRule="auto"/>
            </w:pPr>
            <w:r/>
            <w:r>
              <w:rPr>
                <w:rFonts w:ascii="Calibri" w:hAnsi="Calibri"/>
                <w:b w:val="0"/>
                <w:sz w:val="17"/>
              </w:rPr>
              <w:t>Monthly consumption value with 3-month moving average for the last 13 months; year-on-year comparison</w:t>
            </w:r>
          </w:p>
        </w:tc>
      </w:tr>
      <w:tr>
        <w:tc>
          <w:tcPr>
            <w:tcW w:type="dxa" w:w="2494"/>
          </w:tcPr>
          <w:p>
            <w:pPr>
              <w:spacing w:after="20" w:before="20" w:line="240" w:lineRule="auto"/>
            </w:pPr>
            <w:r/>
            <w:r>
              <w:rPr>
                <w:rFonts w:ascii="Calibri" w:hAnsi="Calibri"/>
                <w:b w:val="0"/>
                <w:sz w:val="17"/>
              </w:rPr>
              <w:t>Top 10</w:t>
            </w:r>
          </w:p>
        </w:tc>
        <w:tc>
          <w:tcPr>
            <w:tcW w:type="dxa" w:w="7257"/>
          </w:tcPr>
          <w:p>
            <w:pPr>
              <w:spacing w:after="20" w:before="20" w:line="240" w:lineRule="auto"/>
            </w:pPr>
            <w:r/>
            <w:r>
              <w:rPr>
                <w:rFonts w:ascii="Calibri" w:hAnsi="Calibri"/>
                <w:b w:val="0"/>
                <w:sz w:val="17"/>
              </w:rPr>
              <w:t>Projects by consumption value and products by consumption value, with share percentages</w:t>
            </w:r>
          </w:p>
        </w:tc>
      </w:tr>
      <w:tr>
        <w:tc>
          <w:tcPr>
            <w:tcW w:type="dxa" w:w="2494"/>
            <w:shd w:val="clear" w:fill="F7F9FB"/>
          </w:tcPr>
          <w:p>
            <w:pPr>
              <w:spacing w:after="20" w:before="20" w:line="240" w:lineRule="auto"/>
            </w:pPr>
            <w:r/>
            <w:r>
              <w:rPr>
                <w:rFonts w:ascii="Calibri" w:hAnsi="Calibri"/>
                <w:b w:val="0"/>
                <w:sz w:val="17"/>
              </w:rPr>
              <w:t>Split</w:t>
            </w:r>
          </w:p>
        </w:tc>
        <w:tc>
          <w:tcPr>
            <w:tcW w:type="dxa" w:w="7257"/>
            <w:shd w:val="clear" w:fill="F7F9FB"/>
          </w:tcPr>
          <w:p>
            <w:pPr>
              <w:spacing w:after="20" w:before="20" w:line="240" w:lineRule="auto"/>
            </w:pPr>
            <w:r/>
            <w:r>
              <w:rPr>
                <w:rFonts w:ascii="Calibri" w:hAnsi="Calibri"/>
                <w:b w:val="0"/>
                <w:sz w:val="17"/>
              </w:rPr>
              <w:t>Consumption by category (medicines, consumables, laboratory, nutrition, equipment, general)</w:t>
            </w:r>
          </w:p>
        </w:tc>
      </w:tr>
      <w:tr>
        <w:tc>
          <w:tcPr>
            <w:tcW w:type="dxa" w:w="2494"/>
          </w:tcPr>
          <w:p>
            <w:pPr>
              <w:spacing w:after="20" w:before="20" w:line="240" w:lineRule="auto"/>
            </w:pPr>
            <w:r/>
            <w:r>
              <w:rPr>
                <w:rFonts w:ascii="Calibri" w:hAnsi="Calibri"/>
                <w:b w:val="0"/>
                <w:sz w:val="17"/>
              </w:rPr>
              <w:t>Attention list</w:t>
            </w:r>
          </w:p>
        </w:tc>
        <w:tc>
          <w:tcPr>
            <w:tcW w:type="dxa" w:w="7257"/>
          </w:tcPr>
          <w:p>
            <w:pPr>
              <w:spacing w:after="20" w:before="20" w:line="240" w:lineRule="auto"/>
            </w:pPr>
            <w:r/>
            <w:r>
              <w:rPr>
                <w:rFonts w:ascii="Calibri" w:hAnsi="Calibri"/>
                <w:b w:val="0"/>
                <w:sz w:val="17"/>
              </w:rPr>
              <w:t>Projects with consumption variance beyond threshold, items below cover threshold, batches near expiry, open exceptions older than 30 days</w:t>
            </w:r>
          </w:p>
        </w:tc>
      </w:tr>
      <w:tr>
        <w:tc>
          <w:tcPr>
            <w:tcW w:type="dxa" w:w="2494"/>
            <w:shd w:val="clear" w:fill="F7F9FB"/>
          </w:tcPr>
          <w:p>
            <w:pPr>
              <w:spacing w:after="20" w:before="20" w:line="240" w:lineRule="auto"/>
            </w:pPr>
            <w:r/>
            <w:r>
              <w:rPr>
                <w:rFonts w:ascii="Calibri" w:hAnsi="Calibri"/>
                <w:b w:val="0"/>
                <w:sz w:val="17"/>
              </w:rPr>
              <w:t>Navigation</w:t>
            </w:r>
          </w:p>
        </w:tc>
        <w:tc>
          <w:tcPr>
            <w:tcW w:type="dxa" w:w="7257"/>
            <w:shd w:val="clear" w:fill="F7F9FB"/>
          </w:tcPr>
          <w:p>
            <w:pPr>
              <w:spacing w:after="20" w:before="20" w:line="240" w:lineRule="auto"/>
            </w:pPr>
            <w:r/>
            <w:r>
              <w:rPr>
                <w:rFonts w:ascii="Calibri" w:hAnsi="Calibri"/>
                <w:b w:val="0"/>
                <w:sz w:val="17"/>
              </w:rPr>
              <w:t>Click-through to project and product pages with the same filters applied</w:t>
            </w:r>
          </w:p>
        </w:tc>
      </w:tr>
    </w:tbl>
    <w:p>
      <w:pPr>
        <w:spacing w:after="20"/>
      </w:pPr>
    </w:p>
    <w:p>
      <w:pPr>
        <w:pStyle w:val="Heading2"/>
      </w:pPr>
      <w:r>
        <w:t>Page 2 – Project Analysis</w:t>
      </w:r>
    </w:p>
    <w:p>
      <w:pPr>
        <w:spacing w:after="80"/>
      </w:pPr>
      <w:r>
        <w:rPr>
          <w:b w:val="0"/>
          <w:i/>
          <w:color w:val="595959"/>
          <w:sz w:val="18"/>
        </w:rPr>
        <w:t>Primary audience: Programme and project managers, finance</w:t>
      </w:r>
    </w:p>
    <w:tbl>
      <w:tblPr>
        <w:tblStyle w:val="TableGrid"/>
        <w:tblW w:type="auto" w:w="0"/>
        <w:jc w:val="center"/>
        <w:tblLayout w:type="fixed"/>
        <w:tblLook w:firstColumn="1" w:firstRow="1" w:lastColumn="0" w:lastRow="0" w:noHBand="0" w:noVBand="1" w:val="04A0"/>
      </w:tblPr>
      <w:tblGrid>
        <w:gridCol w:w="5043"/>
        <w:gridCol w:w="5043"/>
      </w:tblGrid>
      <w:tr>
        <w:trPr>
          <w:tblHeader/>
        </w:trPr>
        <w:tc>
          <w:tcPr>
            <w:tcW w:type="dxa" w:w="2494"/>
            <w:shd w:val="clear" w:fill="1F3B57"/>
          </w:tcPr>
          <w:p>
            <w:pPr>
              <w:spacing w:after="20" w:before="20" w:line="240" w:lineRule="auto"/>
            </w:pPr>
            <w:r/>
            <w:r>
              <w:rPr>
                <w:rFonts w:ascii="Calibri" w:hAnsi="Calibri"/>
                <w:b/>
                <w:color w:val="FFFFFF"/>
                <w:sz w:val="17"/>
              </w:rPr>
              <w:t>Area</w:t>
            </w:r>
          </w:p>
        </w:tc>
        <w:tc>
          <w:tcPr>
            <w:tcW w:type="dxa" w:w="7257"/>
            <w:shd w:val="clear" w:fill="1F3B57"/>
          </w:tcPr>
          <w:p>
            <w:pPr>
              <w:spacing w:after="20" w:before="20" w:line="240" w:lineRule="auto"/>
            </w:pPr>
            <w:r/>
            <w:r>
              <w:rPr>
                <w:rFonts w:ascii="Calibri" w:hAnsi="Calibri"/>
                <w:b/>
                <w:color w:val="FFFFFF"/>
                <w:sz w:val="17"/>
              </w:rPr>
              <w:t>Content</w:t>
            </w:r>
          </w:p>
        </w:tc>
      </w:tr>
      <w:tr>
        <w:tc>
          <w:tcPr>
            <w:tcW w:type="dxa" w:w="2494"/>
          </w:tcPr>
          <w:p>
            <w:pPr>
              <w:spacing w:after="20" w:before="20" w:line="240" w:lineRule="auto"/>
            </w:pPr>
            <w:r/>
            <w:r>
              <w:rPr>
                <w:rFonts w:ascii="Calibri" w:hAnsi="Calibri"/>
                <w:b w:val="0"/>
                <w:sz w:val="17"/>
              </w:rPr>
              <w:t>Header</w:t>
            </w:r>
          </w:p>
        </w:tc>
        <w:tc>
          <w:tcPr>
            <w:tcW w:type="dxa" w:w="7257"/>
          </w:tcPr>
          <w:p>
            <w:pPr>
              <w:spacing w:after="20" w:before="20" w:line="240" w:lineRule="auto"/>
            </w:pPr>
            <w:r/>
            <w:r>
              <w:rPr>
                <w:rFonts w:ascii="Calibri" w:hAnsi="Calibri"/>
                <w:b w:val="0"/>
                <w:sz w:val="17"/>
              </w:rPr>
              <w:t>Project name, donor, district, status, start and end dates, elapsed percentage, remaining budget</w:t>
            </w:r>
          </w:p>
        </w:tc>
      </w:tr>
      <w:tr>
        <w:tc>
          <w:tcPr>
            <w:tcW w:type="dxa" w:w="2494"/>
            <w:shd w:val="clear" w:fill="F7F9FB"/>
          </w:tcPr>
          <w:p>
            <w:pPr>
              <w:spacing w:after="20" w:before="20" w:line="240" w:lineRule="auto"/>
            </w:pPr>
            <w:r/>
            <w:r>
              <w:rPr>
                <w:rFonts w:ascii="Calibri" w:hAnsi="Calibri"/>
                <w:b w:val="0"/>
                <w:sz w:val="17"/>
              </w:rPr>
              <w:t>Consumption versus investment</w:t>
            </w:r>
          </w:p>
        </w:tc>
        <w:tc>
          <w:tcPr>
            <w:tcW w:type="dxa" w:w="7257"/>
            <w:shd w:val="clear" w:fill="F7F9FB"/>
          </w:tcPr>
          <w:p>
            <w:pPr>
              <w:spacing w:after="20" w:before="20" w:line="240" w:lineRule="auto"/>
            </w:pPr>
            <w:r/>
            <w:r>
              <w:rPr>
                <w:rFonts w:ascii="Calibri" w:hAnsi="Calibri"/>
                <w:b w:val="0"/>
                <w:sz w:val="17"/>
              </w:rPr>
              <w:t>Period and cumulative values, ratio, variance, open commitments</w:t>
            </w:r>
          </w:p>
        </w:tc>
      </w:tr>
      <w:tr>
        <w:tc>
          <w:tcPr>
            <w:tcW w:type="dxa" w:w="2494"/>
          </w:tcPr>
          <w:p>
            <w:pPr>
              <w:spacing w:after="20" w:before="20" w:line="240" w:lineRule="auto"/>
            </w:pPr>
            <w:r/>
            <w:r>
              <w:rPr>
                <w:rFonts w:ascii="Calibri" w:hAnsi="Calibri"/>
                <w:b w:val="0"/>
                <w:sz w:val="17"/>
              </w:rPr>
              <w:t>Trend</w:t>
            </w:r>
          </w:p>
        </w:tc>
        <w:tc>
          <w:tcPr>
            <w:tcW w:type="dxa" w:w="7257"/>
          </w:tcPr>
          <w:p>
            <w:pPr>
              <w:spacing w:after="20" w:before="20" w:line="240" w:lineRule="auto"/>
            </w:pPr>
            <w:r/>
            <w:r>
              <w:rPr>
                <w:rFonts w:ascii="Calibri" w:hAnsi="Calibri"/>
                <w:b w:val="0"/>
                <w:sz w:val="17"/>
              </w:rPr>
              <w:t>Monthly consumption and purchase value by project; project life-cycle line with activity markers</w:t>
            </w:r>
          </w:p>
        </w:tc>
      </w:tr>
      <w:tr>
        <w:tc>
          <w:tcPr>
            <w:tcW w:type="dxa" w:w="2494"/>
            <w:shd w:val="clear" w:fill="F7F9FB"/>
          </w:tcPr>
          <w:p>
            <w:pPr>
              <w:spacing w:after="20" w:before="20" w:line="240" w:lineRule="auto"/>
            </w:pPr>
            <w:r/>
            <w:r>
              <w:rPr>
                <w:rFonts w:ascii="Calibri" w:hAnsi="Calibri"/>
                <w:b w:val="0"/>
                <w:sz w:val="17"/>
              </w:rPr>
              <w:t>Composition</w:t>
            </w:r>
          </w:p>
        </w:tc>
        <w:tc>
          <w:tcPr>
            <w:tcW w:type="dxa" w:w="7257"/>
            <w:shd w:val="clear" w:fill="F7F9FB"/>
          </w:tcPr>
          <w:p>
            <w:pPr>
              <w:spacing w:after="20" w:before="20" w:line="240" w:lineRule="auto"/>
            </w:pPr>
            <w:r/>
            <w:r>
              <w:rPr>
                <w:rFonts w:ascii="Calibri" w:hAnsi="Calibri"/>
                <w:b w:val="0"/>
                <w:sz w:val="17"/>
              </w:rPr>
              <w:t>Consumption by category, by item (Pareto), by service point, by warehouse</w:t>
            </w:r>
          </w:p>
        </w:tc>
      </w:tr>
      <w:tr>
        <w:tc>
          <w:tcPr>
            <w:tcW w:type="dxa" w:w="2494"/>
          </w:tcPr>
          <w:p>
            <w:pPr>
              <w:spacing w:after="20" w:before="20" w:line="240" w:lineRule="auto"/>
            </w:pPr>
            <w:r/>
            <w:r>
              <w:rPr>
                <w:rFonts w:ascii="Calibri" w:hAnsi="Calibri"/>
                <w:b w:val="0"/>
                <w:sz w:val="17"/>
              </w:rPr>
              <w:t>Value for money</w:t>
            </w:r>
          </w:p>
        </w:tc>
        <w:tc>
          <w:tcPr>
            <w:tcW w:type="dxa" w:w="7257"/>
          </w:tcPr>
          <w:p>
            <w:pPr>
              <w:spacing w:after="20" w:before="20" w:line="240" w:lineRule="auto"/>
            </w:pPr>
            <w:r/>
            <w:r>
              <w:rPr>
                <w:rFonts w:ascii="Calibri" w:hAnsi="Calibri"/>
                <w:b w:val="0"/>
                <w:sz w:val="17"/>
              </w:rPr>
              <w:t>Cost per beneficiary and cost per visit, trend and comparison with peer projects</w:t>
            </w:r>
          </w:p>
        </w:tc>
      </w:tr>
      <w:tr>
        <w:tc>
          <w:tcPr>
            <w:tcW w:type="dxa" w:w="2494"/>
            <w:shd w:val="clear" w:fill="F7F9FB"/>
          </w:tcPr>
          <w:p>
            <w:pPr>
              <w:spacing w:after="20" w:before="20" w:line="240" w:lineRule="auto"/>
            </w:pPr>
            <w:r/>
            <w:r>
              <w:rPr>
                <w:rFonts w:ascii="Calibri" w:hAnsi="Calibri"/>
                <w:b w:val="0"/>
                <w:sz w:val="17"/>
              </w:rPr>
              <w:t>Stock health for project</w:t>
            </w:r>
          </w:p>
        </w:tc>
        <w:tc>
          <w:tcPr>
            <w:tcW w:type="dxa" w:w="7257"/>
            <w:shd w:val="clear" w:fill="F7F9FB"/>
          </w:tcPr>
          <w:p>
            <w:pPr>
              <w:spacing w:after="20" w:before="20" w:line="240" w:lineRule="auto"/>
            </w:pPr>
            <w:r/>
            <w:r>
              <w:rPr>
                <w:rFonts w:ascii="Calibri" w:hAnsi="Calibri"/>
                <w:b w:val="0"/>
                <w:sz w:val="17"/>
              </w:rPr>
              <w:t>Items below cover threshold, near-expiry batches held for the project, stock-out occurrences</w:t>
            </w:r>
          </w:p>
        </w:tc>
      </w:tr>
      <w:tr>
        <w:tc>
          <w:tcPr>
            <w:tcW w:type="dxa" w:w="2494"/>
          </w:tcPr>
          <w:p>
            <w:pPr>
              <w:spacing w:after="20" w:before="20" w:line="240" w:lineRule="auto"/>
            </w:pPr>
            <w:r/>
            <w:r>
              <w:rPr>
                <w:rFonts w:ascii="Calibri" w:hAnsi="Calibri"/>
                <w:b w:val="0"/>
                <w:sz w:val="17"/>
              </w:rPr>
              <w:t>Drill</w:t>
            </w:r>
          </w:p>
        </w:tc>
        <w:tc>
          <w:tcPr>
            <w:tcW w:type="dxa" w:w="7257"/>
          </w:tcPr>
          <w:p>
            <w:pPr>
              <w:spacing w:after="20" w:before="20" w:line="240" w:lineRule="auto"/>
            </w:pPr>
            <w:r/>
            <w:r>
              <w:rPr>
                <w:rFonts w:ascii="Calibri" w:hAnsi="Calibri"/>
                <w:b w:val="0"/>
                <w:sz w:val="17"/>
              </w:rPr>
              <w:t>Item → batch → issue list → GRN → PO</w:t>
            </w:r>
          </w:p>
        </w:tc>
      </w:tr>
    </w:tbl>
    <w:p>
      <w:pPr>
        <w:spacing w:after="20"/>
      </w:pPr>
    </w:p>
    <w:p>
      <w:pPr>
        <w:pStyle w:val="Heading2"/>
      </w:pPr>
      <w:r>
        <w:t>Page 3 – Product Trend Analysis</w:t>
      </w:r>
    </w:p>
    <w:p>
      <w:pPr>
        <w:spacing w:after="80"/>
      </w:pPr>
      <w:r>
        <w:rPr>
          <w:b w:val="0"/>
          <w:i/>
          <w:color w:val="595959"/>
          <w:sz w:val="18"/>
        </w:rPr>
        <w:t>Primary audience: Procurement, pharmacists, stores</w:t>
      </w:r>
    </w:p>
    <w:tbl>
      <w:tblPr>
        <w:tblStyle w:val="TableGrid"/>
        <w:tblW w:type="auto" w:w="0"/>
        <w:jc w:val="center"/>
        <w:tblLayout w:type="fixed"/>
        <w:tblLook w:firstColumn="1" w:firstRow="1" w:lastColumn="0" w:lastRow="0" w:noHBand="0" w:noVBand="1" w:val="04A0"/>
      </w:tblPr>
      <w:tblGrid>
        <w:gridCol w:w="5043"/>
        <w:gridCol w:w="5043"/>
      </w:tblGrid>
      <w:tr>
        <w:trPr>
          <w:tblHeader/>
        </w:trPr>
        <w:tc>
          <w:tcPr>
            <w:tcW w:type="dxa" w:w="2494"/>
            <w:shd w:val="clear" w:fill="1F3B57"/>
          </w:tcPr>
          <w:p>
            <w:pPr>
              <w:spacing w:after="20" w:before="20" w:line="240" w:lineRule="auto"/>
            </w:pPr>
            <w:r/>
            <w:r>
              <w:rPr>
                <w:rFonts w:ascii="Calibri" w:hAnsi="Calibri"/>
                <w:b/>
                <w:color w:val="FFFFFF"/>
                <w:sz w:val="17"/>
              </w:rPr>
              <w:t>Area</w:t>
            </w:r>
          </w:p>
        </w:tc>
        <w:tc>
          <w:tcPr>
            <w:tcW w:type="dxa" w:w="7257"/>
            <w:shd w:val="clear" w:fill="1F3B57"/>
          </w:tcPr>
          <w:p>
            <w:pPr>
              <w:spacing w:after="20" w:before="20" w:line="240" w:lineRule="auto"/>
            </w:pPr>
            <w:r/>
            <w:r>
              <w:rPr>
                <w:rFonts w:ascii="Calibri" w:hAnsi="Calibri"/>
                <w:b/>
                <w:color w:val="FFFFFF"/>
                <w:sz w:val="17"/>
              </w:rPr>
              <w:t>Content</w:t>
            </w:r>
          </w:p>
        </w:tc>
      </w:tr>
      <w:tr>
        <w:tc>
          <w:tcPr>
            <w:tcW w:type="dxa" w:w="2494"/>
          </w:tcPr>
          <w:p>
            <w:pPr>
              <w:spacing w:after="20" w:before="20" w:line="240" w:lineRule="auto"/>
            </w:pPr>
            <w:r/>
            <w:r>
              <w:rPr>
                <w:rFonts w:ascii="Calibri" w:hAnsi="Calibri"/>
                <w:b w:val="0"/>
                <w:sz w:val="17"/>
              </w:rPr>
              <w:t>Selector</w:t>
            </w:r>
          </w:p>
        </w:tc>
        <w:tc>
          <w:tcPr>
            <w:tcW w:type="dxa" w:w="7257"/>
          </w:tcPr>
          <w:p>
            <w:pPr>
              <w:spacing w:after="20" w:before="20" w:line="240" w:lineRule="auto"/>
            </w:pPr>
            <w:r/>
            <w:r>
              <w:rPr>
                <w:rFonts w:ascii="Calibri" w:hAnsi="Calibri"/>
                <w:b w:val="0"/>
                <w:sz w:val="17"/>
              </w:rPr>
              <w:t>Item or category, with multi-select; defaults to top 20 items by value</w:t>
            </w:r>
          </w:p>
        </w:tc>
      </w:tr>
      <w:tr>
        <w:tc>
          <w:tcPr>
            <w:tcW w:type="dxa" w:w="2494"/>
            <w:shd w:val="clear" w:fill="F7F9FB"/>
          </w:tcPr>
          <w:p>
            <w:pPr>
              <w:spacing w:after="20" w:before="20" w:line="240" w:lineRule="auto"/>
            </w:pPr>
            <w:r/>
            <w:r>
              <w:rPr>
                <w:rFonts w:ascii="Calibri" w:hAnsi="Calibri"/>
                <w:b w:val="0"/>
                <w:sz w:val="17"/>
              </w:rPr>
              <w:t>Trend</w:t>
            </w:r>
          </w:p>
        </w:tc>
        <w:tc>
          <w:tcPr>
            <w:tcW w:type="dxa" w:w="7257"/>
            <w:shd w:val="clear" w:fill="F7F9FB"/>
          </w:tcPr>
          <w:p>
            <w:pPr>
              <w:spacing w:after="20" w:before="20" w:line="240" w:lineRule="auto"/>
            </w:pPr>
            <w:r/>
            <w:r>
              <w:rPr>
                <w:rFonts w:ascii="Calibri" w:hAnsi="Calibri"/>
                <w:b w:val="0"/>
                <w:sz w:val="17"/>
              </w:rPr>
              <w:t>Monthly quantity and value; 12-month moving average; seasonality profile by calendar month</w:t>
            </w:r>
          </w:p>
        </w:tc>
      </w:tr>
      <w:tr>
        <w:tc>
          <w:tcPr>
            <w:tcW w:type="dxa" w:w="2494"/>
          </w:tcPr>
          <w:p>
            <w:pPr>
              <w:spacing w:after="20" w:before="20" w:line="240" w:lineRule="auto"/>
            </w:pPr>
            <w:r/>
            <w:r>
              <w:rPr>
                <w:rFonts w:ascii="Calibri" w:hAnsi="Calibri"/>
                <w:b w:val="0"/>
                <w:sz w:val="17"/>
              </w:rPr>
              <w:t>Price</w:t>
            </w:r>
          </w:p>
        </w:tc>
        <w:tc>
          <w:tcPr>
            <w:tcW w:type="dxa" w:w="7257"/>
          </w:tcPr>
          <w:p>
            <w:pPr>
              <w:spacing w:after="20" w:before="20" w:line="240" w:lineRule="auto"/>
            </w:pPr>
            <w:r/>
            <w:r>
              <w:rPr>
                <w:rFonts w:ascii="Calibri" w:hAnsi="Calibri"/>
                <w:b w:val="0"/>
                <w:sz w:val="17"/>
              </w:rPr>
              <w:t>Average purchase unit price by period, variance against previous purchase and standard cost</w:t>
            </w:r>
          </w:p>
        </w:tc>
      </w:tr>
      <w:tr>
        <w:tc>
          <w:tcPr>
            <w:tcW w:type="dxa" w:w="2494"/>
            <w:shd w:val="clear" w:fill="F7F9FB"/>
          </w:tcPr>
          <w:p>
            <w:pPr>
              <w:spacing w:after="20" w:before="20" w:line="240" w:lineRule="auto"/>
            </w:pPr>
            <w:r/>
            <w:r>
              <w:rPr>
                <w:rFonts w:ascii="Calibri" w:hAnsi="Calibri"/>
                <w:b w:val="0"/>
                <w:sz w:val="17"/>
              </w:rPr>
              <w:t>Movement</w:t>
            </w:r>
          </w:p>
        </w:tc>
        <w:tc>
          <w:tcPr>
            <w:tcW w:type="dxa" w:w="7257"/>
            <w:shd w:val="clear" w:fill="F7F9FB"/>
          </w:tcPr>
          <w:p>
            <w:pPr>
              <w:spacing w:after="20" w:before="20" w:line="240" w:lineRule="auto"/>
            </w:pPr>
            <w:r/>
            <w:r>
              <w:rPr>
                <w:rFonts w:ascii="Calibri" w:hAnsi="Calibri"/>
                <w:b w:val="0"/>
                <w:sz w:val="17"/>
              </w:rPr>
              <w:t>Consumption by project for the item; concentration analysis; issue type split</w:t>
            </w:r>
          </w:p>
        </w:tc>
      </w:tr>
      <w:tr>
        <w:tc>
          <w:tcPr>
            <w:tcW w:type="dxa" w:w="2494"/>
          </w:tcPr>
          <w:p>
            <w:pPr>
              <w:spacing w:after="20" w:before="20" w:line="240" w:lineRule="auto"/>
            </w:pPr>
            <w:r/>
            <w:r>
              <w:rPr>
                <w:rFonts w:ascii="Calibri" w:hAnsi="Calibri"/>
                <w:b w:val="0"/>
                <w:sz w:val="17"/>
              </w:rPr>
              <w:t>Stock</w:t>
            </w:r>
          </w:p>
        </w:tc>
        <w:tc>
          <w:tcPr>
            <w:tcW w:type="dxa" w:w="7257"/>
          </w:tcPr>
          <w:p>
            <w:pPr>
              <w:spacing w:after="20" w:before="20" w:line="240" w:lineRule="auto"/>
            </w:pPr>
            <w:r/>
            <w:r>
              <w:rPr>
                <w:rFonts w:ascii="Calibri" w:hAnsi="Calibri"/>
                <w:b w:val="0"/>
                <w:sz w:val="17"/>
              </w:rPr>
              <w:t>On hand, days of cover, turnover, slow-moving flag, open commitments, supplier lead time</w:t>
            </w:r>
          </w:p>
        </w:tc>
      </w:tr>
      <w:tr>
        <w:tc>
          <w:tcPr>
            <w:tcW w:type="dxa" w:w="2494"/>
            <w:shd w:val="clear" w:fill="F7F9FB"/>
          </w:tcPr>
          <w:p>
            <w:pPr>
              <w:spacing w:after="20" w:before="20" w:line="240" w:lineRule="auto"/>
            </w:pPr>
            <w:r/>
            <w:r>
              <w:rPr>
                <w:rFonts w:ascii="Calibri" w:hAnsi="Calibri"/>
                <w:b w:val="0"/>
                <w:sz w:val="17"/>
              </w:rPr>
              <w:t>Action</w:t>
            </w:r>
          </w:p>
        </w:tc>
        <w:tc>
          <w:tcPr>
            <w:tcW w:type="dxa" w:w="7257"/>
            <w:shd w:val="clear" w:fill="F7F9FB"/>
          </w:tcPr>
          <w:p>
            <w:pPr>
              <w:spacing w:after="20" w:before="20" w:line="240" w:lineRule="auto"/>
            </w:pPr>
            <w:r/>
            <w:r>
              <w:rPr>
                <w:rFonts w:ascii="Calibri" w:hAnsi="Calibri"/>
                <w:b w:val="0"/>
                <w:sz w:val="17"/>
              </w:rPr>
              <w:t>Indicative requirement proposal with calculation basis (FR-40)</w:t>
            </w:r>
          </w:p>
        </w:tc>
      </w:tr>
    </w:tbl>
    <w:p>
      <w:pPr>
        <w:spacing w:after="20"/>
      </w:pPr>
    </w:p>
    <w:p>
      <w:pPr>
        <w:pStyle w:val="Heading2"/>
      </w:pPr>
      <w:r>
        <w:t>Page 4 – Budget and Value for Money</w:t>
      </w:r>
    </w:p>
    <w:p>
      <w:pPr>
        <w:spacing w:after="80"/>
      </w:pPr>
      <w:r>
        <w:rPr>
          <w:b w:val="0"/>
          <w:i/>
          <w:color w:val="595959"/>
          <w:sz w:val="18"/>
        </w:rPr>
        <w:t>Primary audience: Finance and grants</w:t>
      </w:r>
    </w:p>
    <w:tbl>
      <w:tblPr>
        <w:tblStyle w:val="TableGrid"/>
        <w:tblW w:type="auto" w:w="0"/>
        <w:jc w:val="center"/>
        <w:tblLayout w:type="fixed"/>
        <w:tblLook w:firstColumn="1" w:firstRow="1" w:lastColumn="0" w:lastRow="0" w:noHBand="0" w:noVBand="1" w:val="04A0"/>
      </w:tblPr>
      <w:tblGrid>
        <w:gridCol w:w="5043"/>
        <w:gridCol w:w="5043"/>
      </w:tblGrid>
      <w:tr>
        <w:trPr>
          <w:tblHeader/>
        </w:trPr>
        <w:tc>
          <w:tcPr>
            <w:tcW w:type="dxa" w:w="2494"/>
            <w:shd w:val="clear" w:fill="1F3B57"/>
          </w:tcPr>
          <w:p>
            <w:pPr>
              <w:spacing w:after="20" w:before="20" w:line="240" w:lineRule="auto"/>
            </w:pPr>
            <w:r/>
            <w:r>
              <w:rPr>
                <w:rFonts w:ascii="Calibri" w:hAnsi="Calibri"/>
                <w:b/>
                <w:color w:val="FFFFFF"/>
                <w:sz w:val="17"/>
              </w:rPr>
              <w:t>Area</w:t>
            </w:r>
          </w:p>
        </w:tc>
        <w:tc>
          <w:tcPr>
            <w:tcW w:type="dxa" w:w="7257"/>
            <w:shd w:val="clear" w:fill="1F3B57"/>
          </w:tcPr>
          <w:p>
            <w:pPr>
              <w:spacing w:after="20" w:before="20" w:line="240" w:lineRule="auto"/>
            </w:pPr>
            <w:r/>
            <w:r>
              <w:rPr>
                <w:rFonts w:ascii="Calibri" w:hAnsi="Calibri"/>
                <w:b/>
                <w:color w:val="FFFFFF"/>
                <w:sz w:val="17"/>
              </w:rPr>
              <w:t>Content</w:t>
            </w:r>
          </w:p>
        </w:tc>
      </w:tr>
      <w:tr>
        <w:tc>
          <w:tcPr>
            <w:tcW w:type="dxa" w:w="2494"/>
          </w:tcPr>
          <w:p>
            <w:pPr>
              <w:spacing w:after="20" w:before="20" w:line="240" w:lineRule="auto"/>
            </w:pPr>
            <w:r/>
            <w:r>
              <w:rPr>
                <w:rFonts w:ascii="Calibri" w:hAnsi="Calibri"/>
                <w:b w:val="0"/>
                <w:sz w:val="17"/>
              </w:rPr>
              <w:t>Budget versus consumption</w:t>
            </w:r>
          </w:p>
        </w:tc>
        <w:tc>
          <w:tcPr>
            <w:tcW w:type="dxa" w:w="7257"/>
          </w:tcPr>
          <w:p>
            <w:pPr>
              <w:spacing w:after="20" w:before="20" w:line="240" w:lineRule="auto"/>
            </w:pPr>
            <w:r/>
            <w:r>
              <w:rPr>
                <w:rFonts w:ascii="Calibri" w:hAnsi="Calibri"/>
                <w:b w:val="0"/>
                <w:sz w:val="17"/>
              </w:rPr>
              <w:t>Matrix of project × expense category with budget, consumption, variance and utilisation</w:t>
            </w:r>
          </w:p>
        </w:tc>
      </w:tr>
      <w:tr>
        <w:tc>
          <w:tcPr>
            <w:tcW w:type="dxa" w:w="2494"/>
            <w:shd w:val="clear" w:fill="F7F9FB"/>
          </w:tcPr>
          <w:p>
            <w:pPr>
              <w:spacing w:after="20" w:before="20" w:line="240" w:lineRule="auto"/>
            </w:pPr>
            <w:r/>
            <w:r>
              <w:rPr>
                <w:rFonts w:ascii="Calibri" w:hAnsi="Calibri"/>
                <w:b w:val="0"/>
                <w:sz w:val="17"/>
              </w:rPr>
              <w:t>Burn rate</w:t>
            </w:r>
          </w:p>
        </w:tc>
        <w:tc>
          <w:tcPr>
            <w:tcW w:type="dxa" w:w="7257"/>
            <w:shd w:val="clear" w:fill="F7F9FB"/>
          </w:tcPr>
          <w:p>
            <w:pPr>
              <w:spacing w:after="20" w:before="20" w:line="240" w:lineRule="auto"/>
            </w:pPr>
            <w:r/>
            <w:r>
              <w:rPr>
                <w:rFonts w:ascii="Calibri" w:hAnsi="Calibri"/>
                <w:b w:val="0"/>
                <w:sz w:val="17"/>
              </w:rPr>
              <w:t>Year-to-date consumption against straight-line expectation, with projected year-end position</w:t>
            </w:r>
          </w:p>
        </w:tc>
      </w:tr>
      <w:tr>
        <w:tc>
          <w:tcPr>
            <w:tcW w:type="dxa" w:w="2494"/>
          </w:tcPr>
          <w:p>
            <w:pPr>
              <w:spacing w:after="20" w:before="20" w:line="240" w:lineRule="auto"/>
            </w:pPr>
            <w:r/>
            <w:r>
              <w:rPr>
                <w:rFonts w:ascii="Calibri" w:hAnsi="Calibri"/>
                <w:b w:val="0"/>
                <w:sz w:val="17"/>
              </w:rPr>
              <w:t>Efficiency</w:t>
            </w:r>
          </w:p>
        </w:tc>
        <w:tc>
          <w:tcPr>
            <w:tcW w:type="dxa" w:w="7257"/>
          </w:tcPr>
          <w:p>
            <w:pPr>
              <w:spacing w:after="20" w:before="20" w:line="240" w:lineRule="auto"/>
            </w:pPr>
            <w:r/>
            <w:r>
              <w:rPr>
                <w:rFonts w:ascii="Calibri" w:hAnsi="Calibri"/>
                <w:b w:val="0"/>
                <w:sz w:val="17"/>
              </w:rPr>
              <w:t>Cost per beneficiary and per visit by project and month; trend; peer comparison</w:t>
            </w:r>
          </w:p>
        </w:tc>
      </w:tr>
      <w:tr>
        <w:tc>
          <w:tcPr>
            <w:tcW w:type="dxa" w:w="2494"/>
            <w:shd w:val="clear" w:fill="F7F9FB"/>
          </w:tcPr>
          <w:p>
            <w:pPr>
              <w:spacing w:after="20" w:before="20" w:line="240" w:lineRule="auto"/>
            </w:pPr>
            <w:r/>
            <w:r>
              <w:rPr>
                <w:rFonts w:ascii="Calibri" w:hAnsi="Calibri"/>
                <w:b w:val="0"/>
                <w:sz w:val="17"/>
              </w:rPr>
              <w:t>Exceptions</w:t>
            </w:r>
          </w:p>
        </w:tc>
        <w:tc>
          <w:tcPr>
            <w:tcW w:type="dxa" w:w="7257"/>
            <w:shd w:val="clear" w:fill="F7F9FB"/>
          </w:tcPr>
          <w:p>
            <w:pPr>
              <w:spacing w:after="20" w:before="20" w:line="240" w:lineRule="auto"/>
            </w:pPr>
            <w:r/>
            <w:r>
              <w:rPr>
                <w:rFonts w:ascii="Calibri" w:hAnsi="Calibri"/>
                <w:b w:val="0"/>
                <w:sz w:val="17"/>
              </w:rPr>
              <w:t>Categories overspent, categories unspent above threshold, projects approaching end date with material unspent budget</w:t>
            </w:r>
          </w:p>
        </w:tc>
      </w:tr>
      <w:tr>
        <w:tc>
          <w:tcPr>
            <w:tcW w:type="dxa" w:w="2494"/>
          </w:tcPr>
          <w:p>
            <w:pPr>
              <w:spacing w:after="20" w:before="20" w:line="240" w:lineRule="auto"/>
            </w:pPr>
            <w:r/>
            <w:r>
              <w:rPr>
                <w:rFonts w:ascii="Calibri" w:hAnsi="Calibri"/>
                <w:b w:val="0"/>
                <w:sz w:val="17"/>
              </w:rPr>
              <w:t>Commentary</w:t>
            </w:r>
          </w:p>
        </w:tc>
        <w:tc>
          <w:tcPr>
            <w:tcW w:type="dxa" w:w="7257"/>
          </w:tcPr>
          <w:p>
            <w:pPr>
              <w:spacing w:after="20" w:before="20" w:line="240" w:lineRule="auto"/>
            </w:pPr>
            <w:r/>
            <w:r>
              <w:rPr>
                <w:rFonts w:ascii="Calibri" w:hAnsi="Calibri"/>
                <w:b w:val="0"/>
                <w:sz w:val="17"/>
              </w:rPr>
              <w:t>Entry point for variance notes by project and period</w:t>
            </w:r>
          </w:p>
        </w:tc>
      </w:tr>
    </w:tbl>
    <w:p>
      <w:pPr>
        <w:spacing w:after="20"/>
      </w:pPr>
    </w:p>
    <w:p>
      <w:pPr>
        <w:pStyle w:val="Heading2"/>
      </w:pPr>
      <w:r>
        <w:t>Page 5 – Exceptions and Data Quality</w:t>
      </w:r>
    </w:p>
    <w:p>
      <w:pPr>
        <w:spacing w:after="80"/>
      </w:pPr>
      <w:r>
        <w:rPr>
          <w:b w:val="0"/>
          <w:i/>
          <w:color w:val="595959"/>
          <w:sz w:val="18"/>
        </w:rPr>
        <w:t>Primary audience: Procurement leads, internal audit, IT</w:t>
      </w:r>
    </w:p>
    <w:tbl>
      <w:tblPr>
        <w:tblStyle w:val="TableGrid"/>
        <w:tblW w:type="auto" w:w="0"/>
        <w:jc w:val="center"/>
        <w:tblLayout w:type="fixed"/>
        <w:tblLook w:firstColumn="1" w:firstRow="1" w:lastColumn="0" w:lastRow="0" w:noHBand="0" w:noVBand="1" w:val="04A0"/>
      </w:tblPr>
      <w:tblGrid>
        <w:gridCol w:w="5043"/>
        <w:gridCol w:w="5043"/>
      </w:tblGrid>
      <w:tr>
        <w:trPr>
          <w:tblHeader/>
        </w:trPr>
        <w:tc>
          <w:tcPr>
            <w:tcW w:type="dxa" w:w="2494"/>
            <w:shd w:val="clear" w:fill="1F3B57"/>
          </w:tcPr>
          <w:p>
            <w:pPr>
              <w:spacing w:after="20" w:before="20" w:line="240" w:lineRule="auto"/>
            </w:pPr>
            <w:r/>
            <w:r>
              <w:rPr>
                <w:rFonts w:ascii="Calibri" w:hAnsi="Calibri"/>
                <w:b/>
                <w:color w:val="FFFFFF"/>
                <w:sz w:val="17"/>
              </w:rPr>
              <w:t>Area</w:t>
            </w:r>
          </w:p>
        </w:tc>
        <w:tc>
          <w:tcPr>
            <w:tcW w:type="dxa" w:w="7257"/>
            <w:shd w:val="clear" w:fill="1F3B57"/>
          </w:tcPr>
          <w:p>
            <w:pPr>
              <w:spacing w:after="20" w:before="20" w:line="240" w:lineRule="auto"/>
            </w:pPr>
            <w:r/>
            <w:r>
              <w:rPr>
                <w:rFonts w:ascii="Calibri" w:hAnsi="Calibri"/>
                <w:b/>
                <w:color w:val="FFFFFF"/>
                <w:sz w:val="17"/>
              </w:rPr>
              <w:t>Content</w:t>
            </w:r>
          </w:p>
        </w:tc>
      </w:tr>
      <w:tr>
        <w:tc>
          <w:tcPr>
            <w:tcW w:type="dxa" w:w="2494"/>
          </w:tcPr>
          <w:p>
            <w:pPr>
              <w:spacing w:after="20" w:before="20" w:line="240" w:lineRule="auto"/>
            </w:pPr>
            <w:r/>
            <w:r>
              <w:rPr>
                <w:rFonts w:ascii="Calibri" w:hAnsi="Calibri"/>
                <w:b w:val="0"/>
                <w:sz w:val="17"/>
              </w:rPr>
              <w:t>Summary</w:t>
            </w:r>
          </w:p>
        </w:tc>
        <w:tc>
          <w:tcPr>
            <w:tcW w:type="dxa" w:w="7257"/>
          </w:tcPr>
          <w:p>
            <w:pPr>
              <w:spacing w:after="20" w:before="20" w:line="240" w:lineRule="auto"/>
            </w:pPr>
            <w:r/>
            <w:r>
              <w:rPr>
                <w:rFonts w:ascii="Calibri" w:hAnsi="Calibri"/>
                <w:b w:val="0"/>
                <w:sz w:val="17"/>
              </w:rPr>
              <w:t>Counts and value by exception type; ageing; ownership</w:t>
            </w:r>
          </w:p>
        </w:tc>
      </w:tr>
      <w:tr>
        <w:tc>
          <w:tcPr>
            <w:tcW w:type="dxa" w:w="2494"/>
            <w:shd w:val="clear" w:fill="F7F9FB"/>
          </w:tcPr>
          <w:p>
            <w:pPr>
              <w:spacing w:after="20" w:before="20" w:line="240" w:lineRule="auto"/>
            </w:pPr>
            <w:r/>
            <w:r>
              <w:rPr>
                <w:rFonts w:ascii="Calibri" w:hAnsi="Calibri"/>
                <w:b w:val="0"/>
                <w:sz w:val="17"/>
              </w:rPr>
              <w:t>Unattributed consumption</w:t>
            </w:r>
          </w:p>
        </w:tc>
        <w:tc>
          <w:tcPr>
            <w:tcW w:type="dxa" w:w="7257"/>
            <w:shd w:val="clear" w:fill="F7F9FB"/>
          </w:tcPr>
          <w:p>
            <w:pPr>
              <w:spacing w:after="20" w:before="20" w:line="240" w:lineRule="auto"/>
            </w:pPr>
            <w:r/>
            <w:r>
              <w:rPr>
                <w:rFonts w:ascii="Calibri" w:hAnsi="Calibri"/>
                <w:b w:val="0"/>
                <w:sz w:val="17"/>
              </w:rPr>
              <w:t>By month, by original project where identifiable, by item</w:t>
            </w:r>
          </w:p>
        </w:tc>
      </w:tr>
      <w:tr>
        <w:tc>
          <w:tcPr>
            <w:tcW w:type="dxa" w:w="2494"/>
          </w:tcPr>
          <w:p>
            <w:pPr>
              <w:spacing w:after="20" w:before="20" w:line="240" w:lineRule="auto"/>
            </w:pPr>
            <w:r/>
            <w:r>
              <w:rPr>
                <w:rFonts w:ascii="Calibri" w:hAnsi="Calibri"/>
                <w:b w:val="0"/>
                <w:sz w:val="17"/>
              </w:rPr>
              <w:t>Zero-value or missing prices</w:t>
            </w:r>
          </w:p>
        </w:tc>
        <w:tc>
          <w:tcPr>
            <w:tcW w:type="dxa" w:w="7257"/>
          </w:tcPr>
          <w:p>
            <w:pPr>
              <w:spacing w:after="20" w:before="20" w:line="240" w:lineRule="auto"/>
            </w:pPr>
            <w:r/>
            <w:r>
              <w:rPr>
                <w:rFonts w:ascii="Calibri" w:hAnsi="Calibri"/>
                <w:b w:val="0"/>
                <w:sz w:val="17"/>
              </w:rPr>
              <w:t>Purchase lines and issues affected, with impact on reported value</w:t>
            </w:r>
          </w:p>
        </w:tc>
      </w:tr>
      <w:tr>
        <w:tc>
          <w:tcPr>
            <w:tcW w:type="dxa" w:w="2494"/>
            <w:shd w:val="clear" w:fill="F7F9FB"/>
          </w:tcPr>
          <w:p>
            <w:pPr>
              <w:spacing w:after="20" w:before="20" w:line="240" w:lineRule="auto"/>
            </w:pPr>
            <w:r/>
            <w:r>
              <w:rPr>
                <w:rFonts w:ascii="Calibri" w:hAnsi="Calibri"/>
                <w:b w:val="0"/>
                <w:sz w:val="17"/>
              </w:rPr>
              <w:t>Duplicate and cancelled documents</w:t>
            </w:r>
          </w:p>
        </w:tc>
        <w:tc>
          <w:tcPr>
            <w:tcW w:type="dxa" w:w="7257"/>
            <w:shd w:val="clear" w:fill="F7F9FB"/>
          </w:tcPr>
          <w:p>
            <w:pPr>
              <w:spacing w:after="20" w:before="20" w:line="240" w:lineRule="auto"/>
            </w:pPr>
            <w:r/>
            <w:r>
              <w:rPr>
                <w:rFonts w:ascii="Calibri" w:hAnsi="Calibri"/>
                <w:b w:val="0"/>
                <w:sz w:val="17"/>
              </w:rPr>
              <w:t>Duplicate GRN candidates and cancelled POs with value</w:t>
            </w:r>
          </w:p>
        </w:tc>
      </w:tr>
      <w:tr>
        <w:tc>
          <w:tcPr>
            <w:tcW w:type="dxa" w:w="2494"/>
          </w:tcPr>
          <w:p>
            <w:pPr>
              <w:spacing w:after="20" w:before="20" w:line="240" w:lineRule="auto"/>
            </w:pPr>
            <w:r/>
            <w:r>
              <w:rPr>
                <w:rFonts w:ascii="Calibri" w:hAnsi="Calibri"/>
                <w:b w:val="0"/>
                <w:sz w:val="17"/>
              </w:rPr>
              <w:t>Master-data gaps</w:t>
            </w:r>
          </w:p>
        </w:tc>
        <w:tc>
          <w:tcPr>
            <w:tcW w:type="dxa" w:w="7257"/>
          </w:tcPr>
          <w:p>
            <w:pPr>
              <w:spacing w:after="20" w:before="20" w:line="240" w:lineRule="auto"/>
            </w:pPr>
            <w:r/>
            <w:r>
              <w:rPr>
                <w:rFonts w:ascii="Calibri" w:hAnsi="Calibri"/>
                <w:b w:val="0"/>
                <w:sz w:val="17"/>
              </w:rPr>
              <w:t>Items, projects and suppliers requiring correction, with suggested action</w:t>
            </w:r>
          </w:p>
        </w:tc>
      </w:tr>
      <w:tr>
        <w:tc>
          <w:tcPr>
            <w:tcW w:type="dxa" w:w="2494"/>
            <w:shd w:val="clear" w:fill="F7F9FB"/>
          </w:tcPr>
          <w:p>
            <w:pPr>
              <w:spacing w:after="20" w:before="20" w:line="240" w:lineRule="auto"/>
            </w:pPr>
            <w:r/>
            <w:r>
              <w:rPr>
                <w:rFonts w:ascii="Calibri" w:hAnsi="Calibri"/>
                <w:b w:val="0"/>
                <w:sz w:val="17"/>
              </w:rPr>
              <w:t>Resolution log</w:t>
            </w:r>
          </w:p>
        </w:tc>
        <w:tc>
          <w:tcPr>
            <w:tcW w:type="dxa" w:w="7257"/>
            <w:shd w:val="clear" w:fill="F7F9FB"/>
          </w:tcPr>
          <w:p>
            <w:pPr>
              <w:spacing w:after="20" w:before="20" w:line="240" w:lineRule="auto"/>
            </w:pPr>
            <w:r/>
            <w:r>
              <w:rPr>
                <w:rFonts w:ascii="Calibri" w:hAnsi="Calibri"/>
                <w:b w:val="0"/>
                <w:sz w:val="17"/>
              </w:rPr>
              <w:t>Status, owner, due date and notes for each exception; escalation for items older than 30 days</w:t>
            </w:r>
          </w:p>
        </w:tc>
      </w:tr>
    </w:tbl>
    <w:p>
      <w:pPr>
        <w:spacing w:after="20"/>
      </w:pPr>
    </w:p>
    <w:p>
      <w:pPr>
        <w:pStyle w:val="Heading2"/>
      </w:pPr>
      <w:r>
        <w:t>11.1 Common elements on every page</w:t>
      </w:r>
    </w:p>
    <w:p>
      <w:pPr>
        <w:pStyle w:val="ListBullet"/>
        <w:spacing w:after="50"/>
        <w:ind w:left="340"/>
      </w:pPr>
      <w:r>
        <w:t>Filter bar: period range, project, donor, category, item, warehouse, supplier, issue type, service point; with a reset control.</w:t>
      </w:r>
    </w:p>
    <w:p>
      <w:pPr>
        <w:pStyle w:val="ListBullet"/>
        <w:spacing w:after="50"/>
        <w:ind w:left="340"/>
      </w:pPr>
      <w:r>
        <w:t>Data-freshness indicator with last successful load timestamp and source extract reference.</w:t>
      </w:r>
    </w:p>
    <w:p>
      <w:pPr>
        <w:pStyle w:val="ListBullet"/>
        <w:spacing w:after="50"/>
        <w:ind w:left="340"/>
      </w:pPr>
      <w:r>
        <w:t>Currency and value basis label (actual PKR, excluding tax) plus the option to switch to constant-price view where enabled.</w:t>
      </w:r>
    </w:p>
    <w:p>
      <w:pPr>
        <w:pStyle w:val="ListBullet"/>
        <w:spacing w:after="50"/>
        <w:ind w:left="340"/>
      </w:pPr>
      <w:r>
        <w:t>Export to Excel and PDF, and a link to the KPI definitions page.</w:t>
      </w:r>
    </w:p>
    <w:p>
      <w:pPr>
        <w:pStyle w:val="ListBullet"/>
        <w:spacing w:after="50"/>
        <w:ind w:left="340"/>
      </w:pPr>
      <w:r>
        <w:t>Consistent colour semantics: consumption in navy, investment in teal, budget in grey, favourable variance in green, adverse in red.</w:t>
      </w:r>
    </w:p>
    <w:p>
      <w:pPr>
        <w:pStyle w:val="Heading2"/>
      </w:pPr>
      <w:r>
        <w:t>11.2 Report outputs outside the dashboard</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trPr>
        <w:tc>
          <w:tcPr>
            <w:tcW w:type="dxa" w:w="2608"/>
            <w:shd w:val="clear" w:fill="1F3B57"/>
          </w:tcPr>
          <w:p>
            <w:pPr>
              <w:spacing w:after="20" w:before="20" w:line="240" w:lineRule="auto"/>
            </w:pPr>
            <w:r/>
            <w:r>
              <w:rPr>
                <w:rFonts w:ascii="Calibri" w:hAnsi="Calibri"/>
                <w:b/>
                <w:color w:val="FFFFFF"/>
                <w:sz w:val="17"/>
              </w:rPr>
              <w:t>Output</w:t>
            </w:r>
          </w:p>
        </w:tc>
        <w:tc>
          <w:tcPr>
            <w:tcW w:type="dxa" w:w="1474"/>
            <w:shd w:val="clear" w:fill="1F3B57"/>
          </w:tcPr>
          <w:p>
            <w:pPr>
              <w:spacing w:after="20" w:before="20" w:line="240" w:lineRule="auto"/>
            </w:pPr>
            <w:r/>
            <w:r>
              <w:rPr>
                <w:rFonts w:ascii="Calibri" w:hAnsi="Calibri"/>
                <w:b/>
                <w:color w:val="FFFFFF"/>
                <w:sz w:val="17"/>
              </w:rPr>
              <w:t>Frequency</w:t>
            </w:r>
          </w:p>
        </w:tc>
        <w:tc>
          <w:tcPr>
            <w:tcW w:type="dxa" w:w="2608"/>
            <w:shd w:val="clear" w:fill="1F3B57"/>
          </w:tcPr>
          <w:p>
            <w:pPr>
              <w:spacing w:after="20" w:before="20" w:line="240" w:lineRule="auto"/>
            </w:pPr>
            <w:r/>
            <w:r>
              <w:rPr>
                <w:rFonts w:ascii="Calibri" w:hAnsi="Calibri"/>
                <w:b/>
                <w:color w:val="FFFFFF"/>
                <w:sz w:val="17"/>
              </w:rPr>
              <w:t>Recipient</w:t>
            </w:r>
          </w:p>
        </w:tc>
        <w:tc>
          <w:tcPr>
            <w:tcW w:type="dxa" w:w="3061"/>
            <w:shd w:val="clear" w:fill="1F3B57"/>
          </w:tcPr>
          <w:p>
            <w:pPr>
              <w:spacing w:after="20" w:before="20" w:line="240" w:lineRule="auto"/>
            </w:pPr>
            <w:r/>
            <w:r>
              <w:rPr>
                <w:rFonts w:ascii="Calibri" w:hAnsi="Calibri"/>
                <w:b/>
                <w:color w:val="FFFFFF"/>
                <w:sz w:val="17"/>
              </w:rPr>
              <w:t>Content</w:t>
            </w:r>
          </w:p>
        </w:tc>
      </w:tr>
      <w:tr>
        <w:tc>
          <w:tcPr>
            <w:tcW w:type="dxa" w:w="2608"/>
          </w:tcPr>
          <w:p>
            <w:pPr>
              <w:spacing w:after="20" w:before="20" w:line="240" w:lineRule="auto"/>
            </w:pPr>
            <w:r/>
            <w:r>
              <w:rPr>
                <w:rFonts w:ascii="Calibri" w:hAnsi="Calibri"/>
                <w:b w:val="0"/>
                <w:sz w:val="17"/>
              </w:rPr>
              <w:t>Monthly consumption summary (PDF)</w:t>
            </w:r>
          </w:p>
        </w:tc>
        <w:tc>
          <w:tcPr>
            <w:tcW w:type="dxa" w:w="1474"/>
          </w:tcPr>
          <w:p>
            <w:pPr>
              <w:spacing w:after="20" w:before="20" w:line="240" w:lineRule="auto"/>
              <w:jc w:val="center"/>
            </w:pPr>
            <w:r/>
            <w:r>
              <w:rPr>
                <w:rFonts w:ascii="Calibri" w:hAnsi="Calibri"/>
                <w:b w:val="0"/>
                <w:sz w:val="17"/>
              </w:rPr>
              <w:t>Monthly, WD3</w:t>
            </w:r>
          </w:p>
        </w:tc>
        <w:tc>
          <w:tcPr>
            <w:tcW w:type="dxa" w:w="2608"/>
          </w:tcPr>
          <w:p>
            <w:pPr>
              <w:spacing w:after="20" w:before="20" w:line="240" w:lineRule="auto"/>
            </w:pPr>
            <w:r/>
            <w:r>
              <w:rPr>
                <w:rFonts w:ascii="Calibri" w:hAnsi="Calibri"/>
                <w:b w:val="0"/>
                <w:sz w:val="17"/>
              </w:rPr>
              <w:t>Executive management, programme managers</w:t>
            </w:r>
          </w:p>
        </w:tc>
        <w:tc>
          <w:tcPr>
            <w:tcW w:type="dxa" w:w="3061"/>
          </w:tcPr>
          <w:p>
            <w:pPr>
              <w:spacing w:after="20" w:before="20" w:line="240" w:lineRule="auto"/>
            </w:pPr>
            <w:r/>
            <w:r>
              <w:rPr>
                <w:rFonts w:ascii="Calibri" w:hAnsi="Calibri"/>
                <w:b w:val="0"/>
                <w:sz w:val="17"/>
              </w:rPr>
              <w:t>Pages 1–2 as at month end</w:t>
            </w:r>
          </w:p>
        </w:tc>
      </w:tr>
      <w:tr>
        <w:tc>
          <w:tcPr>
            <w:tcW w:type="dxa" w:w="2608"/>
            <w:shd w:val="clear" w:fill="F7F9FB"/>
          </w:tcPr>
          <w:p>
            <w:pPr>
              <w:spacing w:after="20" w:before="20" w:line="240" w:lineRule="auto"/>
            </w:pPr>
            <w:r/>
            <w:r>
              <w:rPr>
                <w:rFonts w:ascii="Calibri" w:hAnsi="Calibri"/>
                <w:b w:val="0"/>
                <w:sz w:val="17"/>
              </w:rPr>
              <w:t>Procurement requirement report (Excel)</w:t>
            </w:r>
          </w:p>
        </w:tc>
        <w:tc>
          <w:tcPr>
            <w:tcW w:type="dxa" w:w="1474"/>
            <w:shd w:val="clear" w:fill="F7F9FB"/>
          </w:tcPr>
          <w:p>
            <w:pPr>
              <w:spacing w:after="20" w:before="20" w:line="240" w:lineRule="auto"/>
              <w:jc w:val="center"/>
            </w:pPr>
            <w:r/>
            <w:r>
              <w:rPr>
                <w:rFonts w:ascii="Calibri" w:hAnsi="Calibri"/>
                <w:b w:val="0"/>
                <w:sz w:val="17"/>
              </w:rPr>
              <w:t>Monthly, WD3</w:t>
            </w:r>
          </w:p>
        </w:tc>
        <w:tc>
          <w:tcPr>
            <w:tcW w:type="dxa" w:w="2608"/>
            <w:shd w:val="clear" w:fill="F7F9FB"/>
          </w:tcPr>
          <w:p>
            <w:pPr>
              <w:spacing w:after="20" w:before="20" w:line="240" w:lineRule="auto"/>
            </w:pPr>
            <w:r/>
            <w:r>
              <w:rPr>
                <w:rFonts w:ascii="Calibri" w:hAnsi="Calibri"/>
                <w:b w:val="0"/>
                <w:sz w:val="17"/>
              </w:rPr>
              <w:t>Procurement officers</w:t>
            </w:r>
          </w:p>
        </w:tc>
        <w:tc>
          <w:tcPr>
            <w:tcW w:type="dxa" w:w="3061"/>
            <w:shd w:val="clear" w:fill="F7F9FB"/>
          </w:tcPr>
          <w:p>
            <w:pPr>
              <w:spacing w:after="20" w:before="20" w:line="240" w:lineRule="auto"/>
            </w:pPr>
            <w:r/>
            <w:r>
              <w:rPr>
                <w:rFonts w:ascii="Calibri" w:hAnsi="Calibri"/>
                <w:b w:val="0"/>
                <w:sz w:val="17"/>
              </w:rPr>
              <w:t>Item-wise consumption, cover, open commitments, proposal</w:t>
            </w:r>
          </w:p>
        </w:tc>
      </w:tr>
      <w:tr>
        <w:tc>
          <w:tcPr>
            <w:tcW w:type="dxa" w:w="2608"/>
          </w:tcPr>
          <w:p>
            <w:pPr>
              <w:spacing w:after="20" w:before="20" w:line="240" w:lineRule="auto"/>
            </w:pPr>
            <w:r/>
            <w:r>
              <w:rPr>
                <w:rFonts w:ascii="Calibri" w:hAnsi="Calibri"/>
                <w:b w:val="0"/>
                <w:sz w:val="17"/>
              </w:rPr>
              <w:t>Budget variance pack (Excel)</w:t>
            </w:r>
          </w:p>
        </w:tc>
        <w:tc>
          <w:tcPr>
            <w:tcW w:type="dxa" w:w="1474"/>
          </w:tcPr>
          <w:p>
            <w:pPr>
              <w:spacing w:after="20" w:before="20" w:line="240" w:lineRule="auto"/>
              <w:jc w:val="center"/>
            </w:pPr>
            <w:r/>
            <w:r>
              <w:rPr>
                <w:rFonts w:ascii="Calibri" w:hAnsi="Calibri"/>
                <w:b w:val="0"/>
                <w:sz w:val="17"/>
              </w:rPr>
              <w:t>Monthly, WD5</w:t>
            </w:r>
          </w:p>
        </w:tc>
        <w:tc>
          <w:tcPr>
            <w:tcW w:type="dxa" w:w="2608"/>
          </w:tcPr>
          <w:p>
            <w:pPr>
              <w:spacing w:after="20" w:before="20" w:line="240" w:lineRule="auto"/>
            </w:pPr>
            <w:r/>
            <w:r>
              <w:rPr>
                <w:rFonts w:ascii="Calibri" w:hAnsi="Calibri"/>
                <w:b w:val="0"/>
                <w:sz w:val="17"/>
              </w:rPr>
              <w:t>Finance and grants</w:t>
            </w:r>
          </w:p>
        </w:tc>
        <w:tc>
          <w:tcPr>
            <w:tcW w:type="dxa" w:w="3061"/>
          </w:tcPr>
          <w:p>
            <w:pPr>
              <w:spacing w:after="20" w:before="20" w:line="240" w:lineRule="auto"/>
            </w:pPr>
            <w:r/>
            <w:r>
              <w:rPr>
                <w:rFonts w:ascii="Calibri" w:hAnsi="Calibri"/>
                <w:b w:val="0"/>
                <w:sz w:val="17"/>
              </w:rPr>
              <w:t>Budget versus consumption with commentary</w:t>
            </w:r>
          </w:p>
        </w:tc>
      </w:tr>
      <w:tr>
        <w:tc>
          <w:tcPr>
            <w:tcW w:type="dxa" w:w="2608"/>
            <w:shd w:val="clear" w:fill="F7F9FB"/>
          </w:tcPr>
          <w:p>
            <w:pPr>
              <w:spacing w:after="20" w:before="20" w:line="240" w:lineRule="auto"/>
            </w:pPr>
            <w:r/>
            <w:r>
              <w:rPr>
                <w:rFonts w:ascii="Calibri" w:hAnsi="Calibri"/>
                <w:b w:val="0"/>
                <w:sz w:val="17"/>
              </w:rPr>
              <w:t>Donor consumption statement (PDF)</w:t>
            </w:r>
          </w:p>
        </w:tc>
        <w:tc>
          <w:tcPr>
            <w:tcW w:type="dxa" w:w="1474"/>
            <w:shd w:val="clear" w:fill="F7F9FB"/>
          </w:tcPr>
          <w:p>
            <w:pPr>
              <w:spacing w:after="20" w:before="20" w:line="240" w:lineRule="auto"/>
              <w:jc w:val="center"/>
            </w:pPr>
            <w:r/>
            <w:r>
              <w:rPr>
                <w:rFonts w:ascii="Calibri" w:hAnsi="Calibri"/>
                <w:b w:val="0"/>
                <w:sz w:val="17"/>
              </w:rPr>
              <w:t>Quarterly</w:t>
            </w:r>
          </w:p>
        </w:tc>
        <w:tc>
          <w:tcPr>
            <w:tcW w:type="dxa" w:w="2608"/>
            <w:shd w:val="clear" w:fill="F7F9FB"/>
          </w:tcPr>
          <w:p>
            <w:pPr>
              <w:spacing w:after="20" w:before="20" w:line="240" w:lineRule="auto"/>
            </w:pPr>
            <w:r/>
            <w:r>
              <w:rPr>
                <w:rFonts w:ascii="Calibri" w:hAnsi="Calibri"/>
                <w:b w:val="0"/>
                <w:sz w:val="17"/>
              </w:rPr>
              <w:t>Donor focal persons via Finance</w:t>
            </w:r>
          </w:p>
        </w:tc>
        <w:tc>
          <w:tcPr>
            <w:tcW w:type="dxa" w:w="3061"/>
            <w:shd w:val="clear" w:fill="F7F9FB"/>
          </w:tcPr>
          <w:p>
            <w:pPr>
              <w:spacing w:after="20" w:before="20" w:line="240" w:lineRule="auto"/>
            </w:pPr>
            <w:r/>
            <w:r>
              <w:rPr>
                <w:rFonts w:ascii="Calibri" w:hAnsi="Calibri"/>
                <w:b w:val="0"/>
                <w:sz w:val="17"/>
              </w:rPr>
              <w:t>Project consumption, investment and cost per beneficiary</w:t>
            </w:r>
          </w:p>
        </w:tc>
      </w:tr>
      <w:tr>
        <w:tc>
          <w:tcPr>
            <w:tcW w:type="dxa" w:w="2608"/>
          </w:tcPr>
          <w:p>
            <w:pPr>
              <w:spacing w:after="20" w:before="20" w:line="240" w:lineRule="auto"/>
            </w:pPr>
            <w:r/>
            <w:r>
              <w:rPr>
                <w:rFonts w:ascii="Calibri" w:hAnsi="Calibri"/>
                <w:b w:val="0"/>
                <w:sz w:val="17"/>
              </w:rPr>
              <w:t>Exception log (Excel)</w:t>
            </w:r>
          </w:p>
        </w:tc>
        <w:tc>
          <w:tcPr>
            <w:tcW w:type="dxa" w:w="1474"/>
          </w:tcPr>
          <w:p>
            <w:pPr>
              <w:spacing w:after="20" w:before="20" w:line="240" w:lineRule="auto"/>
              <w:jc w:val="center"/>
            </w:pPr>
            <w:r/>
            <w:r>
              <w:rPr>
                <w:rFonts w:ascii="Calibri" w:hAnsi="Calibri"/>
                <w:b w:val="0"/>
                <w:sz w:val="17"/>
              </w:rPr>
              <w:t>Weekly</w:t>
            </w:r>
          </w:p>
        </w:tc>
        <w:tc>
          <w:tcPr>
            <w:tcW w:type="dxa" w:w="2608"/>
          </w:tcPr>
          <w:p>
            <w:pPr>
              <w:spacing w:after="20" w:before="20" w:line="240" w:lineRule="auto"/>
            </w:pPr>
            <w:r/>
            <w:r>
              <w:rPr>
                <w:rFonts w:ascii="Calibri" w:hAnsi="Calibri"/>
                <w:b w:val="0"/>
                <w:sz w:val="17"/>
              </w:rPr>
              <w:t>Procurement leads, internal audit</w:t>
            </w:r>
          </w:p>
        </w:tc>
        <w:tc>
          <w:tcPr>
            <w:tcW w:type="dxa" w:w="3061"/>
          </w:tcPr>
          <w:p>
            <w:pPr>
              <w:spacing w:after="20" w:before="20" w:line="240" w:lineRule="auto"/>
            </w:pPr>
            <w:r/>
            <w:r>
              <w:rPr>
                <w:rFonts w:ascii="Calibri" w:hAnsi="Calibri"/>
                <w:b w:val="0"/>
                <w:sz w:val="17"/>
              </w:rPr>
              <w:t>Open exceptions with owner, age and value</w:t>
            </w:r>
          </w:p>
        </w:tc>
      </w:tr>
    </w:tbl>
    <w:p>
      <w:pPr>
        <w:spacing w:after="20"/>
      </w:pPr>
    </w:p>
    <w:p>
      <w:r>
        <w:br w:type="page"/>
      </w:r>
    </w:p>
    <w:p>
      <w:pPr>
        <w:pStyle w:val="Heading1"/>
      </w:pPr>
      <w:r>
        <w:t>12. KPI Dictionary</w:t>
      </w:r>
    </w:p>
    <w:p>
      <w:pPr>
        <w:spacing w:after="100"/>
      </w:pPr>
      <w:r>
        <w:rPr>
          <w:b w:val="0"/>
          <w:i w:val="0"/>
        </w:rPr>
        <w:t>Every KPI below is approved once and used identically in all views. Where a KPI has a variant (such as constant price), the variant is a separate row. Definitions are expressed in business language; the technical expression is in Section 14.</w:t>
      </w:r>
    </w:p>
    <w:tbl>
      <w:tblPr>
        <w:tblStyle w:val="TableGrid"/>
        <w:tblW w:type="auto" w:w="0"/>
        <w:jc w:val="center"/>
        <w:tblLayout w:type="fixed"/>
        <w:tblLook w:firstColumn="1" w:firstRow="1" w:lastColumn="0" w:lastRow="0" w:noHBand="0" w:noVBand="1" w:val="04A0"/>
      </w:tblPr>
      <w:tblGrid>
        <w:gridCol w:w="1121"/>
        <w:gridCol w:w="1121"/>
        <w:gridCol w:w="1121"/>
        <w:gridCol w:w="1121"/>
        <w:gridCol w:w="1121"/>
        <w:gridCol w:w="1121"/>
        <w:gridCol w:w="1121"/>
        <w:gridCol w:w="1121"/>
        <w:gridCol w:w="1121"/>
      </w:tblGrid>
      <w:tr>
        <w:trPr>
          <w:tblHeader/>
        </w:trPr>
        <w:tc>
          <w:tcPr>
            <w:tcW w:type="dxa" w:w="737"/>
            <w:shd w:val="clear" w:fill="1F3B57"/>
          </w:tcPr>
          <w:p>
            <w:pPr>
              <w:spacing w:after="20" w:before="20" w:line="240" w:lineRule="auto"/>
            </w:pPr>
            <w:r/>
            <w:r>
              <w:rPr>
                <w:rFonts w:ascii="Calibri" w:hAnsi="Calibri"/>
                <w:b/>
                <w:color w:val="FFFFFF"/>
                <w:sz w:val="14"/>
              </w:rPr>
              <w:t>ID</w:t>
            </w:r>
          </w:p>
        </w:tc>
        <w:tc>
          <w:tcPr>
            <w:tcW w:type="dxa" w:w="1757"/>
            <w:shd w:val="clear" w:fill="1F3B57"/>
          </w:tcPr>
          <w:p>
            <w:pPr>
              <w:spacing w:after="20" w:before="20" w:line="240" w:lineRule="auto"/>
            </w:pPr>
            <w:r/>
            <w:r>
              <w:rPr>
                <w:rFonts w:ascii="Calibri" w:hAnsi="Calibri"/>
                <w:b/>
                <w:color w:val="FFFFFF"/>
                <w:sz w:val="14"/>
              </w:rPr>
              <w:t>KPI</w:t>
            </w:r>
          </w:p>
        </w:tc>
        <w:tc>
          <w:tcPr>
            <w:tcW w:type="dxa" w:w="794"/>
            <w:shd w:val="clear" w:fill="1F3B57"/>
          </w:tcPr>
          <w:p>
            <w:pPr>
              <w:spacing w:after="20" w:before="20" w:line="240" w:lineRule="auto"/>
            </w:pPr>
            <w:r/>
            <w:r>
              <w:rPr>
                <w:rFonts w:ascii="Calibri" w:hAnsi="Calibri"/>
                <w:b/>
                <w:color w:val="FFFFFF"/>
                <w:sz w:val="14"/>
              </w:rPr>
              <w:t>Unit</w:t>
            </w:r>
          </w:p>
        </w:tc>
        <w:tc>
          <w:tcPr>
            <w:tcW w:type="dxa" w:w="2041"/>
            <w:shd w:val="clear" w:fill="1F3B57"/>
          </w:tcPr>
          <w:p>
            <w:pPr>
              <w:spacing w:after="20" w:before="20" w:line="240" w:lineRule="auto"/>
            </w:pPr>
            <w:r/>
            <w:r>
              <w:rPr>
                <w:rFonts w:ascii="Calibri" w:hAnsi="Calibri"/>
                <w:b/>
                <w:color w:val="FFFFFF"/>
                <w:sz w:val="14"/>
              </w:rPr>
              <w:t>Definition</w:t>
            </w:r>
          </w:p>
        </w:tc>
        <w:tc>
          <w:tcPr>
            <w:tcW w:type="dxa" w:w="2494"/>
            <w:shd w:val="clear" w:fill="1F3B57"/>
          </w:tcPr>
          <w:p>
            <w:pPr>
              <w:spacing w:after="20" w:before="20" w:line="240" w:lineRule="auto"/>
            </w:pPr>
            <w:r/>
            <w:r>
              <w:rPr>
                <w:rFonts w:ascii="Calibri" w:hAnsi="Calibri"/>
                <w:b/>
                <w:color w:val="FFFFFF"/>
                <w:sz w:val="14"/>
              </w:rPr>
              <w:t>Formula</w:t>
            </w:r>
          </w:p>
        </w:tc>
        <w:tc>
          <w:tcPr>
            <w:tcW w:type="dxa" w:w="794"/>
            <w:shd w:val="clear" w:fill="1F3B57"/>
          </w:tcPr>
          <w:p>
            <w:pPr>
              <w:spacing w:after="20" w:before="20" w:line="240" w:lineRule="auto"/>
            </w:pPr>
            <w:r/>
            <w:r>
              <w:rPr>
                <w:rFonts w:ascii="Calibri" w:hAnsi="Calibri"/>
                <w:b/>
                <w:color w:val="FFFFFF"/>
                <w:sz w:val="14"/>
              </w:rPr>
              <w:t>Grain</w:t>
            </w:r>
          </w:p>
        </w:tc>
        <w:tc>
          <w:tcPr>
            <w:tcW w:type="dxa" w:w="907"/>
            <w:shd w:val="clear" w:fill="1F3B57"/>
          </w:tcPr>
          <w:p>
            <w:pPr>
              <w:spacing w:after="20" w:before="20" w:line="240" w:lineRule="auto"/>
            </w:pPr>
            <w:r/>
            <w:r>
              <w:rPr>
                <w:rFonts w:ascii="Calibri" w:hAnsi="Calibri"/>
                <w:b/>
                <w:color w:val="FFFFFF"/>
                <w:sz w:val="14"/>
              </w:rPr>
              <w:t>Reported by</w:t>
            </w:r>
          </w:p>
        </w:tc>
        <w:tc>
          <w:tcPr>
            <w:tcW w:type="dxa" w:w="964"/>
            <w:shd w:val="clear" w:fill="1F3B57"/>
          </w:tcPr>
          <w:p>
            <w:pPr>
              <w:spacing w:after="20" w:before="20" w:line="240" w:lineRule="auto"/>
            </w:pPr>
            <w:r/>
            <w:r>
              <w:rPr>
                <w:rFonts w:ascii="Calibri" w:hAnsi="Calibri"/>
                <w:b/>
                <w:color w:val="FFFFFF"/>
                <w:sz w:val="14"/>
              </w:rPr>
              <w:t>Target</w:t>
            </w:r>
          </w:p>
        </w:tc>
        <w:tc>
          <w:tcPr>
            <w:tcW w:type="dxa" w:w="680"/>
            <w:shd w:val="clear" w:fill="1F3B57"/>
          </w:tcPr>
          <w:p>
            <w:pPr>
              <w:spacing w:after="20" w:before="20" w:line="240" w:lineRule="auto"/>
            </w:pPr>
            <w:r/>
            <w:r>
              <w:rPr>
                <w:rFonts w:ascii="Calibri" w:hAnsi="Calibri"/>
                <w:b/>
                <w:color w:val="FFFFFF"/>
                <w:sz w:val="14"/>
              </w:rPr>
              <w:t>Pages</w:t>
            </w:r>
          </w:p>
        </w:tc>
      </w:tr>
      <w:tr>
        <w:tc>
          <w:tcPr>
            <w:tcW w:type="dxa" w:w="737"/>
          </w:tcPr>
          <w:p>
            <w:pPr>
              <w:spacing w:after="20" w:before="20" w:line="240" w:lineRule="auto"/>
              <w:jc w:val="center"/>
            </w:pPr>
            <w:r/>
            <w:r>
              <w:rPr>
                <w:rFonts w:ascii="Calibri" w:hAnsi="Calibri"/>
                <w:b w:val="0"/>
                <w:sz w:val="14"/>
              </w:rPr>
              <w:t>KPI-01</w:t>
            </w:r>
          </w:p>
        </w:tc>
        <w:tc>
          <w:tcPr>
            <w:tcW w:type="dxa" w:w="1757"/>
          </w:tcPr>
          <w:p>
            <w:pPr>
              <w:spacing w:after="20" w:before="20" w:line="240" w:lineRule="auto"/>
            </w:pPr>
            <w:r/>
            <w:r>
              <w:rPr>
                <w:rFonts w:ascii="Calibri" w:hAnsi="Calibri"/>
                <w:b w:val="0"/>
                <w:sz w:val="14"/>
              </w:rPr>
              <w:t>Consumption value</w:t>
            </w:r>
          </w:p>
        </w:tc>
        <w:tc>
          <w:tcPr>
            <w:tcW w:type="dxa" w:w="794"/>
          </w:tcPr>
          <w:p>
            <w:pPr>
              <w:spacing w:after="20" w:before="20" w:line="240" w:lineRule="auto"/>
              <w:jc w:val="center"/>
            </w:pPr>
            <w:r/>
            <w:r>
              <w:rPr>
                <w:rFonts w:ascii="Calibri" w:hAnsi="Calibri"/>
                <w:b w:val="0"/>
                <w:sz w:val="14"/>
              </w:rPr>
              <w:t>PKR</w:t>
            </w:r>
          </w:p>
        </w:tc>
        <w:tc>
          <w:tcPr>
            <w:tcW w:type="dxa" w:w="2041"/>
          </w:tcPr>
          <w:p>
            <w:pPr>
              <w:spacing w:after="20" w:before="20" w:line="240" w:lineRule="auto"/>
            </w:pPr>
            <w:r/>
            <w:r>
              <w:rPr>
                <w:rFonts w:ascii="Calibri" w:hAnsi="Calibri"/>
                <w:b w:val="0"/>
                <w:sz w:val="14"/>
              </w:rPr>
              <w:t>Sum of issue line value for the selected scope and period.</w:t>
            </w:r>
          </w:p>
        </w:tc>
        <w:tc>
          <w:tcPr>
            <w:tcW w:type="dxa" w:w="2494"/>
          </w:tcPr>
          <w:p>
            <w:pPr>
              <w:spacing w:after="20" w:before="20" w:line="240" w:lineRule="auto"/>
            </w:pPr>
            <w:r/>
            <w:r>
              <w:rPr>
                <w:rFonts w:ascii="Calibri" w:hAnsi="Calibri"/>
                <w:b w:val="0"/>
                <w:sz w:val="14"/>
              </w:rPr>
              <w:t>Consumption value = Σ (quantity issued × unit cost at issue).</w:t>
            </w:r>
          </w:p>
        </w:tc>
        <w:tc>
          <w:tcPr>
            <w:tcW w:type="dxa" w:w="794"/>
          </w:tcPr>
          <w:p>
            <w:pPr>
              <w:spacing w:after="20" w:before="20" w:line="240" w:lineRule="auto"/>
              <w:jc w:val="center"/>
            </w:pPr>
            <w:r/>
            <w:r>
              <w:rPr>
                <w:rFonts w:ascii="Calibri" w:hAnsi="Calibri"/>
                <w:b w:val="0"/>
                <w:sz w:val="14"/>
              </w:rPr>
              <w:t>Issue line</w:t>
            </w:r>
          </w:p>
        </w:tc>
        <w:tc>
          <w:tcPr>
            <w:tcW w:type="dxa" w:w="907"/>
          </w:tcPr>
          <w:p>
            <w:pPr>
              <w:spacing w:after="20" w:before="20" w:line="240" w:lineRule="auto"/>
            </w:pPr>
            <w:r/>
            <w:r>
              <w:rPr>
                <w:rFonts w:ascii="Calibri" w:hAnsi="Calibri"/>
                <w:b w:val="0"/>
                <w:sz w:val="14"/>
              </w:rPr>
              <w:t>Project / item / month</w:t>
            </w:r>
          </w:p>
        </w:tc>
        <w:tc>
          <w:tcPr>
            <w:tcW w:type="dxa" w:w="964"/>
          </w:tcPr>
          <w:p>
            <w:pPr>
              <w:spacing w:after="20" w:before="20" w:line="240" w:lineRule="auto"/>
              <w:jc w:val="center"/>
            </w:pPr>
            <w:r/>
            <w:r>
              <w:rPr>
                <w:rFonts w:ascii="Calibri" w:hAnsi="Calibri"/>
                <w:b w:val="0"/>
                <w:sz w:val="14"/>
              </w:rPr>
              <w:t>Monitor</w:t>
            </w:r>
          </w:p>
        </w:tc>
        <w:tc>
          <w:tcPr>
            <w:tcW w:type="dxa" w:w="680"/>
          </w:tcPr>
          <w:p>
            <w:pPr>
              <w:spacing w:after="20" w:before="20" w:line="240" w:lineRule="auto"/>
              <w:jc w:val="center"/>
            </w:pPr>
            <w:r/>
            <w:r>
              <w:rPr>
                <w:rFonts w:ascii="Calibri" w:hAnsi="Calibri"/>
                <w:b w:val="0"/>
                <w:sz w:val="14"/>
              </w:rPr>
              <w:t>All pages</w:t>
            </w:r>
          </w:p>
        </w:tc>
      </w:tr>
      <w:tr>
        <w:tc>
          <w:tcPr>
            <w:tcW w:type="dxa" w:w="737"/>
            <w:shd w:val="clear" w:fill="F7F9FB"/>
          </w:tcPr>
          <w:p>
            <w:pPr>
              <w:spacing w:after="20" w:before="20" w:line="240" w:lineRule="auto"/>
              <w:jc w:val="center"/>
            </w:pPr>
            <w:r/>
            <w:r>
              <w:rPr>
                <w:rFonts w:ascii="Calibri" w:hAnsi="Calibri"/>
                <w:b w:val="0"/>
                <w:sz w:val="14"/>
              </w:rPr>
              <w:t>KPI-02</w:t>
            </w:r>
          </w:p>
        </w:tc>
        <w:tc>
          <w:tcPr>
            <w:tcW w:type="dxa" w:w="1757"/>
            <w:shd w:val="clear" w:fill="F7F9FB"/>
          </w:tcPr>
          <w:p>
            <w:pPr>
              <w:spacing w:after="20" w:before="20" w:line="240" w:lineRule="auto"/>
            </w:pPr>
            <w:r/>
            <w:r>
              <w:rPr>
                <w:rFonts w:ascii="Calibri" w:hAnsi="Calibri"/>
                <w:b w:val="0"/>
                <w:sz w:val="14"/>
              </w:rPr>
              <w:t>Consumption quantity</w:t>
            </w:r>
          </w:p>
        </w:tc>
        <w:tc>
          <w:tcPr>
            <w:tcW w:type="dxa" w:w="794"/>
            <w:shd w:val="clear" w:fill="F7F9FB"/>
          </w:tcPr>
          <w:p>
            <w:pPr>
              <w:spacing w:after="20" w:before="20" w:line="240" w:lineRule="auto"/>
              <w:jc w:val="center"/>
            </w:pPr>
            <w:r/>
            <w:r>
              <w:rPr>
                <w:rFonts w:ascii="Calibri" w:hAnsi="Calibri"/>
                <w:b w:val="0"/>
                <w:sz w:val="14"/>
              </w:rPr>
              <w:t>Base UOM</w:t>
            </w:r>
          </w:p>
        </w:tc>
        <w:tc>
          <w:tcPr>
            <w:tcW w:type="dxa" w:w="2041"/>
            <w:shd w:val="clear" w:fill="F7F9FB"/>
          </w:tcPr>
          <w:p>
            <w:pPr>
              <w:spacing w:after="20" w:before="20" w:line="240" w:lineRule="auto"/>
            </w:pPr>
            <w:r/>
            <w:r>
              <w:rPr>
                <w:rFonts w:ascii="Calibri" w:hAnsi="Calibri"/>
                <w:b w:val="0"/>
                <w:sz w:val="14"/>
              </w:rPr>
              <w:t>Sum of quantities issued in base units.</w:t>
            </w:r>
          </w:p>
        </w:tc>
        <w:tc>
          <w:tcPr>
            <w:tcW w:type="dxa" w:w="2494"/>
            <w:shd w:val="clear" w:fill="F7F9FB"/>
          </w:tcPr>
          <w:p>
            <w:pPr>
              <w:spacing w:after="20" w:before="20" w:line="240" w:lineRule="auto"/>
            </w:pPr>
            <w:r/>
            <w:r>
              <w:rPr>
                <w:rFonts w:ascii="Calibri" w:hAnsi="Calibri"/>
                <w:b w:val="0"/>
                <w:sz w:val="14"/>
              </w:rPr>
              <w:t>Σ quantity issued, converted from pack to base UOM.</w:t>
            </w:r>
          </w:p>
        </w:tc>
        <w:tc>
          <w:tcPr>
            <w:tcW w:type="dxa" w:w="794"/>
            <w:shd w:val="clear" w:fill="F7F9FB"/>
          </w:tcPr>
          <w:p>
            <w:pPr>
              <w:spacing w:after="20" w:before="20" w:line="240" w:lineRule="auto"/>
              <w:jc w:val="center"/>
            </w:pPr>
            <w:r/>
            <w:r>
              <w:rPr>
                <w:rFonts w:ascii="Calibri" w:hAnsi="Calibri"/>
                <w:b w:val="0"/>
                <w:sz w:val="14"/>
              </w:rPr>
              <w:t>Issue line</w:t>
            </w:r>
          </w:p>
        </w:tc>
        <w:tc>
          <w:tcPr>
            <w:tcW w:type="dxa" w:w="907"/>
            <w:shd w:val="clear" w:fill="F7F9FB"/>
          </w:tcPr>
          <w:p>
            <w:pPr>
              <w:spacing w:after="20" w:before="20" w:line="240" w:lineRule="auto"/>
            </w:pPr>
            <w:r/>
            <w:r>
              <w:rPr>
                <w:rFonts w:ascii="Calibri" w:hAnsi="Calibri"/>
                <w:b w:val="0"/>
                <w:sz w:val="14"/>
              </w:rPr>
              <w:t>Project / item / month</w:t>
            </w:r>
          </w:p>
        </w:tc>
        <w:tc>
          <w:tcPr>
            <w:tcW w:type="dxa" w:w="964"/>
            <w:shd w:val="clear" w:fill="F7F9FB"/>
          </w:tcPr>
          <w:p>
            <w:pPr>
              <w:spacing w:after="20" w:before="20" w:line="240" w:lineRule="auto"/>
              <w:jc w:val="center"/>
            </w:pPr>
            <w:r/>
            <w:r>
              <w:rPr>
                <w:rFonts w:ascii="Calibri" w:hAnsi="Calibri"/>
                <w:b w:val="0"/>
                <w:sz w:val="14"/>
              </w:rPr>
              <w:t>Monitor</w:t>
            </w:r>
          </w:p>
        </w:tc>
        <w:tc>
          <w:tcPr>
            <w:tcW w:type="dxa" w:w="680"/>
            <w:shd w:val="clear" w:fill="F7F9FB"/>
          </w:tcPr>
          <w:p>
            <w:pPr>
              <w:spacing w:after="20" w:before="20" w:line="240" w:lineRule="auto"/>
              <w:jc w:val="center"/>
            </w:pPr>
            <w:r/>
            <w:r>
              <w:rPr>
                <w:rFonts w:ascii="Calibri" w:hAnsi="Calibri"/>
                <w:b w:val="0"/>
                <w:sz w:val="14"/>
              </w:rPr>
              <w:t>1–3</w:t>
            </w:r>
          </w:p>
        </w:tc>
      </w:tr>
      <w:tr>
        <w:tc>
          <w:tcPr>
            <w:tcW w:type="dxa" w:w="737"/>
          </w:tcPr>
          <w:p>
            <w:pPr>
              <w:spacing w:after="20" w:before="20" w:line="240" w:lineRule="auto"/>
              <w:jc w:val="center"/>
            </w:pPr>
            <w:r/>
            <w:r>
              <w:rPr>
                <w:rFonts w:ascii="Calibri" w:hAnsi="Calibri"/>
                <w:b w:val="0"/>
                <w:sz w:val="14"/>
              </w:rPr>
              <w:t>KPI-03</w:t>
            </w:r>
          </w:p>
        </w:tc>
        <w:tc>
          <w:tcPr>
            <w:tcW w:type="dxa" w:w="1757"/>
          </w:tcPr>
          <w:p>
            <w:pPr>
              <w:spacing w:after="20" w:before="20" w:line="240" w:lineRule="auto"/>
            </w:pPr>
            <w:r/>
            <w:r>
              <w:rPr>
                <w:rFonts w:ascii="Calibri" w:hAnsi="Calibri"/>
                <w:b w:val="0"/>
                <w:sz w:val="14"/>
              </w:rPr>
              <w:t>Procurement investment</w:t>
            </w:r>
          </w:p>
        </w:tc>
        <w:tc>
          <w:tcPr>
            <w:tcW w:type="dxa" w:w="794"/>
          </w:tcPr>
          <w:p>
            <w:pPr>
              <w:spacing w:after="20" w:before="20" w:line="240" w:lineRule="auto"/>
              <w:jc w:val="center"/>
            </w:pPr>
            <w:r/>
            <w:r>
              <w:rPr>
                <w:rFonts w:ascii="Calibri" w:hAnsi="Calibri"/>
                <w:b w:val="0"/>
                <w:sz w:val="14"/>
              </w:rPr>
              <w:t>PKR</w:t>
            </w:r>
          </w:p>
        </w:tc>
        <w:tc>
          <w:tcPr>
            <w:tcW w:type="dxa" w:w="2041"/>
          </w:tcPr>
          <w:p>
            <w:pPr>
              <w:spacing w:after="20" w:before="20" w:line="240" w:lineRule="auto"/>
            </w:pPr>
            <w:r/>
            <w:r>
              <w:rPr>
                <w:rFonts w:ascii="Calibri" w:hAnsi="Calibri"/>
                <w:b w:val="0"/>
                <w:sz w:val="14"/>
              </w:rPr>
              <w:t>Value of products purchased (ordered) for the selected scope and period.</w:t>
            </w:r>
          </w:p>
        </w:tc>
        <w:tc>
          <w:tcPr>
            <w:tcW w:type="dxa" w:w="2494"/>
          </w:tcPr>
          <w:p>
            <w:pPr>
              <w:spacing w:after="20" w:before="20" w:line="240" w:lineRule="auto"/>
            </w:pPr>
            <w:r/>
            <w:r>
              <w:rPr>
                <w:rFonts w:ascii="Calibri" w:hAnsi="Calibri"/>
                <w:b w:val="0"/>
                <w:sz w:val="14"/>
              </w:rPr>
              <w:t>Σ (quantity ordered × PO unit price), excluding cancelled orders.</w:t>
            </w:r>
          </w:p>
        </w:tc>
        <w:tc>
          <w:tcPr>
            <w:tcW w:type="dxa" w:w="794"/>
          </w:tcPr>
          <w:p>
            <w:pPr>
              <w:spacing w:after="20" w:before="20" w:line="240" w:lineRule="auto"/>
              <w:jc w:val="center"/>
            </w:pPr>
            <w:r/>
            <w:r>
              <w:rPr>
                <w:rFonts w:ascii="Calibri" w:hAnsi="Calibri"/>
                <w:b w:val="0"/>
                <w:sz w:val="14"/>
              </w:rPr>
              <w:t>PO line</w:t>
            </w:r>
          </w:p>
        </w:tc>
        <w:tc>
          <w:tcPr>
            <w:tcW w:type="dxa" w:w="907"/>
          </w:tcPr>
          <w:p>
            <w:pPr>
              <w:spacing w:after="20" w:before="20" w:line="240" w:lineRule="auto"/>
            </w:pPr>
            <w:r/>
            <w:r>
              <w:rPr>
                <w:rFonts w:ascii="Calibri" w:hAnsi="Calibri"/>
                <w:b w:val="0"/>
                <w:sz w:val="14"/>
              </w:rPr>
              <w:t>Project / item / month</w:t>
            </w:r>
          </w:p>
        </w:tc>
        <w:tc>
          <w:tcPr>
            <w:tcW w:type="dxa" w:w="964"/>
          </w:tcPr>
          <w:p>
            <w:pPr>
              <w:spacing w:after="20" w:before="20" w:line="240" w:lineRule="auto"/>
              <w:jc w:val="center"/>
            </w:pPr>
            <w:r/>
            <w:r>
              <w:rPr>
                <w:rFonts w:ascii="Calibri" w:hAnsi="Calibri"/>
                <w:b w:val="0"/>
                <w:sz w:val="14"/>
              </w:rPr>
              <w:t>Monitor</w:t>
            </w:r>
          </w:p>
        </w:tc>
        <w:tc>
          <w:tcPr>
            <w:tcW w:type="dxa" w:w="680"/>
          </w:tcPr>
          <w:p>
            <w:pPr>
              <w:spacing w:after="20" w:before="20" w:line="240" w:lineRule="auto"/>
              <w:jc w:val="center"/>
            </w:pPr>
            <w:r/>
            <w:r>
              <w:rPr>
                <w:rFonts w:ascii="Calibri" w:hAnsi="Calibri"/>
                <w:b w:val="0"/>
                <w:sz w:val="14"/>
              </w:rPr>
              <w:t>1–4</w:t>
            </w:r>
          </w:p>
        </w:tc>
      </w:tr>
      <w:tr>
        <w:tc>
          <w:tcPr>
            <w:tcW w:type="dxa" w:w="737"/>
            <w:shd w:val="clear" w:fill="F7F9FB"/>
          </w:tcPr>
          <w:p>
            <w:pPr>
              <w:spacing w:after="20" w:before="20" w:line="240" w:lineRule="auto"/>
              <w:jc w:val="center"/>
            </w:pPr>
            <w:r/>
            <w:r>
              <w:rPr>
                <w:rFonts w:ascii="Calibri" w:hAnsi="Calibri"/>
                <w:b w:val="0"/>
                <w:sz w:val="14"/>
              </w:rPr>
              <w:t>KPI-04</w:t>
            </w:r>
          </w:p>
        </w:tc>
        <w:tc>
          <w:tcPr>
            <w:tcW w:type="dxa" w:w="1757"/>
            <w:shd w:val="clear" w:fill="F7F9FB"/>
          </w:tcPr>
          <w:p>
            <w:pPr>
              <w:spacing w:after="20" w:before="20" w:line="240" w:lineRule="auto"/>
            </w:pPr>
            <w:r/>
            <w:r>
              <w:rPr>
                <w:rFonts w:ascii="Calibri" w:hAnsi="Calibri"/>
                <w:b w:val="0"/>
                <w:sz w:val="14"/>
              </w:rPr>
              <w:t>Received value</w:t>
            </w:r>
          </w:p>
        </w:tc>
        <w:tc>
          <w:tcPr>
            <w:tcW w:type="dxa" w:w="794"/>
            <w:shd w:val="clear" w:fill="F7F9FB"/>
          </w:tcPr>
          <w:p>
            <w:pPr>
              <w:spacing w:after="20" w:before="20" w:line="240" w:lineRule="auto"/>
              <w:jc w:val="center"/>
            </w:pPr>
            <w:r/>
            <w:r>
              <w:rPr>
                <w:rFonts w:ascii="Calibri" w:hAnsi="Calibri"/>
                <w:b w:val="0"/>
                <w:sz w:val="14"/>
              </w:rPr>
              <w:t>PKR</w:t>
            </w:r>
          </w:p>
        </w:tc>
        <w:tc>
          <w:tcPr>
            <w:tcW w:type="dxa" w:w="2041"/>
            <w:shd w:val="clear" w:fill="F7F9FB"/>
          </w:tcPr>
          <w:p>
            <w:pPr>
              <w:spacing w:after="20" w:before="20" w:line="240" w:lineRule="auto"/>
            </w:pPr>
            <w:r/>
            <w:r>
              <w:rPr>
                <w:rFonts w:ascii="Calibri" w:hAnsi="Calibri"/>
                <w:b w:val="0"/>
                <w:sz w:val="14"/>
              </w:rPr>
              <w:t>Value of goods actually received, used to compare with investment committed.</w:t>
            </w:r>
          </w:p>
        </w:tc>
        <w:tc>
          <w:tcPr>
            <w:tcW w:type="dxa" w:w="2494"/>
            <w:shd w:val="clear" w:fill="F7F9FB"/>
          </w:tcPr>
          <w:p>
            <w:pPr>
              <w:spacing w:after="20" w:before="20" w:line="240" w:lineRule="auto"/>
            </w:pPr>
            <w:r/>
            <w:r>
              <w:rPr>
                <w:rFonts w:ascii="Calibri" w:hAnsi="Calibri"/>
                <w:b w:val="0"/>
                <w:sz w:val="14"/>
              </w:rPr>
              <w:t>Σ (quantity received × unit cost at receipt).</w:t>
            </w:r>
          </w:p>
        </w:tc>
        <w:tc>
          <w:tcPr>
            <w:tcW w:type="dxa" w:w="794"/>
            <w:shd w:val="clear" w:fill="F7F9FB"/>
          </w:tcPr>
          <w:p>
            <w:pPr>
              <w:spacing w:after="20" w:before="20" w:line="240" w:lineRule="auto"/>
              <w:jc w:val="center"/>
            </w:pPr>
            <w:r/>
            <w:r>
              <w:rPr>
                <w:rFonts w:ascii="Calibri" w:hAnsi="Calibri"/>
                <w:b w:val="0"/>
                <w:sz w:val="14"/>
              </w:rPr>
              <w:t>GRN line</w:t>
            </w:r>
          </w:p>
        </w:tc>
        <w:tc>
          <w:tcPr>
            <w:tcW w:type="dxa" w:w="907"/>
            <w:shd w:val="clear" w:fill="F7F9FB"/>
          </w:tcPr>
          <w:p>
            <w:pPr>
              <w:spacing w:after="20" w:before="20" w:line="240" w:lineRule="auto"/>
            </w:pPr>
            <w:r/>
            <w:r>
              <w:rPr>
                <w:rFonts w:ascii="Calibri" w:hAnsi="Calibri"/>
                <w:b w:val="0"/>
                <w:sz w:val="14"/>
              </w:rPr>
              <w:t>Project / item / month</w:t>
            </w:r>
          </w:p>
        </w:tc>
        <w:tc>
          <w:tcPr>
            <w:tcW w:type="dxa" w:w="964"/>
            <w:shd w:val="clear" w:fill="F7F9FB"/>
          </w:tcPr>
          <w:p>
            <w:pPr>
              <w:spacing w:after="20" w:before="20" w:line="240" w:lineRule="auto"/>
              <w:jc w:val="center"/>
            </w:pPr>
            <w:r/>
            <w:r>
              <w:rPr>
                <w:rFonts w:ascii="Calibri" w:hAnsi="Calibri"/>
                <w:b w:val="0"/>
                <w:sz w:val="14"/>
              </w:rPr>
              <w:t>Monitor</w:t>
            </w:r>
          </w:p>
        </w:tc>
        <w:tc>
          <w:tcPr>
            <w:tcW w:type="dxa" w:w="680"/>
            <w:shd w:val="clear" w:fill="F7F9FB"/>
          </w:tcPr>
          <w:p>
            <w:pPr>
              <w:spacing w:after="20" w:before="20" w:line="240" w:lineRule="auto"/>
              <w:jc w:val="center"/>
            </w:pPr>
            <w:r/>
            <w:r>
              <w:rPr>
                <w:rFonts w:ascii="Calibri" w:hAnsi="Calibri"/>
                <w:b w:val="0"/>
                <w:sz w:val="14"/>
              </w:rPr>
              <w:t>2, 3</w:t>
            </w:r>
          </w:p>
        </w:tc>
      </w:tr>
      <w:tr>
        <w:tc>
          <w:tcPr>
            <w:tcW w:type="dxa" w:w="737"/>
          </w:tcPr>
          <w:p>
            <w:pPr>
              <w:spacing w:after="20" w:before="20" w:line="240" w:lineRule="auto"/>
              <w:jc w:val="center"/>
            </w:pPr>
            <w:r/>
            <w:r>
              <w:rPr>
                <w:rFonts w:ascii="Calibri" w:hAnsi="Calibri"/>
                <w:b w:val="0"/>
                <w:sz w:val="14"/>
              </w:rPr>
              <w:t>KPI-05</w:t>
            </w:r>
          </w:p>
        </w:tc>
        <w:tc>
          <w:tcPr>
            <w:tcW w:type="dxa" w:w="1757"/>
          </w:tcPr>
          <w:p>
            <w:pPr>
              <w:spacing w:after="20" w:before="20" w:line="240" w:lineRule="auto"/>
            </w:pPr>
            <w:r/>
            <w:r>
              <w:rPr>
                <w:rFonts w:ascii="Calibri" w:hAnsi="Calibri"/>
                <w:b w:val="0"/>
                <w:sz w:val="14"/>
              </w:rPr>
              <w:t>Consumption-to-investment ratio</w:t>
            </w:r>
          </w:p>
        </w:tc>
        <w:tc>
          <w:tcPr>
            <w:tcW w:type="dxa" w:w="794"/>
          </w:tcPr>
          <w:p>
            <w:pPr>
              <w:spacing w:after="20" w:before="20" w:line="240" w:lineRule="auto"/>
              <w:jc w:val="center"/>
            </w:pPr>
            <w:r/>
            <w:r>
              <w:rPr>
                <w:rFonts w:ascii="Calibri" w:hAnsi="Calibri"/>
                <w:b w:val="0"/>
                <w:sz w:val="14"/>
              </w:rPr>
              <w:t>Ratio</w:t>
            </w:r>
          </w:p>
        </w:tc>
        <w:tc>
          <w:tcPr>
            <w:tcW w:type="dxa" w:w="2041"/>
          </w:tcPr>
          <w:p>
            <w:pPr>
              <w:spacing w:after="20" w:before="20" w:line="240" w:lineRule="auto"/>
            </w:pPr>
            <w:r/>
            <w:r>
              <w:rPr>
                <w:rFonts w:ascii="Calibri" w:hAnsi="Calibri"/>
                <w:b w:val="0"/>
                <w:sz w:val="14"/>
              </w:rPr>
              <w:t>Extent to which purchased value has been consumed.</w:t>
            </w:r>
          </w:p>
        </w:tc>
        <w:tc>
          <w:tcPr>
            <w:tcW w:type="dxa" w:w="2494"/>
          </w:tcPr>
          <w:p>
            <w:pPr>
              <w:spacing w:after="20" w:before="20" w:line="240" w:lineRule="auto"/>
            </w:pPr>
            <w:r/>
            <w:r>
              <w:rPr>
                <w:rFonts w:ascii="Calibri" w:hAnsi="Calibri"/>
                <w:b w:val="0"/>
                <w:sz w:val="14"/>
              </w:rPr>
              <w:t>Consumption value ÷ Procurement investment for the same scope and period.</w:t>
            </w:r>
          </w:p>
        </w:tc>
        <w:tc>
          <w:tcPr>
            <w:tcW w:type="dxa" w:w="794"/>
          </w:tcPr>
          <w:p>
            <w:pPr>
              <w:spacing w:after="20" w:before="20" w:line="240" w:lineRule="auto"/>
              <w:jc w:val="center"/>
            </w:pPr>
            <w:r/>
            <w:r>
              <w:rPr>
                <w:rFonts w:ascii="Calibri" w:hAnsi="Calibri"/>
                <w:b w:val="0"/>
                <w:sz w:val="14"/>
              </w:rPr>
              <w:t>Project / item</w:t>
            </w:r>
          </w:p>
        </w:tc>
        <w:tc>
          <w:tcPr>
            <w:tcW w:type="dxa" w:w="907"/>
          </w:tcPr>
          <w:p>
            <w:pPr>
              <w:spacing w:after="20" w:before="20" w:line="240" w:lineRule="auto"/>
            </w:pPr>
            <w:r/>
            <w:r>
              <w:rPr>
                <w:rFonts w:ascii="Calibri" w:hAnsi="Calibri"/>
                <w:b w:val="0"/>
                <w:sz w:val="14"/>
              </w:rPr>
              <w:t>Project / item / period</w:t>
            </w:r>
          </w:p>
        </w:tc>
        <w:tc>
          <w:tcPr>
            <w:tcW w:type="dxa" w:w="964"/>
          </w:tcPr>
          <w:p>
            <w:pPr>
              <w:spacing w:after="20" w:before="20" w:line="240" w:lineRule="auto"/>
              <w:jc w:val="center"/>
            </w:pPr>
            <w:r/>
            <w:r>
              <w:rPr>
                <w:rFonts w:ascii="Calibri" w:hAnsi="Calibri"/>
                <w:b w:val="0"/>
                <w:sz w:val="14"/>
              </w:rPr>
              <w:t>0.80 – 1.05</w:t>
            </w:r>
          </w:p>
        </w:tc>
        <w:tc>
          <w:tcPr>
            <w:tcW w:type="dxa" w:w="680"/>
          </w:tcPr>
          <w:p>
            <w:pPr>
              <w:spacing w:after="20" w:before="20" w:line="240" w:lineRule="auto"/>
              <w:jc w:val="center"/>
            </w:pPr>
            <w:r/>
            <w:r>
              <w:rPr>
                <w:rFonts w:ascii="Calibri" w:hAnsi="Calibri"/>
                <w:b w:val="0"/>
                <w:sz w:val="14"/>
              </w:rPr>
              <w:t>1–3</w:t>
            </w:r>
          </w:p>
        </w:tc>
      </w:tr>
      <w:tr>
        <w:tc>
          <w:tcPr>
            <w:tcW w:type="dxa" w:w="737"/>
            <w:shd w:val="clear" w:fill="F7F9FB"/>
          </w:tcPr>
          <w:p>
            <w:pPr>
              <w:spacing w:after="20" w:before="20" w:line="240" w:lineRule="auto"/>
              <w:jc w:val="center"/>
            </w:pPr>
            <w:r/>
            <w:r>
              <w:rPr>
                <w:rFonts w:ascii="Calibri" w:hAnsi="Calibri"/>
                <w:b w:val="0"/>
                <w:sz w:val="14"/>
              </w:rPr>
              <w:t>KPI-06</w:t>
            </w:r>
          </w:p>
        </w:tc>
        <w:tc>
          <w:tcPr>
            <w:tcW w:type="dxa" w:w="1757"/>
            <w:shd w:val="clear" w:fill="F7F9FB"/>
          </w:tcPr>
          <w:p>
            <w:pPr>
              <w:spacing w:after="20" w:before="20" w:line="240" w:lineRule="auto"/>
            </w:pPr>
            <w:r/>
            <w:r>
              <w:rPr>
                <w:rFonts w:ascii="Calibri" w:hAnsi="Calibri"/>
                <w:b w:val="0"/>
                <w:sz w:val="14"/>
              </w:rPr>
              <w:t>Investment variance</w:t>
            </w:r>
          </w:p>
        </w:tc>
        <w:tc>
          <w:tcPr>
            <w:tcW w:type="dxa" w:w="794"/>
            <w:shd w:val="clear" w:fill="F7F9FB"/>
          </w:tcPr>
          <w:p>
            <w:pPr>
              <w:spacing w:after="20" w:before="20" w:line="240" w:lineRule="auto"/>
              <w:jc w:val="center"/>
            </w:pPr>
            <w:r/>
            <w:r>
              <w:rPr>
                <w:rFonts w:ascii="Calibri" w:hAnsi="Calibri"/>
                <w:b w:val="0"/>
                <w:sz w:val="14"/>
              </w:rPr>
              <w:t>PKR</w:t>
            </w:r>
          </w:p>
        </w:tc>
        <w:tc>
          <w:tcPr>
            <w:tcW w:type="dxa" w:w="2041"/>
            <w:shd w:val="clear" w:fill="F7F9FB"/>
          </w:tcPr>
          <w:p>
            <w:pPr>
              <w:spacing w:after="20" w:before="20" w:line="240" w:lineRule="auto"/>
            </w:pPr>
            <w:r/>
            <w:r>
              <w:rPr>
                <w:rFonts w:ascii="Calibri" w:hAnsi="Calibri"/>
                <w:b w:val="0"/>
                <w:sz w:val="14"/>
              </w:rPr>
              <w:t>Absolute difference between purchased and consumed value.</w:t>
            </w:r>
          </w:p>
        </w:tc>
        <w:tc>
          <w:tcPr>
            <w:tcW w:type="dxa" w:w="2494"/>
            <w:shd w:val="clear" w:fill="F7F9FB"/>
          </w:tcPr>
          <w:p>
            <w:pPr>
              <w:spacing w:after="20" w:before="20" w:line="240" w:lineRule="auto"/>
            </w:pPr>
            <w:r/>
            <w:r>
              <w:rPr>
                <w:rFonts w:ascii="Calibri" w:hAnsi="Calibri"/>
                <w:b w:val="0"/>
                <w:sz w:val="14"/>
              </w:rPr>
              <w:t>Procurement investment − consumption value.</w:t>
            </w:r>
          </w:p>
        </w:tc>
        <w:tc>
          <w:tcPr>
            <w:tcW w:type="dxa" w:w="794"/>
            <w:shd w:val="clear" w:fill="F7F9FB"/>
          </w:tcPr>
          <w:p>
            <w:pPr>
              <w:spacing w:after="20" w:before="20" w:line="240" w:lineRule="auto"/>
              <w:jc w:val="center"/>
            </w:pPr>
            <w:r/>
            <w:r>
              <w:rPr>
                <w:rFonts w:ascii="Calibri" w:hAnsi="Calibri"/>
                <w:b w:val="0"/>
                <w:sz w:val="14"/>
              </w:rPr>
              <w:t>Project / item</w:t>
            </w:r>
          </w:p>
        </w:tc>
        <w:tc>
          <w:tcPr>
            <w:tcW w:type="dxa" w:w="907"/>
            <w:shd w:val="clear" w:fill="F7F9FB"/>
          </w:tcPr>
          <w:p>
            <w:pPr>
              <w:spacing w:after="20" w:before="20" w:line="240" w:lineRule="auto"/>
            </w:pPr>
            <w:r/>
            <w:r>
              <w:rPr>
                <w:rFonts w:ascii="Calibri" w:hAnsi="Calibri"/>
                <w:b w:val="0"/>
                <w:sz w:val="14"/>
              </w:rPr>
              <w:t>Project / item / period</w:t>
            </w:r>
          </w:p>
        </w:tc>
        <w:tc>
          <w:tcPr>
            <w:tcW w:type="dxa" w:w="964"/>
            <w:shd w:val="clear" w:fill="F7F9FB"/>
          </w:tcPr>
          <w:p>
            <w:pPr>
              <w:spacing w:after="20" w:before="20" w:line="240" w:lineRule="auto"/>
              <w:jc w:val="center"/>
            </w:pPr>
            <w:r/>
            <w:r>
              <w:rPr>
                <w:rFonts w:ascii="Calibri" w:hAnsi="Calibri"/>
                <w:b w:val="0"/>
                <w:sz w:val="14"/>
              </w:rPr>
              <w:t>Investigate &gt; ±15%</w:t>
            </w:r>
          </w:p>
        </w:tc>
        <w:tc>
          <w:tcPr>
            <w:tcW w:type="dxa" w:w="680"/>
            <w:shd w:val="clear" w:fill="F7F9FB"/>
          </w:tcPr>
          <w:p>
            <w:pPr>
              <w:spacing w:after="20" w:before="20" w:line="240" w:lineRule="auto"/>
              <w:jc w:val="center"/>
            </w:pPr>
            <w:r/>
            <w:r>
              <w:rPr>
                <w:rFonts w:ascii="Calibri" w:hAnsi="Calibri"/>
                <w:b w:val="0"/>
                <w:sz w:val="14"/>
              </w:rPr>
              <w:t>2, 3</w:t>
            </w:r>
          </w:p>
        </w:tc>
      </w:tr>
      <w:tr>
        <w:tc>
          <w:tcPr>
            <w:tcW w:type="dxa" w:w="737"/>
          </w:tcPr>
          <w:p>
            <w:pPr>
              <w:spacing w:after="20" w:before="20" w:line="240" w:lineRule="auto"/>
              <w:jc w:val="center"/>
            </w:pPr>
            <w:r/>
            <w:r>
              <w:rPr>
                <w:rFonts w:ascii="Calibri" w:hAnsi="Calibri"/>
                <w:b w:val="0"/>
                <w:sz w:val="14"/>
              </w:rPr>
              <w:t>KPI-07</w:t>
            </w:r>
          </w:p>
        </w:tc>
        <w:tc>
          <w:tcPr>
            <w:tcW w:type="dxa" w:w="1757"/>
          </w:tcPr>
          <w:p>
            <w:pPr>
              <w:spacing w:after="20" w:before="20" w:line="240" w:lineRule="auto"/>
            </w:pPr>
            <w:r/>
            <w:r>
              <w:rPr>
                <w:rFonts w:ascii="Calibri" w:hAnsi="Calibri"/>
                <w:b w:val="0"/>
                <w:sz w:val="14"/>
              </w:rPr>
              <w:t>Open commitment</w:t>
            </w:r>
          </w:p>
        </w:tc>
        <w:tc>
          <w:tcPr>
            <w:tcW w:type="dxa" w:w="794"/>
          </w:tcPr>
          <w:p>
            <w:pPr>
              <w:spacing w:after="20" w:before="20" w:line="240" w:lineRule="auto"/>
              <w:jc w:val="center"/>
            </w:pPr>
            <w:r/>
            <w:r>
              <w:rPr>
                <w:rFonts w:ascii="Calibri" w:hAnsi="Calibri"/>
                <w:b w:val="0"/>
                <w:sz w:val="14"/>
              </w:rPr>
              <w:t>PKR and quantity</w:t>
            </w:r>
          </w:p>
        </w:tc>
        <w:tc>
          <w:tcPr>
            <w:tcW w:type="dxa" w:w="2041"/>
          </w:tcPr>
          <w:p>
            <w:pPr>
              <w:spacing w:after="20" w:before="20" w:line="240" w:lineRule="auto"/>
            </w:pPr>
            <w:r/>
            <w:r>
              <w:rPr>
                <w:rFonts w:ascii="Calibri" w:hAnsi="Calibri"/>
                <w:b w:val="0"/>
                <w:sz w:val="14"/>
              </w:rPr>
              <w:t>Purchase orders not yet fully received.</w:t>
            </w:r>
          </w:p>
        </w:tc>
        <w:tc>
          <w:tcPr>
            <w:tcW w:type="dxa" w:w="2494"/>
          </w:tcPr>
          <w:p>
            <w:pPr>
              <w:spacing w:after="20" w:before="20" w:line="240" w:lineRule="auto"/>
            </w:pPr>
            <w:r/>
            <w:r>
              <w:rPr>
                <w:rFonts w:ascii="Calibri" w:hAnsi="Calibri"/>
                <w:b w:val="0"/>
                <w:sz w:val="14"/>
              </w:rPr>
              <w:t>Σ ((quantity ordered − quantity received) × PO unit price), excluding cancelled orders.</w:t>
            </w:r>
          </w:p>
        </w:tc>
        <w:tc>
          <w:tcPr>
            <w:tcW w:type="dxa" w:w="794"/>
          </w:tcPr>
          <w:p>
            <w:pPr>
              <w:spacing w:after="20" w:before="20" w:line="240" w:lineRule="auto"/>
              <w:jc w:val="center"/>
            </w:pPr>
            <w:r/>
            <w:r>
              <w:rPr>
                <w:rFonts w:ascii="Calibri" w:hAnsi="Calibri"/>
                <w:b w:val="0"/>
                <w:sz w:val="14"/>
              </w:rPr>
              <w:t>PO line</w:t>
            </w:r>
          </w:p>
        </w:tc>
        <w:tc>
          <w:tcPr>
            <w:tcW w:type="dxa" w:w="907"/>
          </w:tcPr>
          <w:p>
            <w:pPr>
              <w:spacing w:after="20" w:before="20" w:line="240" w:lineRule="auto"/>
            </w:pPr>
            <w:r/>
            <w:r>
              <w:rPr>
                <w:rFonts w:ascii="Calibri" w:hAnsi="Calibri"/>
                <w:b w:val="0"/>
                <w:sz w:val="14"/>
              </w:rPr>
              <w:t>Project / item</w:t>
            </w:r>
          </w:p>
        </w:tc>
        <w:tc>
          <w:tcPr>
            <w:tcW w:type="dxa" w:w="964"/>
          </w:tcPr>
          <w:p>
            <w:pPr>
              <w:spacing w:after="20" w:before="20" w:line="240" w:lineRule="auto"/>
              <w:jc w:val="center"/>
            </w:pPr>
            <w:r/>
            <w:r>
              <w:rPr>
                <w:rFonts w:ascii="Calibri" w:hAnsi="Calibri"/>
                <w:b w:val="0"/>
                <w:sz w:val="14"/>
              </w:rPr>
              <w:t>Report</w:t>
            </w:r>
          </w:p>
        </w:tc>
        <w:tc>
          <w:tcPr>
            <w:tcW w:type="dxa" w:w="680"/>
          </w:tcPr>
          <w:p>
            <w:pPr>
              <w:spacing w:after="20" w:before="20" w:line="240" w:lineRule="auto"/>
              <w:jc w:val="center"/>
            </w:pPr>
            <w:r/>
            <w:r>
              <w:rPr>
                <w:rFonts w:ascii="Calibri" w:hAnsi="Calibri"/>
                <w:b w:val="0"/>
                <w:sz w:val="14"/>
              </w:rPr>
              <w:t>1, 2</w:t>
            </w:r>
          </w:p>
        </w:tc>
      </w:tr>
      <w:tr>
        <w:tc>
          <w:tcPr>
            <w:tcW w:type="dxa" w:w="737"/>
            <w:shd w:val="clear" w:fill="F7F9FB"/>
          </w:tcPr>
          <w:p>
            <w:pPr>
              <w:spacing w:after="20" w:before="20" w:line="240" w:lineRule="auto"/>
              <w:jc w:val="center"/>
            </w:pPr>
            <w:r/>
            <w:r>
              <w:rPr>
                <w:rFonts w:ascii="Calibri" w:hAnsi="Calibri"/>
                <w:b w:val="0"/>
                <w:sz w:val="14"/>
              </w:rPr>
              <w:t>KPI-08</w:t>
            </w:r>
          </w:p>
        </w:tc>
        <w:tc>
          <w:tcPr>
            <w:tcW w:type="dxa" w:w="1757"/>
            <w:shd w:val="clear" w:fill="F7F9FB"/>
          </w:tcPr>
          <w:p>
            <w:pPr>
              <w:spacing w:after="20" w:before="20" w:line="240" w:lineRule="auto"/>
            </w:pPr>
            <w:r/>
            <w:r>
              <w:rPr>
                <w:rFonts w:ascii="Calibri" w:hAnsi="Calibri"/>
                <w:b w:val="0"/>
                <w:sz w:val="14"/>
              </w:rPr>
              <w:t>Month-on-month growth</w:t>
            </w:r>
          </w:p>
        </w:tc>
        <w:tc>
          <w:tcPr>
            <w:tcW w:type="dxa" w:w="794"/>
            <w:shd w:val="clear" w:fill="F7F9FB"/>
          </w:tcPr>
          <w:p>
            <w:pPr>
              <w:spacing w:after="20" w:before="20" w:line="240" w:lineRule="auto"/>
              <w:jc w:val="center"/>
            </w:pPr>
            <w:r/>
            <w:r>
              <w:rPr>
                <w:rFonts w:ascii="Calibri" w:hAnsi="Calibri"/>
                <w:b w:val="0"/>
                <w:sz w:val="14"/>
              </w:rPr>
              <w:t>%</w:t>
            </w:r>
          </w:p>
        </w:tc>
        <w:tc>
          <w:tcPr>
            <w:tcW w:type="dxa" w:w="2041"/>
            <w:shd w:val="clear" w:fill="F7F9FB"/>
          </w:tcPr>
          <w:p>
            <w:pPr>
              <w:spacing w:after="20" w:before="20" w:line="240" w:lineRule="auto"/>
            </w:pPr>
            <w:r/>
            <w:r>
              <w:rPr>
                <w:rFonts w:ascii="Calibri" w:hAnsi="Calibri"/>
                <w:b w:val="0"/>
                <w:sz w:val="14"/>
              </w:rPr>
              <w:t>Rate of change in consumption value against the prior month.</w:t>
            </w:r>
          </w:p>
        </w:tc>
        <w:tc>
          <w:tcPr>
            <w:tcW w:type="dxa" w:w="2494"/>
            <w:shd w:val="clear" w:fill="F7F9FB"/>
          </w:tcPr>
          <w:p>
            <w:pPr>
              <w:spacing w:after="20" w:before="20" w:line="240" w:lineRule="auto"/>
            </w:pPr>
            <w:r/>
            <w:r>
              <w:rPr>
                <w:rFonts w:ascii="Calibri" w:hAnsi="Calibri"/>
                <w:b w:val="0"/>
                <w:sz w:val="14"/>
              </w:rPr>
              <w:t>(Current month − prior month) ÷ prior month × 100; blank if prior month is zero.</w:t>
            </w:r>
          </w:p>
        </w:tc>
        <w:tc>
          <w:tcPr>
            <w:tcW w:type="dxa" w:w="794"/>
            <w:shd w:val="clear" w:fill="F7F9FB"/>
          </w:tcPr>
          <w:p>
            <w:pPr>
              <w:spacing w:after="20" w:before="20" w:line="240" w:lineRule="auto"/>
              <w:jc w:val="center"/>
            </w:pPr>
            <w:r/>
            <w:r>
              <w:rPr>
                <w:rFonts w:ascii="Calibri" w:hAnsi="Calibri"/>
                <w:b w:val="0"/>
                <w:sz w:val="14"/>
              </w:rPr>
              <w:t>Project / item</w:t>
            </w:r>
          </w:p>
        </w:tc>
        <w:tc>
          <w:tcPr>
            <w:tcW w:type="dxa" w:w="907"/>
            <w:shd w:val="clear" w:fill="F7F9FB"/>
          </w:tcPr>
          <w:p>
            <w:pPr>
              <w:spacing w:after="20" w:before="20" w:line="240" w:lineRule="auto"/>
            </w:pPr>
            <w:r/>
            <w:r>
              <w:rPr>
                <w:rFonts w:ascii="Calibri" w:hAnsi="Calibri"/>
                <w:b w:val="0"/>
                <w:sz w:val="14"/>
              </w:rPr>
              <w:t>Month</w:t>
            </w:r>
          </w:p>
        </w:tc>
        <w:tc>
          <w:tcPr>
            <w:tcW w:type="dxa" w:w="964"/>
            <w:shd w:val="clear" w:fill="F7F9FB"/>
          </w:tcPr>
          <w:p>
            <w:pPr>
              <w:spacing w:after="20" w:before="20" w:line="240" w:lineRule="auto"/>
              <w:jc w:val="center"/>
            </w:pPr>
            <w:r/>
            <w:r>
              <w:rPr>
                <w:rFonts w:ascii="Calibri" w:hAnsi="Calibri"/>
                <w:b w:val="0"/>
                <w:sz w:val="14"/>
              </w:rPr>
              <w:t>Investigate &gt; ±20%</w:t>
            </w:r>
          </w:p>
        </w:tc>
        <w:tc>
          <w:tcPr>
            <w:tcW w:type="dxa" w:w="680"/>
            <w:shd w:val="clear" w:fill="F7F9FB"/>
          </w:tcPr>
          <w:p>
            <w:pPr>
              <w:spacing w:after="20" w:before="20" w:line="240" w:lineRule="auto"/>
              <w:jc w:val="center"/>
            </w:pPr>
            <w:r/>
            <w:r>
              <w:rPr>
                <w:rFonts w:ascii="Calibri" w:hAnsi="Calibri"/>
                <w:b w:val="0"/>
                <w:sz w:val="14"/>
              </w:rPr>
              <w:t>1–3</w:t>
            </w:r>
          </w:p>
        </w:tc>
      </w:tr>
      <w:tr>
        <w:tc>
          <w:tcPr>
            <w:tcW w:type="dxa" w:w="737"/>
          </w:tcPr>
          <w:p>
            <w:pPr>
              <w:spacing w:after="20" w:before="20" w:line="240" w:lineRule="auto"/>
              <w:jc w:val="center"/>
            </w:pPr>
            <w:r/>
            <w:r>
              <w:rPr>
                <w:rFonts w:ascii="Calibri" w:hAnsi="Calibri"/>
                <w:b w:val="0"/>
                <w:sz w:val="14"/>
              </w:rPr>
              <w:t>KPI-09</w:t>
            </w:r>
          </w:p>
        </w:tc>
        <w:tc>
          <w:tcPr>
            <w:tcW w:type="dxa" w:w="1757"/>
          </w:tcPr>
          <w:p>
            <w:pPr>
              <w:spacing w:after="20" w:before="20" w:line="240" w:lineRule="auto"/>
            </w:pPr>
            <w:r/>
            <w:r>
              <w:rPr>
                <w:rFonts w:ascii="Calibri" w:hAnsi="Calibri"/>
                <w:b w:val="0"/>
                <w:sz w:val="14"/>
              </w:rPr>
              <w:t>Three-month moving average</w:t>
            </w:r>
          </w:p>
        </w:tc>
        <w:tc>
          <w:tcPr>
            <w:tcW w:type="dxa" w:w="794"/>
          </w:tcPr>
          <w:p>
            <w:pPr>
              <w:spacing w:after="20" w:before="20" w:line="240" w:lineRule="auto"/>
              <w:jc w:val="center"/>
            </w:pPr>
            <w:r/>
            <w:r>
              <w:rPr>
                <w:rFonts w:ascii="Calibri" w:hAnsi="Calibri"/>
                <w:b w:val="0"/>
                <w:sz w:val="14"/>
              </w:rPr>
              <w:t>PKR</w:t>
            </w:r>
          </w:p>
        </w:tc>
        <w:tc>
          <w:tcPr>
            <w:tcW w:type="dxa" w:w="2041"/>
          </w:tcPr>
          <w:p>
            <w:pPr>
              <w:spacing w:after="20" w:before="20" w:line="240" w:lineRule="auto"/>
            </w:pPr>
            <w:r/>
            <w:r>
              <w:rPr>
                <w:rFonts w:ascii="Calibri" w:hAnsi="Calibri"/>
                <w:b w:val="0"/>
                <w:sz w:val="14"/>
              </w:rPr>
              <w:t>Smoothed consumption value to reveal underlying trend.</w:t>
            </w:r>
          </w:p>
        </w:tc>
        <w:tc>
          <w:tcPr>
            <w:tcW w:type="dxa" w:w="2494"/>
          </w:tcPr>
          <w:p>
            <w:pPr>
              <w:spacing w:after="20" w:before="20" w:line="240" w:lineRule="auto"/>
            </w:pPr>
            <w:r/>
            <w:r>
              <w:rPr>
                <w:rFonts w:ascii="Calibri" w:hAnsi="Calibri"/>
                <w:b w:val="0"/>
                <w:sz w:val="14"/>
              </w:rPr>
              <w:t>Average of consumption value for the current and two preceding months where the scope was active.</w:t>
            </w:r>
          </w:p>
        </w:tc>
        <w:tc>
          <w:tcPr>
            <w:tcW w:type="dxa" w:w="794"/>
          </w:tcPr>
          <w:p>
            <w:pPr>
              <w:spacing w:after="20" w:before="20" w:line="240" w:lineRule="auto"/>
              <w:jc w:val="center"/>
            </w:pPr>
            <w:r/>
            <w:r>
              <w:rPr>
                <w:rFonts w:ascii="Calibri" w:hAnsi="Calibri"/>
                <w:b w:val="0"/>
                <w:sz w:val="14"/>
              </w:rPr>
              <w:t>Project / item</w:t>
            </w:r>
          </w:p>
        </w:tc>
        <w:tc>
          <w:tcPr>
            <w:tcW w:type="dxa" w:w="907"/>
          </w:tcPr>
          <w:p>
            <w:pPr>
              <w:spacing w:after="20" w:before="20" w:line="240" w:lineRule="auto"/>
            </w:pPr>
            <w:r/>
            <w:r>
              <w:rPr>
                <w:rFonts w:ascii="Calibri" w:hAnsi="Calibri"/>
                <w:b w:val="0"/>
                <w:sz w:val="14"/>
              </w:rPr>
              <w:t>Month</w:t>
            </w:r>
          </w:p>
        </w:tc>
        <w:tc>
          <w:tcPr>
            <w:tcW w:type="dxa" w:w="964"/>
          </w:tcPr>
          <w:p>
            <w:pPr>
              <w:spacing w:after="20" w:before="20" w:line="240" w:lineRule="auto"/>
              <w:jc w:val="center"/>
            </w:pPr>
            <w:r/>
            <w:r>
              <w:rPr>
                <w:rFonts w:ascii="Calibri" w:hAnsi="Calibri"/>
                <w:b w:val="0"/>
                <w:sz w:val="14"/>
              </w:rPr>
              <w:t>Monitor</w:t>
            </w:r>
          </w:p>
        </w:tc>
        <w:tc>
          <w:tcPr>
            <w:tcW w:type="dxa" w:w="680"/>
          </w:tcPr>
          <w:p>
            <w:pPr>
              <w:spacing w:after="20" w:before="20" w:line="240" w:lineRule="auto"/>
              <w:jc w:val="center"/>
            </w:pPr>
            <w:r/>
            <w:r>
              <w:rPr>
                <w:rFonts w:ascii="Calibri" w:hAnsi="Calibri"/>
                <w:b w:val="0"/>
                <w:sz w:val="14"/>
              </w:rPr>
              <w:t>1–3</w:t>
            </w:r>
          </w:p>
        </w:tc>
      </w:tr>
      <w:tr>
        <w:tc>
          <w:tcPr>
            <w:tcW w:type="dxa" w:w="737"/>
            <w:shd w:val="clear" w:fill="F7F9FB"/>
          </w:tcPr>
          <w:p>
            <w:pPr>
              <w:spacing w:after="20" w:before="20" w:line="240" w:lineRule="auto"/>
              <w:jc w:val="center"/>
            </w:pPr>
            <w:r/>
            <w:r>
              <w:rPr>
                <w:rFonts w:ascii="Calibri" w:hAnsi="Calibri"/>
                <w:b w:val="0"/>
                <w:sz w:val="14"/>
              </w:rPr>
              <w:t>KPI-10</w:t>
            </w:r>
          </w:p>
        </w:tc>
        <w:tc>
          <w:tcPr>
            <w:tcW w:type="dxa" w:w="1757"/>
            <w:shd w:val="clear" w:fill="F7F9FB"/>
          </w:tcPr>
          <w:p>
            <w:pPr>
              <w:spacing w:after="20" w:before="20" w:line="240" w:lineRule="auto"/>
            </w:pPr>
            <w:r/>
            <w:r>
              <w:rPr>
                <w:rFonts w:ascii="Calibri" w:hAnsi="Calibri"/>
                <w:b w:val="0"/>
                <w:sz w:val="14"/>
              </w:rPr>
              <w:t>Cumulative consumption</w:t>
            </w:r>
          </w:p>
        </w:tc>
        <w:tc>
          <w:tcPr>
            <w:tcW w:type="dxa" w:w="794"/>
            <w:shd w:val="clear" w:fill="F7F9FB"/>
          </w:tcPr>
          <w:p>
            <w:pPr>
              <w:spacing w:after="20" w:before="20" w:line="240" w:lineRule="auto"/>
              <w:jc w:val="center"/>
            </w:pPr>
            <w:r/>
            <w:r>
              <w:rPr>
                <w:rFonts w:ascii="Calibri" w:hAnsi="Calibri"/>
                <w:b w:val="0"/>
                <w:sz w:val="14"/>
              </w:rPr>
              <w:t>PKR</w:t>
            </w:r>
          </w:p>
        </w:tc>
        <w:tc>
          <w:tcPr>
            <w:tcW w:type="dxa" w:w="2041"/>
            <w:shd w:val="clear" w:fill="F7F9FB"/>
          </w:tcPr>
          <w:p>
            <w:pPr>
              <w:spacing w:after="20" w:before="20" w:line="240" w:lineRule="auto"/>
            </w:pPr>
            <w:r/>
            <w:r>
              <w:rPr>
                <w:rFonts w:ascii="Calibri" w:hAnsi="Calibri"/>
                <w:b w:val="0"/>
                <w:sz w:val="14"/>
              </w:rPr>
              <w:t>Consumption from project start to the selected period end.</w:t>
            </w:r>
          </w:p>
        </w:tc>
        <w:tc>
          <w:tcPr>
            <w:tcW w:type="dxa" w:w="2494"/>
            <w:shd w:val="clear" w:fill="F7F9FB"/>
          </w:tcPr>
          <w:p>
            <w:pPr>
              <w:spacing w:after="20" w:before="20" w:line="240" w:lineRule="auto"/>
            </w:pPr>
            <w:r/>
            <w:r>
              <w:rPr>
                <w:rFonts w:ascii="Calibri" w:hAnsi="Calibri"/>
                <w:b w:val="0"/>
                <w:sz w:val="14"/>
              </w:rPr>
              <w:t>Σ consumption value from project start through the selected month.</w:t>
            </w:r>
          </w:p>
        </w:tc>
        <w:tc>
          <w:tcPr>
            <w:tcW w:type="dxa" w:w="794"/>
            <w:shd w:val="clear" w:fill="F7F9FB"/>
          </w:tcPr>
          <w:p>
            <w:pPr>
              <w:spacing w:after="20" w:before="20" w:line="240" w:lineRule="auto"/>
              <w:jc w:val="center"/>
            </w:pPr>
            <w:r/>
            <w:r>
              <w:rPr>
                <w:rFonts w:ascii="Calibri" w:hAnsi="Calibri"/>
                <w:b w:val="0"/>
                <w:sz w:val="14"/>
              </w:rPr>
              <w:t>Project</w:t>
            </w:r>
          </w:p>
        </w:tc>
        <w:tc>
          <w:tcPr>
            <w:tcW w:type="dxa" w:w="907"/>
            <w:shd w:val="clear" w:fill="F7F9FB"/>
          </w:tcPr>
          <w:p>
            <w:pPr>
              <w:spacing w:after="20" w:before="20" w:line="240" w:lineRule="auto"/>
            </w:pPr>
            <w:r/>
            <w:r>
              <w:rPr>
                <w:rFonts w:ascii="Calibri" w:hAnsi="Calibri"/>
                <w:b w:val="0"/>
                <w:sz w:val="14"/>
              </w:rPr>
              <w:t>Project</w:t>
            </w:r>
          </w:p>
        </w:tc>
        <w:tc>
          <w:tcPr>
            <w:tcW w:type="dxa" w:w="964"/>
            <w:shd w:val="clear" w:fill="F7F9FB"/>
          </w:tcPr>
          <w:p>
            <w:pPr>
              <w:spacing w:after="20" w:before="20" w:line="240" w:lineRule="auto"/>
              <w:jc w:val="center"/>
            </w:pPr>
            <w:r/>
            <w:r>
              <w:rPr>
                <w:rFonts w:ascii="Calibri" w:hAnsi="Calibri"/>
                <w:b w:val="0"/>
                <w:sz w:val="14"/>
              </w:rPr>
              <w:t>Monitor</w:t>
            </w:r>
          </w:p>
        </w:tc>
        <w:tc>
          <w:tcPr>
            <w:tcW w:type="dxa" w:w="680"/>
            <w:shd w:val="clear" w:fill="F7F9FB"/>
          </w:tcPr>
          <w:p>
            <w:pPr>
              <w:spacing w:after="20" w:before="20" w:line="240" w:lineRule="auto"/>
              <w:jc w:val="center"/>
            </w:pPr>
            <w:r/>
            <w:r>
              <w:rPr>
                <w:rFonts w:ascii="Calibri" w:hAnsi="Calibri"/>
                <w:b w:val="0"/>
                <w:sz w:val="14"/>
              </w:rPr>
              <w:t>2</w:t>
            </w:r>
          </w:p>
        </w:tc>
      </w:tr>
      <w:tr>
        <w:tc>
          <w:tcPr>
            <w:tcW w:type="dxa" w:w="737"/>
          </w:tcPr>
          <w:p>
            <w:pPr>
              <w:spacing w:after="20" w:before="20" w:line="240" w:lineRule="auto"/>
              <w:jc w:val="center"/>
            </w:pPr>
            <w:r/>
            <w:r>
              <w:rPr>
                <w:rFonts w:ascii="Calibri" w:hAnsi="Calibri"/>
                <w:b w:val="0"/>
                <w:sz w:val="14"/>
              </w:rPr>
              <w:t>KPI-11</w:t>
            </w:r>
          </w:p>
        </w:tc>
        <w:tc>
          <w:tcPr>
            <w:tcW w:type="dxa" w:w="1757"/>
          </w:tcPr>
          <w:p>
            <w:pPr>
              <w:spacing w:after="20" w:before="20" w:line="240" w:lineRule="auto"/>
            </w:pPr>
            <w:r/>
            <w:r>
              <w:rPr>
                <w:rFonts w:ascii="Calibri" w:hAnsi="Calibri"/>
                <w:b w:val="0"/>
                <w:sz w:val="14"/>
              </w:rPr>
              <w:t>Budget utilisation</w:t>
            </w:r>
          </w:p>
        </w:tc>
        <w:tc>
          <w:tcPr>
            <w:tcW w:type="dxa" w:w="794"/>
          </w:tcPr>
          <w:p>
            <w:pPr>
              <w:spacing w:after="20" w:before="20" w:line="240" w:lineRule="auto"/>
              <w:jc w:val="center"/>
            </w:pPr>
            <w:r/>
            <w:r>
              <w:rPr>
                <w:rFonts w:ascii="Calibri" w:hAnsi="Calibri"/>
                <w:b w:val="0"/>
                <w:sz w:val="14"/>
              </w:rPr>
              <w:t>%</w:t>
            </w:r>
          </w:p>
        </w:tc>
        <w:tc>
          <w:tcPr>
            <w:tcW w:type="dxa" w:w="2041"/>
          </w:tcPr>
          <w:p>
            <w:pPr>
              <w:spacing w:after="20" w:before="20" w:line="240" w:lineRule="auto"/>
            </w:pPr>
            <w:r/>
            <w:r>
              <w:rPr>
                <w:rFonts w:ascii="Calibri" w:hAnsi="Calibri"/>
                <w:b w:val="0"/>
                <w:sz w:val="14"/>
              </w:rPr>
              <w:t>Share of the budget consumed.</w:t>
            </w:r>
          </w:p>
        </w:tc>
        <w:tc>
          <w:tcPr>
            <w:tcW w:type="dxa" w:w="2494"/>
          </w:tcPr>
          <w:p>
            <w:pPr>
              <w:spacing w:after="20" w:before="20" w:line="240" w:lineRule="auto"/>
            </w:pPr>
            <w:r/>
            <w:r>
              <w:rPr>
                <w:rFonts w:ascii="Calibri" w:hAnsi="Calibri"/>
                <w:b w:val="0"/>
                <w:sz w:val="14"/>
              </w:rPr>
              <w:t>Consumption value ÷ budget for the same project, fiscal year and category × 100.</w:t>
            </w:r>
          </w:p>
        </w:tc>
        <w:tc>
          <w:tcPr>
            <w:tcW w:type="dxa" w:w="794"/>
          </w:tcPr>
          <w:p>
            <w:pPr>
              <w:spacing w:after="20" w:before="20" w:line="240" w:lineRule="auto"/>
              <w:jc w:val="center"/>
            </w:pPr>
            <w:r/>
            <w:r>
              <w:rPr>
                <w:rFonts w:ascii="Calibri" w:hAnsi="Calibri"/>
                <w:b w:val="0"/>
                <w:sz w:val="14"/>
              </w:rPr>
              <w:t>Project / category</w:t>
            </w:r>
          </w:p>
        </w:tc>
        <w:tc>
          <w:tcPr>
            <w:tcW w:type="dxa" w:w="907"/>
          </w:tcPr>
          <w:p>
            <w:pPr>
              <w:spacing w:after="20" w:before="20" w:line="240" w:lineRule="auto"/>
            </w:pPr>
            <w:r/>
            <w:r>
              <w:rPr>
                <w:rFonts w:ascii="Calibri" w:hAnsi="Calibri"/>
                <w:b w:val="0"/>
                <w:sz w:val="14"/>
              </w:rPr>
              <w:t>Project / fiscal year</w:t>
            </w:r>
          </w:p>
        </w:tc>
        <w:tc>
          <w:tcPr>
            <w:tcW w:type="dxa" w:w="964"/>
          </w:tcPr>
          <w:p>
            <w:pPr>
              <w:spacing w:after="20" w:before="20" w:line="240" w:lineRule="auto"/>
              <w:jc w:val="center"/>
            </w:pPr>
            <w:r/>
            <w:r>
              <w:rPr>
                <w:rFonts w:ascii="Calibri" w:hAnsi="Calibri"/>
                <w:b w:val="0"/>
                <w:sz w:val="14"/>
              </w:rPr>
              <w:t>60–85% in line with elapsed time</w:t>
            </w:r>
          </w:p>
        </w:tc>
        <w:tc>
          <w:tcPr>
            <w:tcW w:type="dxa" w:w="680"/>
          </w:tcPr>
          <w:p>
            <w:pPr>
              <w:spacing w:after="20" w:before="20" w:line="240" w:lineRule="auto"/>
              <w:jc w:val="center"/>
            </w:pPr>
            <w:r/>
            <w:r>
              <w:rPr>
                <w:rFonts w:ascii="Calibri" w:hAnsi="Calibri"/>
                <w:b w:val="0"/>
                <w:sz w:val="14"/>
              </w:rPr>
              <w:t>4</w:t>
            </w:r>
          </w:p>
        </w:tc>
      </w:tr>
      <w:tr>
        <w:tc>
          <w:tcPr>
            <w:tcW w:type="dxa" w:w="737"/>
            <w:shd w:val="clear" w:fill="F7F9FB"/>
          </w:tcPr>
          <w:p>
            <w:pPr>
              <w:spacing w:after="20" w:before="20" w:line="240" w:lineRule="auto"/>
              <w:jc w:val="center"/>
            </w:pPr>
            <w:r/>
            <w:r>
              <w:rPr>
                <w:rFonts w:ascii="Calibri" w:hAnsi="Calibri"/>
                <w:b w:val="0"/>
                <w:sz w:val="14"/>
              </w:rPr>
              <w:t>KPI-12</w:t>
            </w:r>
          </w:p>
        </w:tc>
        <w:tc>
          <w:tcPr>
            <w:tcW w:type="dxa" w:w="1757"/>
            <w:shd w:val="clear" w:fill="F7F9FB"/>
          </w:tcPr>
          <w:p>
            <w:pPr>
              <w:spacing w:after="20" w:before="20" w:line="240" w:lineRule="auto"/>
            </w:pPr>
            <w:r/>
            <w:r>
              <w:rPr>
                <w:rFonts w:ascii="Calibri" w:hAnsi="Calibri"/>
                <w:b w:val="0"/>
                <w:sz w:val="14"/>
              </w:rPr>
              <w:t>Burn rate</w:t>
            </w:r>
          </w:p>
        </w:tc>
        <w:tc>
          <w:tcPr>
            <w:tcW w:type="dxa" w:w="794"/>
            <w:shd w:val="clear" w:fill="F7F9FB"/>
          </w:tcPr>
          <w:p>
            <w:pPr>
              <w:spacing w:after="20" w:before="20" w:line="240" w:lineRule="auto"/>
              <w:jc w:val="center"/>
            </w:pPr>
            <w:r/>
            <w:r>
              <w:rPr>
                <w:rFonts w:ascii="Calibri" w:hAnsi="Calibri"/>
                <w:b w:val="0"/>
                <w:sz w:val="14"/>
              </w:rPr>
              <w:t>PKR per month</w:t>
            </w:r>
          </w:p>
        </w:tc>
        <w:tc>
          <w:tcPr>
            <w:tcW w:type="dxa" w:w="2041"/>
            <w:shd w:val="clear" w:fill="F7F9FB"/>
          </w:tcPr>
          <w:p>
            <w:pPr>
              <w:spacing w:after="20" w:before="20" w:line="240" w:lineRule="auto"/>
            </w:pPr>
            <w:r/>
            <w:r>
              <w:rPr>
                <w:rFonts w:ascii="Calibri" w:hAnsi="Calibri"/>
                <w:b w:val="0"/>
                <w:sz w:val="14"/>
              </w:rPr>
              <w:t>Average monthly consumption, used to project the year-end position.</w:t>
            </w:r>
          </w:p>
        </w:tc>
        <w:tc>
          <w:tcPr>
            <w:tcW w:type="dxa" w:w="2494"/>
            <w:shd w:val="clear" w:fill="F7F9FB"/>
          </w:tcPr>
          <w:p>
            <w:pPr>
              <w:spacing w:after="20" w:before="20" w:line="240" w:lineRule="auto"/>
            </w:pPr>
            <w:r/>
            <w:r>
              <w:rPr>
                <w:rFonts w:ascii="Calibri" w:hAnsi="Calibri"/>
                <w:b w:val="0"/>
                <w:sz w:val="14"/>
              </w:rPr>
              <w:t>Year-to-date consumption value ÷ number of months elapsed in the fiscal year.</w:t>
            </w:r>
          </w:p>
        </w:tc>
        <w:tc>
          <w:tcPr>
            <w:tcW w:type="dxa" w:w="794"/>
            <w:shd w:val="clear" w:fill="F7F9FB"/>
          </w:tcPr>
          <w:p>
            <w:pPr>
              <w:spacing w:after="20" w:before="20" w:line="240" w:lineRule="auto"/>
              <w:jc w:val="center"/>
            </w:pPr>
            <w:r/>
            <w:r>
              <w:rPr>
                <w:rFonts w:ascii="Calibri" w:hAnsi="Calibri"/>
                <w:b w:val="0"/>
                <w:sz w:val="14"/>
              </w:rPr>
              <w:t>Project</w:t>
            </w:r>
          </w:p>
        </w:tc>
        <w:tc>
          <w:tcPr>
            <w:tcW w:type="dxa" w:w="907"/>
            <w:shd w:val="clear" w:fill="F7F9FB"/>
          </w:tcPr>
          <w:p>
            <w:pPr>
              <w:spacing w:after="20" w:before="20" w:line="240" w:lineRule="auto"/>
            </w:pPr>
            <w:r/>
            <w:r>
              <w:rPr>
                <w:rFonts w:ascii="Calibri" w:hAnsi="Calibri"/>
                <w:b w:val="0"/>
                <w:sz w:val="14"/>
              </w:rPr>
              <w:t>Project / fiscal year</w:t>
            </w:r>
          </w:p>
        </w:tc>
        <w:tc>
          <w:tcPr>
            <w:tcW w:type="dxa" w:w="964"/>
            <w:shd w:val="clear" w:fill="F7F9FB"/>
          </w:tcPr>
          <w:p>
            <w:pPr>
              <w:spacing w:after="20" w:before="20" w:line="240" w:lineRule="auto"/>
              <w:jc w:val="center"/>
            </w:pPr>
            <w:r/>
            <w:r>
              <w:rPr>
                <w:rFonts w:ascii="Calibri" w:hAnsi="Calibri"/>
                <w:b w:val="0"/>
                <w:sz w:val="14"/>
              </w:rPr>
              <w:t>Monitor</w:t>
            </w:r>
          </w:p>
        </w:tc>
        <w:tc>
          <w:tcPr>
            <w:tcW w:type="dxa" w:w="680"/>
            <w:shd w:val="clear" w:fill="F7F9FB"/>
          </w:tcPr>
          <w:p>
            <w:pPr>
              <w:spacing w:after="20" w:before="20" w:line="240" w:lineRule="auto"/>
              <w:jc w:val="center"/>
            </w:pPr>
            <w:r/>
            <w:r>
              <w:rPr>
                <w:rFonts w:ascii="Calibri" w:hAnsi="Calibri"/>
                <w:b w:val="0"/>
                <w:sz w:val="14"/>
              </w:rPr>
              <w:t>4</w:t>
            </w:r>
          </w:p>
        </w:tc>
      </w:tr>
      <w:tr>
        <w:tc>
          <w:tcPr>
            <w:tcW w:type="dxa" w:w="737"/>
          </w:tcPr>
          <w:p>
            <w:pPr>
              <w:spacing w:after="20" w:before="20" w:line="240" w:lineRule="auto"/>
              <w:jc w:val="center"/>
            </w:pPr>
            <w:r/>
            <w:r>
              <w:rPr>
                <w:rFonts w:ascii="Calibri" w:hAnsi="Calibri"/>
                <w:b w:val="0"/>
                <w:sz w:val="14"/>
              </w:rPr>
              <w:t>KPI-13</w:t>
            </w:r>
          </w:p>
        </w:tc>
        <w:tc>
          <w:tcPr>
            <w:tcW w:type="dxa" w:w="1757"/>
          </w:tcPr>
          <w:p>
            <w:pPr>
              <w:spacing w:after="20" w:before="20" w:line="240" w:lineRule="auto"/>
            </w:pPr>
            <w:r/>
            <w:r>
              <w:rPr>
                <w:rFonts w:ascii="Calibri" w:hAnsi="Calibri"/>
                <w:b w:val="0"/>
                <w:sz w:val="14"/>
              </w:rPr>
              <w:t>Projected year-end consumption</w:t>
            </w:r>
          </w:p>
        </w:tc>
        <w:tc>
          <w:tcPr>
            <w:tcW w:type="dxa" w:w="794"/>
          </w:tcPr>
          <w:p>
            <w:pPr>
              <w:spacing w:after="20" w:before="20" w:line="240" w:lineRule="auto"/>
              <w:jc w:val="center"/>
            </w:pPr>
            <w:r/>
            <w:r>
              <w:rPr>
                <w:rFonts w:ascii="Calibri" w:hAnsi="Calibri"/>
                <w:b w:val="0"/>
                <w:sz w:val="14"/>
              </w:rPr>
              <w:t>PKR</w:t>
            </w:r>
          </w:p>
        </w:tc>
        <w:tc>
          <w:tcPr>
            <w:tcW w:type="dxa" w:w="2041"/>
          </w:tcPr>
          <w:p>
            <w:pPr>
              <w:spacing w:after="20" w:before="20" w:line="240" w:lineRule="auto"/>
            </w:pPr>
            <w:r/>
            <w:r>
              <w:rPr>
                <w:rFonts w:ascii="Calibri" w:hAnsi="Calibri"/>
                <w:b w:val="0"/>
                <w:sz w:val="14"/>
              </w:rPr>
              <w:t>Straight-line projection of full-year consumption.</w:t>
            </w:r>
          </w:p>
        </w:tc>
        <w:tc>
          <w:tcPr>
            <w:tcW w:type="dxa" w:w="2494"/>
          </w:tcPr>
          <w:p>
            <w:pPr>
              <w:spacing w:after="20" w:before="20" w:line="240" w:lineRule="auto"/>
            </w:pPr>
            <w:r/>
            <w:r>
              <w:rPr>
                <w:rFonts w:ascii="Calibri" w:hAnsi="Calibri"/>
                <w:b w:val="0"/>
                <w:sz w:val="14"/>
              </w:rPr>
              <w:t>Year-to-date consumption + (burn rate × remaining months in the fiscal year).</w:t>
            </w:r>
          </w:p>
        </w:tc>
        <w:tc>
          <w:tcPr>
            <w:tcW w:type="dxa" w:w="794"/>
          </w:tcPr>
          <w:p>
            <w:pPr>
              <w:spacing w:after="20" w:before="20" w:line="240" w:lineRule="auto"/>
              <w:jc w:val="center"/>
            </w:pPr>
            <w:r/>
            <w:r>
              <w:rPr>
                <w:rFonts w:ascii="Calibri" w:hAnsi="Calibri"/>
                <w:b w:val="0"/>
                <w:sz w:val="14"/>
              </w:rPr>
              <w:t>Project</w:t>
            </w:r>
          </w:p>
        </w:tc>
        <w:tc>
          <w:tcPr>
            <w:tcW w:type="dxa" w:w="907"/>
          </w:tcPr>
          <w:p>
            <w:pPr>
              <w:spacing w:after="20" w:before="20" w:line="240" w:lineRule="auto"/>
            </w:pPr>
            <w:r/>
            <w:r>
              <w:rPr>
                <w:rFonts w:ascii="Calibri" w:hAnsi="Calibri"/>
                <w:b w:val="0"/>
                <w:sz w:val="14"/>
              </w:rPr>
              <w:t>Project / fiscal year</w:t>
            </w:r>
          </w:p>
        </w:tc>
        <w:tc>
          <w:tcPr>
            <w:tcW w:type="dxa" w:w="964"/>
          </w:tcPr>
          <w:p>
            <w:pPr>
              <w:spacing w:after="20" w:before="20" w:line="240" w:lineRule="auto"/>
              <w:jc w:val="center"/>
            </w:pPr>
            <w:r/>
            <w:r>
              <w:rPr>
                <w:rFonts w:ascii="Calibri" w:hAnsi="Calibri"/>
                <w:b w:val="0"/>
                <w:sz w:val="14"/>
              </w:rPr>
              <w:t>Within budget</w:t>
            </w:r>
          </w:p>
        </w:tc>
        <w:tc>
          <w:tcPr>
            <w:tcW w:type="dxa" w:w="680"/>
          </w:tcPr>
          <w:p>
            <w:pPr>
              <w:spacing w:after="20" w:before="20" w:line="240" w:lineRule="auto"/>
              <w:jc w:val="center"/>
            </w:pPr>
            <w:r/>
            <w:r>
              <w:rPr>
                <w:rFonts w:ascii="Calibri" w:hAnsi="Calibri"/>
                <w:b w:val="0"/>
                <w:sz w:val="14"/>
              </w:rPr>
              <w:t>4</w:t>
            </w:r>
          </w:p>
        </w:tc>
      </w:tr>
      <w:tr>
        <w:tc>
          <w:tcPr>
            <w:tcW w:type="dxa" w:w="737"/>
            <w:shd w:val="clear" w:fill="F7F9FB"/>
          </w:tcPr>
          <w:p>
            <w:pPr>
              <w:spacing w:after="20" w:before="20" w:line="240" w:lineRule="auto"/>
              <w:jc w:val="center"/>
            </w:pPr>
            <w:r/>
            <w:r>
              <w:rPr>
                <w:rFonts w:ascii="Calibri" w:hAnsi="Calibri"/>
                <w:b w:val="0"/>
                <w:sz w:val="14"/>
              </w:rPr>
              <w:t>KPI-14</w:t>
            </w:r>
          </w:p>
        </w:tc>
        <w:tc>
          <w:tcPr>
            <w:tcW w:type="dxa" w:w="1757"/>
            <w:shd w:val="clear" w:fill="F7F9FB"/>
          </w:tcPr>
          <w:p>
            <w:pPr>
              <w:spacing w:after="20" w:before="20" w:line="240" w:lineRule="auto"/>
            </w:pPr>
            <w:r/>
            <w:r>
              <w:rPr>
                <w:rFonts w:ascii="Calibri" w:hAnsi="Calibri"/>
                <w:b w:val="0"/>
                <w:sz w:val="14"/>
              </w:rPr>
              <w:t>Cost per beneficiary</w:t>
            </w:r>
          </w:p>
        </w:tc>
        <w:tc>
          <w:tcPr>
            <w:tcW w:type="dxa" w:w="794"/>
            <w:shd w:val="clear" w:fill="F7F9FB"/>
          </w:tcPr>
          <w:p>
            <w:pPr>
              <w:spacing w:after="20" w:before="20" w:line="240" w:lineRule="auto"/>
              <w:jc w:val="center"/>
            </w:pPr>
            <w:r/>
            <w:r>
              <w:rPr>
                <w:rFonts w:ascii="Calibri" w:hAnsi="Calibri"/>
                <w:b w:val="0"/>
                <w:sz w:val="14"/>
              </w:rPr>
              <w:t>PKR</w:t>
            </w:r>
          </w:p>
        </w:tc>
        <w:tc>
          <w:tcPr>
            <w:tcW w:type="dxa" w:w="2041"/>
            <w:shd w:val="clear" w:fill="F7F9FB"/>
          </w:tcPr>
          <w:p>
            <w:pPr>
              <w:spacing w:after="20" w:before="20" w:line="240" w:lineRule="auto"/>
            </w:pPr>
            <w:r/>
            <w:r>
              <w:rPr>
                <w:rFonts w:ascii="Calibri" w:hAnsi="Calibri"/>
                <w:b w:val="0"/>
                <w:sz w:val="14"/>
              </w:rPr>
              <w:t>Product consumption value attributable to each beneficiary served.</w:t>
            </w:r>
          </w:p>
        </w:tc>
        <w:tc>
          <w:tcPr>
            <w:tcW w:type="dxa" w:w="2494"/>
            <w:shd w:val="clear" w:fill="F7F9FB"/>
          </w:tcPr>
          <w:p>
            <w:pPr>
              <w:spacing w:after="20" w:before="20" w:line="240" w:lineRule="auto"/>
            </w:pPr>
            <w:r/>
            <w:r>
              <w:rPr>
                <w:rFonts w:ascii="Calibri" w:hAnsi="Calibri"/>
                <w:b w:val="0"/>
                <w:sz w:val="14"/>
              </w:rPr>
              <w:t>Consumption value for the project and month ÷ beneficiaries served for the same project and month.</w:t>
            </w:r>
          </w:p>
        </w:tc>
        <w:tc>
          <w:tcPr>
            <w:tcW w:type="dxa" w:w="794"/>
            <w:shd w:val="clear" w:fill="F7F9FB"/>
          </w:tcPr>
          <w:p>
            <w:pPr>
              <w:spacing w:after="20" w:before="20" w:line="240" w:lineRule="auto"/>
              <w:jc w:val="center"/>
            </w:pPr>
            <w:r/>
            <w:r>
              <w:rPr>
                <w:rFonts w:ascii="Calibri" w:hAnsi="Calibri"/>
                <w:b w:val="0"/>
                <w:sz w:val="14"/>
              </w:rPr>
              <w:t>Project</w:t>
            </w:r>
          </w:p>
        </w:tc>
        <w:tc>
          <w:tcPr>
            <w:tcW w:type="dxa" w:w="907"/>
            <w:shd w:val="clear" w:fill="F7F9FB"/>
          </w:tcPr>
          <w:p>
            <w:pPr>
              <w:spacing w:after="20" w:before="20" w:line="240" w:lineRule="auto"/>
            </w:pPr>
            <w:r/>
            <w:r>
              <w:rPr>
                <w:rFonts w:ascii="Calibri" w:hAnsi="Calibri"/>
                <w:b w:val="0"/>
                <w:sz w:val="14"/>
              </w:rPr>
              <w:t>Project / month</w:t>
            </w:r>
          </w:p>
        </w:tc>
        <w:tc>
          <w:tcPr>
            <w:tcW w:type="dxa" w:w="964"/>
            <w:shd w:val="clear" w:fill="F7F9FB"/>
          </w:tcPr>
          <w:p>
            <w:pPr>
              <w:spacing w:after="20" w:before="20" w:line="240" w:lineRule="auto"/>
              <w:jc w:val="center"/>
            </w:pPr>
            <w:r/>
            <w:r>
              <w:rPr>
                <w:rFonts w:ascii="Calibri" w:hAnsi="Calibri"/>
                <w:b w:val="0"/>
                <w:sz w:val="14"/>
              </w:rPr>
              <w:t>Monitor trend</w:t>
            </w:r>
          </w:p>
        </w:tc>
        <w:tc>
          <w:tcPr>
            <w:tcW w:type="dxa" w:w="680"/>
            <w:shd w:val="clear" w:fill="F7F9FB"/>
          </w:tcPr>
          <w:p>
            <w:pPr>
              <w:spacing w:after="20" w:before="20" w:line="240" w:lineRule="auto"/>
              <w:jc w:val="center"/>
            </w:pPr>
            <w:r/>
            <w:r>
              <w:rPr>
                <w:rFonts w:ascii="Calibri" w:hAnsi="Calibri"/>
                <w:b w:val="0"/>
                <w:sz w:val="14"/>
              </w:rPr>
              <w:t>2, 4</w:t>
            </w:r>
          </w:p>
        </w:tc>
      </w:tr>
      <w:tr>
        <w:tc>
          <w:tcPr>
            <w:tcW w:type="dxa" w:w="737"/>
          </w:tcPr>
          <w:p>
            <w:pPr>
              <w:spacing w:after="20" w:before="20" w:line="240" w:lineRule="auto"/>
              <w:jc w:val="center"/>
            </w:pPr>
            <w:r/>
            <w:r>
              <w:rPr>
                <w:rFonts w:ascii="Calibri" w:hAnsi="Calibri"/>
                <w:b w:val="0"/>
                <w:sz w:val="14"/>
              </w:rPr>
              <w:t>KPI-15</w:t>
            </w:r>
          </w:p>
        </w:tc>
        <w:tc>
          <w:tcPr>
            <w:tcW w:type="dxa" w:w="1757"/>
          </w:tcPr>
          <w:p>
            <w:pPr>
              <w:spacing w:after="20" w:before="20" w:line="240" w:lineRule="auto"/>
            </w:pPr>
            <w:r/>
            <w:r>
              <w:rPr>
                <w:rFonts w:ascii="Calibri" w:hAnsi="Calibri"/>
                <w:b w:val="0"/>
                <w:sz w:val="14"/>
              </w:rPr>
              <w:t>Cost per patient visit</w:t>
            </w:r>
          </w:p>
        </w:tc>
        <w:tc>
          <w:tcPr>
            <w:tcW w:type="dxa" w:w="794"/>
          </w:tcPr>
          <w:p>
            <w:pPr>
              <w:spacing w:after="20" w:before="20" w:line="240" w:lineRule="auto"/>
              <w:jc w:val="center"/>
            </w:pPr>
            <w:r/>
            <w:r>
              <w:rPr>
                <w:rFonts w:ascii="Calibri" w:hAnsi="Calibri"/>
                <w:b w:val="0"/>
                <w:sz w:val="14"/>
              </w:rPr>
              <w:t>PKR</w:t>
            </w:r>
          </w:p>
        </w:tc>
        <w:tc>
          <w:tcPr>
            <w:tcW w:type="dxa" w:w="2041"/>
          </w:tcPr>
          <w:p>
            <w:pPr>
              <w:spacing w:after="20" w:before="20" w:line="240" w:lineRule="auto"/>
            </w:pPr>
            <w:r/>
            <w:r>
              <w:rPr>
                <w:rFonts w:ascii="Calibri" w:hAnsi="Calibri"/>
                <w:b w:val="0"/>
                <w:sz w:val="14"/>
              </w:rPr>
              <w:t>Product consumption value per recorded visit.</w:t>
            </w:r>
          </w:p>
        </w:tc>
        <w:tc>
          <w:tcPr>
            <w:tcW w:type="dxa" w:w="2494"/>
          </w:tcPr>
          <w:p>
            <w:pPr>
              <w:spacing w:after="20" w:before="20" w:line="240" w:lineRule="auto"/>
            </w:pPr>
            <w:r/>
            <w:r>
              <w:rPr>
                <w:rFonts w:ascii="Calibri" w:hAnsi="Calibri"/>
                <w:b w:val="0"/>
                <w:sz w:val="14"/>
              </w:rPr>
              <w:t>Consumption value ÷ patient visits for the same project and month.</w:t>
            </w:r>
          </w:p>
        </w:tc>
        <w:tc>
          <w:tcPr>
            <w:tcW w:type="dxa" w:w="794"/>
          </w:tcPr>
          <w:p>
            <w:pPr>
              <w:spacing w:after="20" w:before="20" w:line="240" w:lineRule="auto"/>
              <w:jc w:val="center"/>
            </w:pPr>
            <w:r/>
            <w:r>
              <w:rPr>
                <w:rFonts w:ascii="Calibri" w:hAnsi="Calibri"/>
                <w:b w:val="0"/>
                <w:sz w:val="14"/>
              </w:rPr>
              <w:t>Project</w:t>
            </w:r>
          </w:p>
        </w:tc>
        <w:tc>
          <w:tcPr>
            <w:tcW w:type="dxa" w:w="907"/>
          </w:tcPr>
          <w:p>
            <w:pPr>
              <w:spacing w:after="20" w:before="20" w:line="240" w:lineRule="auto"/>
            </w:pPr>
            <w:r/>
            <w:r>
              <w:rPr>
                <w:rFonts w:ascii="Calibri" w:hAnsi="Calibri"/>
                <w:b w:val="0"/>
                <w:sz w:val="14"/>
              </w:rPr>
              <w:t>Project / month</w:t>
            </w:r>
          </w:p>
        </w:tc>
        <w:tc>
          <w:tcPr>
            <w:tcW w:type="dxa" w:w="964"/>
          </w:tcPr>
          <w:p>
            <w:pPr>
              <w:spacing w:after="20" w:before="20" w:line="240" w:lineRule="auto"/>
              <w:jc w:val="center"/>
            </w:pPr>
            <w:r/>
            <w:r>
              <w:rPr>
                <w:rFonts w:ascii="Calibri" w:hAnsi="Calibri"/>
                <w:b w:val="0"/>
                <w:sz w:val="14"/>
              </w:rPr>
              <w:t>Monitor trend</w:t>
            </w:r>
          </w:p>
        </w:tc>
        <w:tc>
          <w:tcPr>
            <w:tcW w:type="dxa" w:w="680"/>
          </w:tcPr>
          <w:p>
            <w:pPr>
              <w:spacing w:after="20" w:before="20" w:line="240" w:lineRule="auto"/>
              <w:jc w:val="center"/>
            </w:pPr>
            <w:r/>
            <w:r>
              <w:rPr>
                <w:rFonts w:ascii="Calibri" w:hAnsi="Calibri"/>
                <w:b w:val="0"/>
                <w:sz w:val="14"/>
              </w:rPr>
              <w:t>2, 4</w:t>
            </w:r>
          </w:p>
        </w:tc>
      </w:tr>
      <w:tr>
        <w:tc>
          <w:tcPr>
            <w:tcW w:type="dxa" w:w="737"/>
            <w:shd w:val="clear" w:fill="F7F9FB"/>
          </w:tcPr>
          <w:p>
            <w:pPr>
              <w:spacing w:after="20" w:before="20" w:line="240" w:lineRule="auto"/>
              <w:jc w:val="center"/>
            </w:pPr>
            <w:r/>
            <w:r>
              <w:rPr>
                <w:rFonts w:ascii="Calibri" w:hAnsi="Calibri"/>
                <w:b w:val="0"/>
                <w:sz w:val="14"/>
              </w:rPr>
              <w:t>KPI-16</w:t>
            </w:r>
          </w:p>
        </w:tc>
        <w:tc>
          <w:tcPr>
            <w:tcW w:type="dxa" w:w="1757"/>
            <w:shd w:val="clear" w:fill="F7F9FB"/>
          </w:tcPr>
          <w:p>
            <w:pPr>
              <w:spacing w:after="20" w:before="20" w:line="240" w:lineRule="auto"/>
            </w:pPr>
            <w:r/>
            <w:r>
              <w:rPr>
                <w:rFonts w:ascii="Calibri" w:hAnsi="Calibri"/>
                <w:b w:val="0"/>
                <w:sz w:val="14"/>
              </w:rPr>
              <w:t>Stock on hand</w:t>
            </w:r>
          </w:p>
        </w:tc>
        <w:tc>
          <w:tcPr>
            <w:tcW w:type="dxa" w:w="794"/>
            <w:shd w:val="clear" w:fill="F7F9FB"/>
          </w:tcPr>
          <w:p>
            <w:pPr>
              <w:spacing w:after="20" w:before="20" w:line="240" w:lineRule="auto"/>
              <w:jc w:val="center"/>
            </w:pPr>
            <w:r/>
            <w:r>
              <w:rPr>
                <w:rFonts w:ascii="Calibri" w:hAnsi="Calibri"/>
                <w:b w:val="0"/>
                <w:sz w:val="14"/>
              </w:rPr>
              <w:t>Quantity and PKR</w:t>
            </w:r>
          </w:p>
        </w:tc>
        <w:tc>
          <w:tcPr>
            <w:tcW w:type="dxa" w:w="2041"/>
            <w:shd w:val="clear" w:fill="F7F9FB"/>
          </w:tcPr>
          <w:p>
            <w:pPr>
              <w:spacing w:after="20" w:before="20" w:line="240" w:lineRule="auto"/>
            </w:pPr>
            <w:r/>
            <w:r>
              <w:rPr>
                <w:rFonts w:ascii="Calibri" w:hAnsi="Calibri"/>
                <w:b w:val="0"/>
                <w:sz w:val="14"/>
              </w:rPr>
              <w:t>Closing stock at the report date.</w:t>
            </w:r>
          </w:p>
        </w:tc>
        <w:tc>
          <w:tcPr>
            <w:tcW w:type="dxa" w:w="2494"/>
            <w:shd w:val="clear" w:fill="F7F9FB"/>
          </w:tcPr>
          <w:p>
            <w:pPr>
              <w:spacing w:after="20" w:before="20" w:line="240" w:lineRule="auto"/>
            </w:pPr>
            <w:r/>
            <w:r>
              <w:rPr>
                <w:rFonts w:ascii="Calibri" w:hAnsi="Calibri"/>
                <w:b w:val="0"/>
                <w:sz w:val="14"/>
              </w:rPr>
              <w:t>Opening stock + receipts − issues ± adjustments, valued at batch cost.</w:t>
            </w:r>
          </w:p>
        </w:tc>
        <w:tc>
          <w:tcPr>
            <w:tcW w:type="dxa" w:w="794"/>
            <w:shd w:val="clear" w:fill="F7F9FB"/>
          </w:tcPr>
          <w:p>
            <w:pPr>
              <w:spacing w:after="20" w:before="20" w:line="240" w:lineRule="auto"/>
              <w:jc w:val="center"/>
            </w:pPr>
            <w:r/>
            <w:r>
              <w:rPr>
                <w:rFonts w:ascii="Calibri" w:hAnsi="Calibri"/>
                <w:b w:val="0"/>
                <w:sz w:val="14"/>
              </w:rPr>
              <w:t>Item / warehouse</w:t>
            </w:r>
          </w:p>
        </w:tc>
        <w:tc>
          <w:tcPr>
            <w:tcW w:type="dxa" w:w="907"/>
            <w:shd w:val="clear" w:fill="F7F9FB"/>
          </w:tcPr>
          <w:p>
            <w:pPr>
              <w:spacing w:after="20" w:before="20" w:line="240" w:lineRule="auto"/>
            </w:pPr>
            <w:r/>
            <w:r>
              <w:rPr>
                <w:rFonts w:ascii="Calibri" w:hAnsi="Calibri"/>
                <w:b w:val="0"/>
                <w:sz w:val="14"/>
              </w:rPr>
              <w:t>Item / warehouse</w:t>
            </w:r>
          </w:p>
        </w:tc>
        <w:tc>
          <w:tcPr>
            <w:tcW w:type="dxa" w:w="964"/>
            <w:shd w:val="clear" w:fill="F7F9FB"/>
          </w:tcPr>
          <w:p>
            <w:pPr>
              <w:spacing w:after="20" w:before="20" w:line="240" w:lineRule="auto"/>
              <w:jc w:val="center"/>
            </w:pPr>
            <w:r/>
            <w:r>
              <w:rPr>
                <w:rFonts w:ascii="Calibri" w:hAnsi="Calibri"/>
                <w:b w:val="0"/>
                <w:sz w:val="14"/>
              </w:rPr>
              <w:t>Report</w:t>
            </w:r>
          </w:p>
        </w:tc>
        <w:tc>
          <w:tcPr>
            <w:tcW w:type="dxa" w:w="680"/>
            <w:shd w:val="clear" w:fill="F7F9FB"/>
          </w:tcPr>
          <w:p>
            <w:pPr>
              <w:spacing w:after="20" w:before="20" w:line="240" w:lineRule="auto"/>
              <w:jc w:val="center"/>
            </w:pPr>
            <w:r/>
            <w:r>
              <w:rPr>
                <w:rFonts w:ascii="Calibri" w:hAnsi="Calibri"/>
                <w:b w:val="0"/>
                <w:sz w:val="14"/>
              </w:rPr>
              <w:t>3</w:t>
            </w:r>
          </w:p>
        </w:tc>
      </w:tr>
      <w:tr>
        <w:tc>
          <w:tcPr>
            <w:tcW w:type="dxa" w:w="737"/>
          </w:tcPr>
          <w:p>
            <w:pPr>
              <w:spacing w:after="20" w:before="20" w:line="240" w:lineRule="auto"/>
              <w:jc w:val="center"/>
            </w:pPr>
            <w:r/>
            <w:r>
              <w:rPr>
                <w:rFonts w:ascii="Calibri" w:hAnsi="Calibri"/>
                <w:b w:val="0"/>
                <w:sz w:val="14"/>
              </w:rPr>
              <w:t>KPI-17</w:t>
            </w:r>
          </w:p>
        </w:tc>
        <w:tc>
          <w:tcPr>
            <w:tcW w:type="dxa" w:w="1757"/>
          </w:tcPr>
          <w:p>
            <w:pPr>
              <w:spacing w:after="20" w:before="20" w:line="240" w:lineRule="auto"/>
            </w:pPr>
            <w:r/>
            <w:r>
              <w:rPr>
                <w:rFonts w:ascii="Calibri" w:hAnsi="Calibri"/>
                <w:b w:val="0"/>
                <w:sz w:val="14"/>
              </w:rPr>
              <w:t>Days of cover</w:t>
            </w:r>
          </w:p>
        </w:tc>
        <w:tc>
          <w:tcPr>
            <w:tcW w:type="dxa" w:w="794"/>
          </w:tcPr>
          <w:p>
            <w:pPr>
              <w:spacing w:after="20" w:before="20" w:line="240" w:lineRule="auto"/>
              <w:jc w:val="center"/>
            </w:pPr>
            <w:r/>
            <w:r>
              <w:rPr>
                <w:rFonts w:ascii="Calibri" w:hAnsi="Calibri"/>
                <w:b w:val="0"/>
                <w:sz w:val="14"/>
              </w:rPr>
              <w:t>Days</w:t>
            </w:r>
          </w:p>
        </w:tc>
        <w:tc>
          <w:tcPr>
            <w:tcW w:type="dxa" w:w="2041"/>
          </w:tcPr>
          <w:p>
            <w:pPr>
              <w:spacing w:after="20" w:before="20" w:line="240" w:lineRule="auto"/>
            </w:pPr>
            <w:r/>
            <w:r>
              <w:rPr>
                <w:rFonts w:ascii="Calibri" w:hAnsi="Calibri"/>
                <w:b w:val="0"/>
                <w:sz w:val="14"/>
              </w:rPr>
              <w:t>How long current stock will last at recent consumption rates.</w:t>
            </w:r>
          </w:p>
        </w:tc>
        <w:tc>
          <w:tcPr>
            <w:tcW w:type="dxa" w:w="2494"/>
          </w:tcPr>
          <w:p>
            <w:pPr>
              <w:spacing w:after="20" w:before="20" w:line="240" w:lineRule="auto"/>
            </w:pPr>
            <w:r/>
            <w:r>
              <w:rPr>
                <w:rFonts w:ascii="Calibri" w:hAnsi="Calibri"/>
                <w:b w:val="0"/>
                <w:sz w:val="14"/>
              </w:rPr>
              <w:t>Stock on hand ÷ (average daily consumption over the selected lookback period, default 90 days).</w:t>
            </w:r>
          </w:p>
        </w:tc>
        <w:tc>
          <w:tcPr>
            <w:tcW w:type="dxa" w:w="794"/>
          </w:tcPr>
          <w:p>
            <w:pPr>
              <w:spacing w:after="20" w:before="20" w:line="240" w:lineRule="auto"/>
              <w:jc w:val="center"/>
            </w:pPr>
            <w:r/>
            <w:r>
              <w:rPr>
                <w:rFonts w:ascii="Calibri" w:hAnsi="Calibri"/>
                <w:b w:val="0"/>
                <w:sz w:val="14"/>
              </w:rPr>
              <w:t>Item / project</w:t>
            </w:r>
          </w:p>
        </w:tc>
        <w:tc>
          <w:tcPr>
            <w:tcW w:type="dxa" w:w="907"/>
          </w:tcPr>
          <w:p>
            <w:pPr>
              <w:spacing w:after="20" w:before="20" w:line="240" w:lineRule="auto"/>
            </w:pPr>
            <w:r/>
            <w:r>
              <w:rPr>
                <w:rFonts w:ascii="Calibri" w:hAnsi="Calibri"/>
                <w:b w:val="0"/>
                <w:sz w:val="14"/>
              </w:rPr>
              <w:t>Item / warehouse</w:t>
            </w:r>
          </w:p>
        </w:tc>
        <w:tc>
          <w:tcPr>
            <w:tcW w:type="dxa" w:w="964"/>
          </w:tcPr>
          <w:p>
            <w:pPr>
              <w:spacing w:after="20" w:before="20" w:line="240" w:lineRule="auto"/>
              <w:jc w:val="center"/>
            </w:pPr>
            <w:r/>
            <w:r>
              <w:rPr>
                <w:rFonts w:ascii="Calibri" w:hAnsi="Calibri"/>
                <w:b w:val="0"/>
                <w:sz w:val="14"/>
              </w:rPr>
              <w:t>≥ 30 days for critical items</w:t>
            </w:r>
          </w:p>
        </w:tc>
        <w:tc>
          <w:tcPr>
            <w:tcW w:type="dxa" w:w="680"/>
          </w:tcPr>
          <w:p>
            <w:pPr>
              <w:spacing w:after="20" w:before="20" w:line="240" w:lineRule="auto"/>
              <w:jc w:val="center"/>
            </w:pPr>
            <w:r/>
            <w:r>
              <w:rPr>
                <w:rFonts w:ascii="Calibri" w:hAnsi="Calibri"/>
                <w:b w:val="0"/>
                <w:sz w:val="14"/>
              </w:rPr>
              <w:t>3</w:t>
            </w:r>
          </w:p>
        </w:tc>
      </w:tr>
      <w:tr>
        <w:tc>
          <w:tcPr>
            <w:tcW w:type="dxa" w:w="737"/>
            <w:shd w:val="clear" w:fill="F7F9FB"/>
          </w:tcPr>
          <w:p>
            <w:pPr>
              <w:spacing w:after="20" w:before="20" w:line="240" w:lineRule="auto"/>
              <w:jc w:val="center"/>
            </w:pPr>
            <w:r/>
            <w:r>
              <w:rPr>
                <w:rFonts w:ascii="Calibri" w:hAnsi="Calibri"/>
                <w:b w:val="0"/>
                <w:sz w:val="14"/>
              </w:rPr>
              <w:t>KPI-18</w:t>
            </w:r>
          </w:p>
        </w:tc>
        <w:tc>
          <w:tcPr>
            <w:tcW w:type="dxa" w:w="1757"/>
            <w:shd w:val="clear" w:fill="F7F9FB"/>
          </w:tcPr>
          <w:p>
            <w:pPr>
              <w:spacing w:after="20" w:before="20" w:line="240" w:lineRule="auto"/>
            </w:pPr>
            <w:r/>
            <w:r>
              <w:rPr>
                <w:rFonts w:ascii="Calibri" w:hAnsi="Calibri"/>
                <w:b w:val="0"/>
                <w:sz w:val="14"/>
              </w:rPr>
              <w:t>Stock turnover</w:t>
            </w:r>
          </w:p>
        </w:tc>
        <w:tc>
          <w:tcPr>
            <w:tcW w:type="dxa" w:w="794"/>
            <w:shd w:val="clear" w:fill="F7F9FB"/>
          </w:tcPr>
          <w:p>
            <w:pPr>
              <w:spacing w:after="20" w:before="20" w:line="240" w:lineRule="auto"/>
              <w:jc w:val="center"/>
            </w:pPr>
            <w:r/>
            <w:r>
              <w:rPr>
                <w:rFonts w:ascii="Calibri" w:hAnsi="Calibri"/>
                <w:b w:val="0"/>
                <w:sz w:val="14"/>
              </w:rPr>
              <w:t>Count</w:t>
            </w:r>
          </w:p>
        </w:tc>
        <w:tc>
          <w:tcPr>
            <w:tcW w:type="dxa" w:w="2041"/>
            <w:shd w:val="clear" w:fill="F7F9FB"/>
          </w:tcPr>
          <w:p>
            <w:pPr>
              <w:spacing w:after="20" w:before="20" w:line="240" w:lineRule="auto"/>
            </w:pPr>
            <w:r/>
            <w:r>
              <w:rPr>
                <w:rFonts w:ascii="Calibri" w:hAnsi="Calibri"/>
                <w:b w:val="0"/>
                <w:sz w:val="14"/>
              </w:rPr>
              <w:t>How many times stock is consumed and replaced in a period.</w:t>
            </w:r>
          </w:p>
        </w:tc>
        <w:tc>
          <w:tcPr>
            <w:tcW w:type="dxa" w:w="2494"/>
            <w:shd w:val="clear" w:fill="F7F9FB"/>
          </w:tcPr>
          <w:p>
            <w:pPr>
              <w:spacing w:after="20" w:before="20" w:line="240" w:lineRule="auto"/>
            </w:pPr>
            <w:r/>
            <w:r>
              <w:rPr>
                <w:rFonts w:ascii="Calibri" w:hAnsi="Calibri"/>
                <w:b w:val="0"/>
                <w:sz w:val="14"/>
              </w:rPr>
              <w:t>Consumption quantity in the period ÷ average stock on hand in the period.</w:t>
            </w:r>
          </w:p>
        </w:tc>
        <w:tc>
          <w:tcPr>
            <w:tcW w:type="dxa" w:w="794"/>
            <w:shd w:val="clear" w:fill="F7F9FB"/>
          </w:tcPr>
          <w:p>
            <w:pPr>
              <w:spacing w:after="20" w:before="20" w:line="240" w:lineRule="auto"/>
              <w:jc w:val="center"/>
            </w:pPr>
            <w:r/>
            <w:r>
              <w:rPr>
                <w:rFonts w:ascii="Calibri" w:hAnsi="Calibri"/>
                <w:b w:val="0"/>
                <w:sz w:val="14"/>
              </w:rPr>
              <w:t>Item</w:t>
            </w:r>
          </w:p>
        </w:tc>
        <w:tc>
          <w:tcPr>
            <w:tcW w:type="dxa" w:w="907"/>
            <w:shd w:val="clear" w:fill="F7F9FB"/>
          </w:tcPr>
          <w:p>
            <w:pPr>
              <w:spacing w:after="20" w:before="20" w:line="240" w:lineRule="auto"/>
            </w:pPr>
            <w:r/>
            <w:r>
              <w:rPr>
                <w:rFonts w:ascii="Calibri" w:hAnsi="Calibri"/>
                <w:b w:val="0"/>
                <w:sz w:val="14"/>
              </w:rPr>
              <w:t>Item / period</w:t>
            </w:r>
          </w:p>
        </w:tc>
        <w:tc>
          <w:tcPr>
            <w:tcW w:type="dxa" w:w="964"/>
            <w:shd w:val="clear" w:fill="F7F9FB"/>
          </w:tcPr>
          <w:p>
            <w:pPr>
              <w:spacing w:after="20" w:before="20" w:line="240" w:lineRule="auto"/>
              <w:jc w:val="center"/>
            </w:pPr>
            <w:r/>
            <w:r>
              <w:rPr>
                <w:rFonts w:ascii="Calibri" w:hAnsi="Calibri"/>
                <w:b w:val="0"/>
                <w:sz w:val="14"/>
              </w:rPr>
              <w:t>Item-specific</w:t>
            </w:r>
          </w:p>
        </w:tc>
        <w:tc>
          <w:tcPr>
            <w:tcW w:type="dxa" w:w="680"/>
            <w:shd w:val="clear" w:fill="F7F9FB"/>
          </w:tcPr>
          <w:p>
            <w:pPr>
              <w:spacing w:after="20" w:before="20" w:line="240" w:lineRule="auto"/>
              <w:jc w:val="center"/>
            </w:pPr>
            <w:r/>
            <w:r>
              <w:rPr>
                <w:rFonts w:ascii="Calibri" w:hAnsi="Calibri"/>
                <w:b w:val="0"/>
                <w:sz w:val="14"/>
              </w:rPr>
              <w:t>3</w:t>
            </w:r>
          </w:p>
        </w:tc>
      </w:tr>
      <w:tr>
        <w:tc>
          <w:tcPr>
            <w:tcW w:type="dxa" w:w="737"/>
          </w:tcPr>
          <w:p>
            <w:pPr>
              <w:spacing w:after="20" w:before="20" w:line="240" w:lineRule="auto"/>
              <w:jc w:val="center"/>
            </w:pPr>
            <w:r/>
            <w:r>
              <w:rPr>
                <w:rFonts w:ascii="Calibri" w:hAnsi="Calibri"/>
                <w:b w:val="0"/>
                <w:sz w:val="14"/>
              </w:rPr>
              <w:t>KPI-19</w:t>
            </w:r>
          </w:p>
        </w:tc>
        <w:tc>
          <w:tcPr>
            <w:tcW w:type="dxa" w:w="1757"/>
          </w:tcPr>
          <w:p>
            <w:pPr>
              <w:spacing w:after="20" w:before="20" w:line="240" w:lineRule="auto"/>
            </w:pPr>
            <w:r/>
            <w:r>
              <w:rPr>
                <w:rFonts w:ascii="Calibri" w:hAnsi="Calibri"/>
                <w:b w:val="0"/>
                <w:sz w:val="14"/>
              </w:rPr>
              <w:t>Slow-moving value</w:t>
            </w:r>
          </w:p>
        </w:tc>
        <w:tc>
          <w:tcPr>
            <w:tcW w:type="dxa" w:w="794"/>
          </w:tcPr>
          <w:p>
            <w:pPr>
              <w:spacing w:after="20" w:before="20" w:line="240" w:lineRule="auto"/>
              <w:jc w:val="center"/>
            </w:pPr>
            <w:r/>
            <w:r>
              <w:rPr>
                <w:rFonts w:ascii="Calibri" w:hAnsi="Calibri"/>
                <w:b w:val="0"/>
                <w:sz w:val="14"/>
              </w:rPr>
              <w:t>PKR</w:t>
            </w:r>
          </w:p>
        </w:tc>
        <w:tc>
          <w:tcPr>
            <w:tcW w:type="dxa" w:w="2041"/>
          </w:tcPr>
          <w:p>
            <w:pPr>
              <w:spacing w:after="20" w:before="20" w:line="240" w:lineRule="auto"/>
            </w:pPr>
            <w:r/>
            <w:r>
              <w:rPr>
                <w:rFonts w:ascii="Calibri" w:hAnsi="Calibri"/>
                <w:b w:val="0"/>
                <w:sz w:val="14"/>
              </w:rPr>
              <w:t>Value of stock with no consumption for the stated period.</w:t>
            </w:r>
          </w:p>
        </w:tc>
        <w:tc>
          <w:tcPr>
            <w:tcW w:type="dxa" w:w="2494"/>
          </w:tcPr>
          <w:p>
            <w:pPr>
              <w:spacing w:after="20" w:before="20" w:line="240" w:lineRule="auto"/>
            </w:pPr>
            <w:r/>
            <w:r>
              <w:rPr>
                <w:rFonts w:ascii="Calibri" w:hAnsi="Calibri"/>
                <w:b w:val="0"/>
                <w:sz w:val="14"/>
              </w:rPr>
              <w:t>Value on hand of items with zero issues in the last 6 months (and separately 12 months).</w:t>
            </w:r>
          </w:p>
        </w:tc>
        <w:tc>
          <w:tcPr>
            <w:tcW w:type="dxa" w:w="794"/>
          </w:tcPr>
          <w:p>
            <w:pPr>
              <w:spacing w:after="20" w:before="20" w:line="240" w:lineRule="auto"/>
              <w:jc w:val="center"/>
            </w:pPr>
            <w:r/>
            <w:r>
              <w:rPr>
                <w:rFonts w:ascii="Calibri" w:hAnsi="Calibri"/>
                <w:b w:val="0"/>
                <w:sz w:val="14"/>
              </w:rPr>
              <w:t>Item</w:t>
            </w:r>
          </w:p>
        </w:tc>
        <w:tc>
          <w:tcPr>
            <w:tcW w:type="dxa" w:w="907"/>
          </w:tcPr>
          <w:p>
            <w:pPr>
              <w:spacing w:after="20" w:before="20" w:line="240" w:lineRule="auto"/>
            </w:pPr>
            <w:r/>
            <w:r>
              <w:rPr>
                <w:rFonts w:ascii="Calibri" w:hAnsi="Calibri"/>
                <w:b w:val="0"/>
                <w:sz w:val="14"/>
              </w:rPr>
              <w:t>Item / warehouse</w:t>
            </w:r>
          </w:p>
        </w:tc>
        <w:tc>
          <w:tcPr>
            <w:tcW w:type="dxa" w:w="964"/>
          </w:tcPr>
          <w:p>
            <w:pPr>
              <w:spacing w:after="20" w:before="20" w:line="240" w:lineRule="auto"/>
              <w:jc w:val="center"/>
            </w:pPr>
            <w:r/>
            <w:r>
              <w:rPr>
                <w:rFonts w:ascii="Calibri" w:hAnsi="Calibri"/>
                <w:b w:val="0"/>
                <w:sz w:val="14"/>
              </w:rPr>
              <w:t>Minimise</w:t>
            </w:r>
          </w:p>
        </w:tc>
        <w:tc>
          <w:tcPr>
            <w:tcW w:type="dxa" w:w="680"/>
          </w:tcPr>
          <w:p>
            <w:pPr>
              <w:spacing w:after="20" w:before="20" w:line="240" w:lineRule="auto"/>
              <w:jc w:val="center"/>
            </w:pPr>
            <w:r/>
            <w:r>
              <w:rPr>
                <w:rFonts w:ascii="Calibri" w:hAnsi="Calibri"/>
                <w:b w:val="0"/>
                <w:sz w:val="14"/>
              </w:rPr>
              <w:t>3, 5</w:t>
            </w:r>
          </w:p>
        </w:tc>
      </w:tr>
      <w:tr>
        <w:tc>
          <w:tcPr>
            <w:tcW w:type="dxa" w:w="737"/>
            <w:shd w:val="clear" w:fill="F7F9FB"/>
          </w:tcPr>
          <w:p>
            <w:pPr>
              <w:spacing w:after="20" w:before="20" w:line="240" w:lineRule="auto"/>
              <w:jc w:val="center"/>
            </w:pPr>
            <w:r/>
            <w:r>
              <w:rPr>
                <w:rFonts w:ascii="Calibri" w:hAnsi="Calibri"/>
                <w:b w:val="0"/>
                <w:sz w:val="14"/>
              </w:rPr>
              <w:t>KPI-20</w:t>
            </w:r>
          </w:p>
        </w:tc>
        <w:tc>
          <w:tcPr>
            <w:tcW w:type="dxa" w:w="1757"/>
            <w:shd w:val="clear" w:fill="F7F9FB"/>
          </w:tcPr>
          <w:p>
            <w:pPr>
              <w:spacing w:after="20" w:before="20" w:line="240" w:lineRule="auto"/>
            </w:pPr>
            <w:r/>
            <w:r>
              <w:rPr>
                <w:rFonts w:ascii="Calibri" w:hAnsi="Calibri"/>
                <w:b w:val="0"/>
                <w:sz w:val="14"/>
              </w:rPr>
              <w:t>Near-expiry value</w:t>
            </w:r>
          </w:p>
        </w:tc>
        <w:tc>
          <w:tcPr>
            <w:tcW w:type="dxa" w:w="794"/>
            <w:shd w:val="clear" w:fill="F7F9FB"/>
          </w:tcPr>
          <w:p>
            <w:pPr>
              <w:spacing w:after="20" w:before="20" w:line="240" w:lineRule="auto"/>
              <w:jc w:val="center"/>
            </w:pPr>
            <w:r/>
            <w:r>
              <w:rPr>
                <w:rFonts w:ascii="Calibri" w:hAnsi="Calibri"/>
                <w:b w:val="0"/>
                <w:sz w:val="14"/>
              </w:rPr>
              <w:t>PKR</w:t>
            </w:r>
          </w:p>
        </w:tc>
        <w:tc>
          <w:tcPr>
            <w:tcW w:type="dxa" w:w="2041"/>
            <w:shd w:val="clear" w:fill="F7F9FB"/>
          </w:tcPr>
          <w:p>
            <w:pPr>
              <w:spacing w:after="20" w:before="20" w:line="240" w:lineRule="auto"/>
            </w:pPr>
            <w:r/>
            <w:r>
              <w:rPr>
                <w:rFonts w:ascii="Calibri" w:hAnsi="Calibri"/>
                <w:b w:val="0"/>
                <w:sz w:val="14"/>
              </w:rPr>
              <w:t>Value of stock expiring within the selected window.</w:t>
            </w:r>
          </w:p>
        </w:tc>
        <w:tc>
          <w:tcPr>
            <w:tcW w:type="dxa" w:w="2494"/>
            <w:shd w:val="clear" w:fill="F7F9FB"/>
          </w:tcPr>
          <w:p>
            <w:pPr>
              <w:spacing w:after="20" w:before="20" w:line="240" w:lineRule="auto"/>
            </w:pPr>
            <w:r/>
            <w:r>
              <w:rPr>
                <w:rFonts w:ascii="Calibri" w:hAnsi="Calibri"/>
                <w:b w:val="0"/>
                <w:sz w:val="14"/>
              </w:rPr>
              <w:t>Value on hand of batches with expiry within 30/60/90/180 days from the report date.</w:t>
            </w:r>
          </w:p>
        </w:tc>
        <w:tc>
          <w:tcPr>
            <w:tcW w:type="dxa" w:w="794"/>
            <w:shd w:val="clear" w:fill="F7F9FB"/>
          </w:tcPr>
          <w:p>
            <w:pPr>
              <w:spacing w:after="20" w:before="20" w:line="240" w:lineRule="auto"/>
              <w:jc w:val="center"/>
            </w:pPr>
            <w:r/>
            <w:r>
              <w:rPr>
                <w:rFonts w:ascii="Calibri" w:hAnsi="Calibri"/>
                <w:b w:val="0"/>
                <w:sz w:val="14"/>
              </w:rPr>
              <w:t>Batch</w:t>
            </w:r>
          </w:p>
        </w:tc>
        <w:tc>
          <w:tcPr>
            <w:tcW w:type="dxa" w:w="907"/>
            <w:shd w:val="clear" w:fill="F7F9FB"/>
          </w:tcPr>
          <w:p>
            <w:pPr>
              <w:spacing w:after="20" w:before="20" w:line="240" w:lineRule="auto"/>
            </w:pPr>
            <w:r/>
            <w:r>
              <w:rPr>
                <w:rFonts w:ascii="Calibri" w:hAnsi="Calibri"/>
                <w:b w:val="0"/>
                <w:sz w:val="14"/>
              </w:rPr>
              <w:t>Item / batch / warehouse</w:t>
            </w:r>
          </w:p>
        </w:tc>
        <w:tc>
          <w:tcPr>
            <w:tcW w:type="dxa" w:w="964"/>
            <w:shd w:val="clear" w:fill="F7F9FB"/>
          </w:tcPr>
          <w:p>
            <w:pPr>
              <w:spacing w:after="20" w:before="20" w:line="240" w:lineRule="auto"/>
              <w:jc w:val="center"/>
            </w:pPr>
            <w:r/>
            <w:r>
              <w:rPr>
                <w:rFonts w:ascii="Calibri" w:hAnsi="Calibri"/>
                <w:b w:val="0"/>
                <w:sz w:val="14"/>
              </w:rPr>
              <w:t>Minimise</w:t>
            </w:r>
          </w:p>
        </w:tc>
        <w:tc>
          <w:tcPr>
            <w:tcW w:type="dxa" w:w="680"/>
            <w:shd w:val="clear" w:fill="F7F9FB"/>
          </w:tcPr>
          <w:p>
            <w:pPr>
              <w:spacing w:after="20" w:before="20" w:line="240" w:lineRule="auto"/>
              <w:jc w:val="center"/>
            </w:pPr>
            <w:r/>
            <w:r>
              <w:rPr>
                <w:rFonts w:ascii="Calibri" w:hAnsi="Calibri"/>
                <w:b w:val="0"/>
                <w:sz w:val="14"/>
              </w:rPr>
              <w:t>3, 5</w:t>
            </w:r>
          </w:p>
        </w:tc>
      </w:tr>
      <w:tr>
        <w:tc>
          <w:tcPr>
            <w:tcW w:type="dxa" w:w="737"/>
          </w:tcPr>
          <w:p>
            <w:pPr>
              <w:spacing w:after="20" w:before="20" w:line="240" w:lineRule="auto"/>
              <w:jc w:val="center"/>
            </w:pPr>
            <w:r/>
            <w:r>
              <w:rPr>
                <w:rFonts w:ascii="Calibri" w:hAnsi="Calibri"/>
                <w:b w:val="0"/>
                <w:sz w:val="14"/>
              </w:rPr>
              <w:t>KPI-21</w:t>
            </w:r>
          </w:p>
        </w:tc>
        <w:tc>
          <w:tcPr>
            <w:tcW w:type="dxa" w:w="1757"/>
          </w:tcPr>
          <w:p>
            <w:pPr>
              <w:spacing w:after="20" w:before="20" w:line="240" w:lineRule="auto"/>
            </w:pPr>
            <w:r/>
            <w:r>
              <w:rPr>
                <w:rFonts w:ascii="Calibri" w:hAnsi="Calibri"/>
                <w:b w:val="0"/>
                <w:sz w:val="14"/>
              </w:rPr>
              <w:t>Expired value</w:t>
            </w:r>
          </w:p>
        </w:tc>
        <w:tc>
          <w:tcPr>
            <w:tcW w:type="dxa" w:w="794"/>
          </w:tcPr>
          <w:p>
            <w:pPr>
              <w:spacing w:after="20" w:before="20" w:line="240" w:lineRule="auto"/>
              <w:jc w:val="center"/>
            </w:pPr>
            <w:r/>
            <w:r>
              <w:rPr>
                <w:rFonts w:ascii="Calibri" w:hAnsi="Calibri"/>
                <w:b w:val="0"/>
                <w:sz w:val="14"/>
              </w:rPr>
              <w:t>PKR</w:t>
            </w:r>
          </w:p>
        </w:tc>
        <w:tc>
          <w:tcPr>
            <w:tcW w:type="dxa" w:w="2041"/>
          </w:tcPr>
          <w:p>
            <w:pPr>
              <w:spacing w:after="20" w:before="20" w:line="240" w:lineRule="auto"/>
            </w:pPr>
            <w:r/>
            <w:r>
              <w:rPr>
                <w:rFonts w:ascii="Calibri" w:hAnsi="Calibri"/>
                <w:b w:val="0"/>
                <w:sz w:val="14"/>
              </w:rPr>
              <w:t>Value of stock already past expiry and not written off.</w:t>
            </w:r>
          </w:p>
        </w:tc>
        <w:tc>
          <w:tcPr>
            <w:tcW w:type="dxa" w:w="2494"/>
          </w:tcPr>
          <w:p>
            <w:pPr>
              <w:spacing w:after="20" w:before="20" w:line="240" w:lineRule="auto"/>
            </w:pPr>
            <w:r/>
            <w:r>
              <w:rPr>
                <w:rFonts w:ascii="Calibri" w:hAnsi="Calibri"/>
                <w:b w:val="0"/>
                <w:sz w:val="14"/>
              </w:rPr>
              <w:t>Value on hand of batches with expiry date before the report date.</w:t>
            </w:r>
          </w:p>
        </w:tc>
        <w:tc>
          <w:tcPr>
            <w:tcW w:type="dxa" w:w="794"/>
          </w:tcPr>
          <w:p>
            <w:pPr>
              <w:spacing w:after="20" w:before="20" w:line="240" w:lineRule="auto"/>
              <w:jc w:val="center"/>
            </w:pPr>
            <w:r/>
            <w:r>
              <w:rPr>
                <w:rFonts w:ascii="Calibri" w:hAnsi="Calibri"/>
                <w:b w:val="0"/>
                <w:sz w:val="14"/>
              </w:rPr>
              <w:t>Batch</w:t>
            </w:r>
          </w:p>
        </w:tc>
        <w:tc>
          <w:tcPr>
            <w:tcW w:type="dxa" w:w="907"/>
          </w:tcPr>
          <w:p>
            <w:pPr>
              <w:spacing w:after="20" w:before="20" w:line="240" w:lineRule="auto"/>
            </w:pPr>
            <w:r/>
            <w:r>
              <w:rPr>
                <w:rFonts w:ascii="Calibri" w:hAnsi="Calibri"/>
                <w:b w:val="0"/>
                <w:sz w:val="14"/>
              </w:rPr>
              <w:t>Item / batch</w:t>
            </w:r>
          </w:p>
        </w:tc>
        <w:tc>
          <w:tcPr>
            <w:tcW w:type="dxa" w:w="964"/>
          </w:tcPr>
          <w:p>
            <w:pPr>
              <w:spacing w:after="20" w:before="20" w:line="240" w:lineRule="auto"/>
              <w:jc w:val="center"/>
            </w:pPr>
            <w:r/>
            <w:r>
              <w:rPr>
                <w:rFonts w:ascii="Calibri" w:hAnsi="Calibri"/>
                <w:b w:val="0"/>
                <w:sz w:val="14"/>
              </w:rPr>
              <w:t>Zero</w:t>
            </w:r>
          </w:p>
        </w:tc>
        <w:tc>
          <w:tcPr>
            <w:tcW w:type="dxa" w:w="680"/>
          </w:tcPr>
          <w:p>
            <w:pPr>
              <w:spacing w:after="20" w:before="20" w:line="240" w:lineRule="auto"/>
              <w:jc w:val="center"/>
            </w:pPr>
            <w:r/>
            <w:r>
              <w:rPr>
                <w:rFonts w:ascii="Calibri" w:hAnsi="Calibri"/>
                <w:b w:val="0"/>
                <w:sz w:val="14"/>
              </w:rPr>
              <w:t>3, 5</w:t>
            </w:r>
          </w:p>
        </w:tc>
      </w:tr>
      <w:tr>
        <w:tc>
          <w:tcPr>
            <w:tcW w:type="dxa" w:w="737"/>
            <w:shd w:val="clear" w:fill="F7F9FB"/>
          </w:tcPr>
          <w:p>
            <w:pPr>
              <w:spacing w:after="20" w:before="20" w:line="240" w:lineRule="auto"/>
              <w:jc w:val="center"/>
            </w:pPr>
            <w:r/>
            <w:r>
              <w:rPr>
                <w:rFonts w:ascii="Calibri" w:hAnsi="Calibri"/>
                <w:b w:val="0"/>
                <w:sz w:val="14"/>
              </w:rPr>
              <w:t>KPI-22</w:t>
            </w:r>
          </w:p>
        </w:tc>
        <w:tc>
          <w:tcPr>
            <w:tcW w:type="dxa" w:w="1757"/>
            <w:shd w:val="clear" w:fill="F7F9FB"/>
          </w:tcPr>
          <w:p>
            <w:pPr>
              <w:spacing w:after="20" w:before="20" w:line="240" w:lineRule="auto"/>
            </w:pPr>
            <w:r/>
            <w:r>
              <w:rPr>
                <w:rFonts w:ascii="Calibri" w:hAnsi="Calibri"/>
                <w:b w:val="0"/>
                <w:sz w:val="14"/>
              </w:rPr>
              <w:t>Stock-out count</w:t>
            </w:r>
          </w:p>
        </w:tc>
        <w:tc>
          <w:tcPr>
            <w:tcW w:type="dxa" w:w="794"/>
            <w:shd w:val="clear" w:fill="F7F9FB"/>
          </w:tcPr>
          <w:p>
            <w:pPr>
              <w:spacing w:after="20" w:before="20" w:line="240" w:lineRule="auto"/>
              <w:jc w:val="center"/>
            </w:pPr>
            <w:r/>
            <w:r>
              <w:rPr>
                <w:rFonts w:ascii="Calibri" w:hAnsi="Calibri"/>
                <w:b w:val="0"/>
                <w:sz w:val="14"/>
              </w:rPr>
              <w:t>Count</w:t>
            </w:r>
          </w:p>
        </w:tc>
        <w:tc>
          <w:tcPr>
            <w:tcW w:type="dxa" w:w="2041"/>
            <w:shd w:val="clear" w:fill="F7F9FB"/>
          </w:tcPr>
          <w:p>
            <w:pPr>
              <w:spacing w:after="20" w:before="20" w:line="240" w:lineRule="auto"/>
            </w:pPr>
            <w:r/>
            <w:r>
              <w:rPr>
                <w:rFonts w:ascii="Calibri" w:hAnsi="Calibri"/>
                <w:b w:val="0"/>
                <w:sz w:val="14"/>
              </w:rPr>
              <w:t>Number of item-project-months where demand could not be met.</w:t>
            </w:r>
          </w:p>
        </w:tc>
        <w:tc>
          <w:tcPr>
            <w:tcW w:type="dxa" w:w="2494"/>
            <w:shd w:val="clear" w:fill="F7F9FB"/>
          </w:tcPr>
          <w:p>
            <w:pPr>
              <w:spacing w:after="20" w:before="20" w:line="240" w:lineRule="auto"/>
            </w:pPr>
            <w:r/>
            <w:r>
              <w:rPr>
                <w:rFonts w:ascii="Calibri" w:hAnsi="Calibri"/>
                <w:b w:val="0"/>
                <w:sz w:val="14"/>
              </w:rPr>
              <w:t>Count of instances where requisitioned quantity could not be issued due to nil stock.</w:t>
            </w:r>
          </w:p>
        </w:tc>
        <w:tc>
          <w:tcPr>
            <w:tcW w:type="dxa" w:w="794"/>
            <w:shd w:val="clear" w:fill="F7F9FB"/>
          </w:tcPr>
          <w:p>
            <w:pPr>
              <w:spacing w:after="20" w:before="20" w:line="240" w:lineRule="auto"/>
              <w:jc w:val="center"/>
            </w:pPr>
            <w:r/>
            <w:r>
              <w:rPr>
                <w:rFonts w:ascii="Calibri" w:hAnsi="Calibri"/>
                <w:b w:val="0"/>
                <w:sz w:val="14"/>
              </w:rPr>
              <w:t>Item / project</w:t>
            </w:r>
          </w:p>
        </w:tc>
        <w:tc>
          <w:tcPr>
            <w:tcW w:type="dxa" w:w="907"/>
            <w:shd w:val="clear" w:fill="F7F9FB"/>
          </w:tcPr>
          <w:p>
            <w:pPr>
              <w:spacing w:after="20" w:before="20" w:line="240" w:lineRule="auto"/>
            </w:pPr>
            <w:r/>
            <w:r>
              <w:rPr>
                <w:rFonts w:ascii="Calibri" w:hAnsi="Calibri"/>
                <w:b w:val="0"/>
                <w:sz w:val="14"/>
              </w:rPr>
              <w:t>Item / project / month</w:t>
            </w:r>
          </w:p>
        </w:tc>
        <w:tc>
          <w:tcPr>
            <w:tcW w:type="dxa" w:w="964"/>
            <w:shd w:val="clear" w:fill="F7F9FB"/>
          </w:tcPr>
          <w:p>
            <w:pPr>
              <w:spacing w:after="20" w:before="20" w:line="240" w:lineRule="auto"/>
              <w:jc w:val="center"/>
            </w:pPr>
            <w:r/>
            <w:r>
              <w:rPr>
                <w:rFonts w:ascii="Calibri" w:hAnsi="Calibri"/>
                <w:b w:val="0"/>
                <w:sz w:val="14"/>
              </w:rPr>
              <w:t>Minimise</w:t>
            </w:r>
          </w:p>
        </w:tc>
        <w:tc>
          <w:tcPr>
            <w:tcW w:type="dxa" w:w="680"/>
            <w:shd w:val="clear" w:fill="F7F9FB"/>
          </w:tcPr>
          <w:p>
            <w:pPr>
              <w:spacing w:after="20" w:before="20" w:line="240" w:lineRule="auto"/>
              <w:jc w:val="center"/>
            </w:pPr>
            <w:r/>
            <w:r>
              <w:rPr>
                <w:rFonts w:ascii="Calibri" w:hAnsi="Calibri"/>
                <w:b w:val="0"/>
                <w:sz w:val="14"/>
              </w:rPr>
              <w:t>3</w:t>
            </w:r>
          </w:p>
        </w:tc>
      </w:tr>
      <w:tr>
        <w:tc>
          <w:tcPr>
            <w:tcW w:type="dxa" w:w="737"/>
          </w:tcPr>
          <w:p>
            <w:pPr>
              <w:spacing w:after="20" w:before="20" w:line="240" w:lineRule="auto"/>
              <w:jc w:val="center"/>
            </w:pPr>
            <w:r/>
            <w:r>
              <w:rPr>
                <w:rFonts w:ascii="Calibri" w:hAnsi="Calibri"/>
                <w:b w:val="0"/>
                <w:sz w:val="14"/>
              </w:rPr>
              <w:t>KPI-23</w:t>
            </w:r>
          </w:p>
        </w:tc>
        <w:tc>
          <w:tcPr>
            <w:tcW w:type="dxa" w:w="1757"/>
          </w:tcPr>
          <w:p>
            <w:pPr>
              <w:spacing w:after="20" w:before="20" w:line="240" w:lineRule="auto"/>
            </w:pPr>
            <w:r/>
            <w:r>
              <w:rPr>
                <w:rFonts w:ascii="Calibri" w:hAnsi="Calibri"/>
                <w:b w:val="0"/>
                <w:sz w:val="14"/>
              </w:rPr>
              <w:t>Average unit purchase price</w:t>
            </w:r>
          </w:p>
        </w:tc>
        <w:tc>
          <w:tcPr>
            <w:tcW w:type="dxa" w:w="794"/>
          </w:tcPr>
          <w:p>
            <w:pPr>
              <w:spacing w:after="20" w:before="20" w:line="240" w:lineRule="auto"/>
              <w:jc w:val="center"/>
            </w:pPr>
            <w:r/>
            <w:r>
              <w:rPr>
                <w:rFonts w:ascii="Calibri" w:hAnsi="Calibri"/>
                <w:b w:val="0"/>
                <w:sz w:val="14"/>
              </w:rPr>
              <w:t>PKR</w:t>
            </w:r>
          </w:p>
        </w:tc>
        <w:tc>
          <w:tcPr>
            <w:tcW w:type="dxa" w:w="2041"/>
          </w:tcPr>
          <w:p>
            <w:pPr>
              <w:spacing w:after="20" w:before="20" w:line="240" w:lineRule="auto"/>
            </w:pPr>
            <w:r/>
            <w:r>
              <w:rPr>
                <w:rFonts w:ascii="Calibri" w:hAnsi="Calibri"/>
                <w:b w:val="0"/>
                <w:sz w:val="14"/>
              </w:rPr>
              <w:t>Weighted average purchase price for an item in a period.</w:t>
            </w:r>
          </w:p>
        </w:tc>
        <w:tc>
          <w:tcPr>
            <w:tcW w:type="dxa" w:w="2494"/>
          </w:tcPr>
          <w:p>
            <w:pPr>
              <w:spacing w:after="20" w:before="20" w:line="240" w:lineRule="auto"/>
            </w:pPr>
            <w:r/>
            <w:r>
              <w:rPr>
                <w:rFonts w:ascii="Calibri" w:hAnsi="Calibri"/>
                <w:b w:val="0"/>
                <w:sz w:val="14"/>
              </w:rPr>
              <w:t>Σ purchase line value ÷ Σ quantity purchased; excludes zero-value and donated lines.</w:t>
            </w:r>
          </w:p>
        </w:tc>
        <w:tc>
          <w:tcPr>
            <w:tcW w:type="dxa" w:w="794"/>
          </w:tcPr>
          <w:p>
            <w:pPr>
              <w:spacing w:after="20" w:before="20" w:line="240" w:lineRule="auto"/>
              <w:jc w:val="center"/>
            </w:pPr>
            <w:r/>
            <w:r>
              <w:rPr>
                <w:rFonts w:ascii="Calibri" w:hAnsi="Calibri"/>
                <w:b w:val="0"/>
                <w:sz w:val="14"/>
              </w:rPr>
              <w:t>Item / supplier</w:t>
            </w:r>
          </w:p>
        </w:tc>
        <w:tc>
          <w:tcPr>
            <w:tcW w:type="dxa" w:w="907"/>
          </w:tcPr>
          <w:p>
            <w:pPr>
              <w:spacing w:after="20" w:before="20" w:line="240" w:lineRule="auto"/>
            </w:pPr>
            <w:r/>
            <w:r>
              <w:rPr>
                <w:rFonts w:ascii="Calibri" w:hAnsi="Calibri"/>
                <w:b w:val="0"/>
                <w:sz w:val="14"/>
              </w:rPr>
              <w:t>Item / month</w:t>
            </w:r>
          </w:p>
        </w:tc>
        <w:tc>
          <w:tcPr>
            <w:tcW w:type="dxa" w:w="964"/>
          </w:tcPr>
          <w:p>
            <w:pPr>
              <w:spacing w:after="20" w:before="20" w:line="240" w:lineRule="auto"/>
              <w:jc w:val="center"/>
            </w:pPr>
            <w:r/>
            <w:r>
              <w:rPr>
                <w:rFonts w:ascii="Calibri" w:hAnsi="Calibri"/>
                <w:b w:val="0"/>
                <w:sz w:val="14"/>
              </w:rPr>
              <w:t>Monitor</w:t>
            </w:r>
          </w:p>
        </w:tc>
        <w:tc>
          <w:tcPr>
            <w:tcW w:type="dxa" w:w="680"/>
          </w:tcPr>
          <w:p>
            <w:pPr>
              <w:spacing w:after="20" w:before="20" w:line="240" w:lineRule="auto"/>
              <w:jc w:val="center"/>
            </w:pPr>
            <w:r/>
            <w:r>
              <w:rPr>
                <w:rFonts w:ascii="Calibri" w:hAnsi="Calibri"/>
                <w:b w:val="0"/>
                <w:sz w:val="14"/>
              </w:rPr>
              <w:t>3</w:t>
            </w:r>
          </w:p>
        </w:tc>
      </w:tr>
      <w:tr>
        <w:tc>
          <w:tcPr>
            <w:tcW w:type="dxa" w:w="737"/>
            <w:shd w:val="clear" w:fill="F7F9FB"/>
          </w:tcPr>
          <w:p>
            <w:pPr>
              <w:spacing w:after="20" w:before="20" w:line="240" w:lineRule="auto"/>
              <w:jc w:val="center"/>
            </w:pPr>
            <w:r/>
            <w:r>
              <w:rPr>
                <w:rFonts w:ascii="Calibri" w:hAnsi="Calibri"/>
                <w:b w:val="0"/>
                <w:sz w:val="14"/>
              </w:rPr>
              <w:t>KPI-24</w:t>
            </w:r>
          </w:p>
        </w:tc>
        <w:tc>
          <w:tcPr>
            <w:tcW w:type="dxa" w:w="1757"/>
            <w:shd w:val="clear" w:fill="F7F9FB"/>
          </w:tcPr>
          <w:p>
            <w:pPr>
              <w:spacing w:after="20" w:before="20" w:line="240" w:lineRule="auto"/>
            </w:pPr>
            <w:r/>
            <w:r>
              <w:rPr>
                <w:rFonts w:ascii="Calibri" w:hAnsi="Calibri"/>
                <w:b w:val="0"/>
                <w:sz w:val="14"/>
              </w:rPr>
              <w:t>Price variance</w:t>
            </w:r>
          </w:p>
        </w:tc>
        <w:tc>
          <w:tcPr>
            <w:tcW w:type="dxa" w:w="794"/>
            <w:shd w:val="clear" w:fill="F7F9FB"/>
          </w:tcPr>
          <w:p>
            <w:pPr>
              <w:spacing w:after="20" w:before="20" w:line="240" w:lineRule="auto"/>
              <w:jc w:val="center"/>
            </w:pPr>
            <w:r/>
            <w:r>
              <w:rPr>
                <w:rFonts w:ascii="Calibri" w:hAnsi="Calibri"/>
                <w:b w:val="0"/>
                <w:sz w:val="14"/>
              </w:rPr>
              <w:t>%</w:t>
            </w:r>
          </w:p>
        </w:tc>
        <w:tc>
          <w:tcPr>
            <w:tcW w:type="dxa" w:w="2041"/>
            <w:shd w:val="clear" w:fill="F7F9FB"/>
          </w:tcPr>
          <w:p>
            <w:pPr>
              <w:spacing w:after="20" w:before="20" w:line="240" w:lineRule="auto"/>
            </w:pPr>
            <w:r/>
            <w:r>
              <w:rPr>
                <w:rFonts w:ascii="Calibri" w:hAnsi="Calibri"/>
                <w:b w:val="0"/>
                <w:sz w:val="14"/>
              </w:rPr>
              <w:t>Movement in unit price against the previous purchase or standard cost.</w:t>
            </w:r>
          </w:p>
        </w:tc>
        <w:tc>
          <w:tcPr>
            <w:tcW w:type="dxa" w:w="2494"/>
            <w:shd w:val="clear" w:fill="F7F9FB"/>
          </w:tcPr>
          <w:p>
            <w:pPr>
              <w:spacing w:after="20" w:before="20" w:line="240" w:lineRule="auto"/>
            </w:pPr>
            <w:r/>
            <w:r>
              <w:rPr>
                <w:rFonts w:ascii="Calibri" w:hAnsi="Calibri"/>
                <w:b w:val="0"/>
                <w:sz w:val="14"/>
              </w:rPr>
              <w:t>(Current unit price − comparison price) ÷ comparison price × 100.</w:t>
            </w:r>
          </w:p>
        </w:tc>
        <w:tc>
          <w:tcPr>
            <w:tcW w:type="dxa" w:w="794"/>
            <w:shd w:val="clear" w:fill="F7F9FB"/>
          </w:tcPr>
          <w:p>
            <w:pPr>
              <w:spacing w:after="20" w:before="20" w:line="240" w:lineRule="auto"/>
              <w:jc w:val="center"/>
            </w:pPr>
            <w:r/>
            <w:r>
              <w:rPr>
                <w:rFonts w:ascii="Calibri" w:hAnsi="Calibri"/>
                <w:b w:val="0"/>
                <w:sz w:val="14"/>
              </w:rPr>
              <w:t>Item</w:t>
            </w:r>
          </w:p>
        </w:tc>
        <w:tc>
          <w:tcPr>
            <w:tcW w:type="dxa" w:w="907"/>
            <w:shd w:val="clear" w:fill="F7F9FB"/>
          </w:tcPr>
          <w:p>
            <w:pPr>
              <w:spacing w:after="20" w:before="20" w:line="240" w:lineRule="auto"/>
            </w:pPr>
            <w:r/>
            <w:r>
              <w:rPr>
                <w:rFonts w:ascii="Calibri" w:hAnsi="Calibri"/>
                <w:b w:val="0"/>
                <w:sz w:val="14"/>
              </w:rPr>
              <w:t>Item / period</w:t>
            </w:r>
          </w:p>
        </w:tc>
        <w:tc>
          <w:tcPr>
            <w:tcW w:type="dxa" w:w="964"/>
            <w:shd w:val="clear" w:fill="F7F9FB"/>
          </w:tcPr>
          <w:p>
            <w:pPr>
              <w:spacing w:after="20" w:before="20" w:line="240" w:lineRule="auto"/>
              <w:jc w:val="center"/>
            </w:pPr>
            <w:r/>
            <w:r>
              <w:rPr>
                <w:rFonts w:ascii="Calibri" w:hAnsi="Calibri"/>
                <w:b w:val="0"/>
                <w:sz w:val="14"/>
              </w:rPr>
              <w:t>Investigate &gt; ±10%</w:t>
            </w:r>
          </w:p>
        </w:tc>
        <w:tc>
          <w:tcPr>
            <w:tcW w:type="dxa" w:w="680"/>
            <w:shd w:val="clear" w:fill="F7F9FB"/>
          </w:tcPr>
          <w:p>
            <w:pPr>
              <w:spacing w:after="20" w:before="20" w:line="240" w:lineRule="auto"/>
              <w:jc w:val="center"/>
            </w:pPr>
            <w:r/>
            <w:r>
              <w:rPr>
                <w:rFonts w:ascii="Calibri" w:hAnsi="Calibri"/>
                <w:b w:val="0"/>
                <w:sz w:val="14"/>
              </w:rPr>
              <w:t>3</w:t>
            </w:r>
          </w:p>
        </w:tc>
      </w:tr>
      <w:tr>
        <w:tc>
          <w:tcPr>
            <w:tcW w:type="dxa" w:w="737"/>
          </w:tcPr>
          <w:p>
            <w:pPr>
              <w:spacing w:after="20" w:before="20" w:line="240" w:lineRule="auto"/>
              <w:jc w:val="center"/>
            </w:pPr>
            <w:r/>
            <w:r>
              <w:rPr>
                <w:rFonts w:ascii="Calibri" w:hAnsi="Calibri"/>
                <w:b w:val="0"/>
                <w:sz w:val="14"/>
              </w:rPr>
              <w:t>KPI-25</w:t>
            </w:r>
          </w:p>
        </w:tc>
        <w:tc>
          <w:tcPr>
            <w:tcW w:type="dxa" w:w="1757"/>
          </w:tcPr>
          <w:p>
            <w:pPr>
              <w:spacing w:after="20" w:before="20" w:line="240" w:lineRule="auto"/>
            </w:pPr>
            <w:r/>
            <w:r>
              <w:rPr>
                <w:rFonts w:ascii="Calibri" w:hAnsi="Calibri"/>
                <w:b w:val="0"/>
                <w:sz w:val="14"/>
              </w:rPr>
              <w:t>Supplier lead time</w:t>
            </w:r>
          </w:p>
        </w:tc>
        <w:tc>
          <w:tcPr>
            <w:tcW w:type="dxa" w:w="794"/>
          </w:tcPr>
          <w:p>
            <w:pPr>
              <w:spacing w:after="20" w:before="20" w:line="240" w:lineRule="auto"/>
              <w:jc w:val="center"/>
            </w:pPr>
            <w:r/>
            <w:r>
              <w:rPr>
                <w:rFonts w:ascii="Calibri" w:hAnsi="Calibri"/>
                <w:b w:val="0"/>
                <w:sz w:val="14"/>
              </w:rPr>
              <w:t>Days</w:t>
            </w:r>
          </w:p>
        </w:tc>
        <w:tc>
          <w:tcPr>
            <w:tcW w:type="dxa" w:w="2041"/>
          </w:tcPr>
          <w:p>
            <w:pPr>
              <w:spacing w:after="20" w:before="20" w:line="240" w:lineRule="auto"/>
            </w:pPr>
            <w:r/>
            <w:r>
              <w:rPr>
                <w:rFonts w:ascii="Calibri" w:hAnsi="Calibri"/>
                <w:b w:val="0"/>
                <w:sz w:val="14"/>
              </w:rPr>
              <w:t>Average elapsed time from PO to receipt.</w:t>
            </w:r>
          </w:p>
        </w:tc>
        <w:tc>
          <w:tcPr>
            <w:tcW w:type="dxa" w:w="2494"/>
          </w:tcPr>
          <w:p>
            <w:pPr>
              <w:spacing w:after="20" w:before="20" w:line="240" w:lineRule="auto"/>
            </w:pPr>
            <w:r/>
            <w:r>
              <w:rPr>
                <w:rFonts w:ascii="Calibri" w:hAnsi="Calibri"/>
                <w:b w:val="0"/>
                <w:sz w:val="14"/>
              </w:rPr>
              <w:t>Average of (GRN date − PO date) for fully received orders.</w:t>
            </w:r>
          </w:p>
        </w:tc>
        <w:tc>
          <w:tcPr>
            <w:tcW w:type="dxa" w:w="794"/>
          </w:tcPr>
          <w:p>
            <w:pPr>
              <w:spacing w:after="20" w:before="20" w:line="240" w:lineRule="auto"/>
              <w:jc w:val="center"/>
            </w:pPr>
            <w:r/>
            <w:r>
              <w:rPr>
                <w:rFonts w:ascii="Calibri" w:hAnsi="Calibri"/>
                <w:b w:val="0"/>
                <w:sz w:val="14"/>
              </w:rPr>
              <w:t>Supplier</w:t>
            </w:r>
          </w:p>
        </w:tc>
        <w:tc>
          <w:tcPr>
            <w:tcW w:type="dxa" w:w="907"/>
          </w:tcPr>
          <w:p>
            <w:pPr>
              <w:spacing w:after="20" w:before="20" w:line="240" w:lineRule="auto"/>
            </w:pPr>
            <w:r/>
            <w:r>
              <w:rPr>
                <w:rFonts w:ascii="Calibri" w:hAnsi="Calibri"/>
                <w:b w:val="0"/>
                <w:sz w:val="14"/>
              </w:rPr>
              <w:t>Supplier / period</w:t>
            </w:r>
          </w:p>
        </w:tc>
        <w:tc>
          <w:tcPr>
            <w:tcW w:type="dxa" w:w="964"/>
          </w:tcPr>
          <w:p>
            <w:pPr>
              <w:spacing w:after="20" w:before="20" w:line="240" w:lineRule="auto"/>
              <w:jc w:val="center"/>
            </w:pPr>
            <w:r/>
            <w:r>
              <w:rPr>
                <w:rFonts w:ascii="Calibri" w:hAnsi="Calibri"/>
                <w:b w:val="0"/>
                <w:sz w:val="14"/>
              </w:rPr>
              <w:t>Within agreed terms</w:t>
            </w:r>
          </w:p>
        </w:tc>
        <w:tc>
          <w:tcPr>
            <w:tcW w:type="dxa" w:w="680"/>
          </w:tcPr>
          <w:p>
            <w:pPr>
              <w:spacing w:after="20" w:before="20" w:line="240" w:lineRule="auto"/>
              <w:jc w:val="center"/>
            </w:pPr>
            <w:r/>
            <w:r>
              <w:rPr>
                <w:rFonts w:ascii="Calibri" w:hAnsi="Calibri"/>
                <w:b w:val="0"/>
                <w:sz w:val="14"/>
              </w:rPr>
              <w:t>3</w:t>
            </w:r>
          </w:p>
        </w:tc>
      </w:tr>
      <w:tr>
        <w:tc>
          <w:tcPr>
            <w:tcW w:type="dxa" w:w="737"/>
            <w:shd w:val="clear" w:fill="F7F9FB"/>
          </w:tcPr>
          <w:p>
            <w:pPr>
              <w:spacing w:after="20" w:before="20" w:line="240" w:lineRule="auto"/>
              <w:jc w:val="center"/>
            </w:pPr>
            <w:r/>
            <w:r>
              <w:rPr>
                <w:rFonts w:ascii="Calibri" w:hAnsi="Calibri"/>
                <w:b w:val="0"/>
                <w:sz w:val="14"/>
              </w:rPr>
              <w:t>KPI-26</w:t>
            </w:r>
          </w:p>
        </w:tc>
        <w:tc>
          <w:tcPr>
            <w:tcW w:type="dxa" w:w="1757"/>
            <w:shd w:val="clear" w:fill="F7F9FB"/>
          </w:tcPr>
          <w:p>
            <w:pPr>
              <w:spacing w:after="20" w:before="20" w:line="240" w:lineRule="auto"/>
            </w:pPr>
            <w:r/>
            <w:r>
              <w:rPr>
                <w:rFonts w:ascii="Calibri" w:hAnsi="Calibri"/>
                <w:b w:val="0"/>
                <w:sz w:val="14"/>
              </w:rPr>
              <w:t>Order fulfilment rate</w:t>
            </w:r>
          </w:p>
        </w:tc>
        <w:tc>
          <w:tcPr>
            <w:tcW w:type="dxa" w:w="794"/>
            <w:shd w:val="clear" w:fill="F7F9FB"/>
          </w:tcPr>
          <w:p>
            <w:pPr>
              <w:spacing w:after="20" w:before="20" w:line="240" w:lineRule="auto"/>
              <w:jc w:val="center"/>
            </w:pPr>
            <w:r/>
            <w:r>
              <w:rPr>
                <w:rFonts w:ascii="Calibri" w:hAnsi="Calibri"/>
                <w:b w:val="0"/>
                <w:sz w:val="14"/>
              </w:rPr>
              <w:t>%</w:t>
            </w:r>
          </w:p>
        </w:tc>
        <w:tc>
          <w:tcPr>
            <w:tcW w:type="dxa" w:w="2041"/>
            <w:shd w:val="clear" w:fill="F7F9FB"/>
          </w:tcPr>
          <w:p>
            <w:pPr>
              <w:spacing w:after="20" w:before="20" w:line="240" w:lineRule="auto"/>
            </w:pPr>
            <w:r/>
            <w:r>
              <w:rPr>
                <w:rFonts w:ascii="Calibri" w:hAnsi="Calibri"/>
                <w:b w:val="0"/>
                <w:sz w:val="14"/>
              </w:rPr>
              <w:t>Share of order lines received in full within the agreed lead time.</w:t>
            </w:r>
          </w:p>
        </w:tc>
        <w:tc>
          <w:tcPr>
            <w:tcW w:type="dxa" w:w="2494"/>
            <w:shd w:val="clear" w:fill="F7F9FB"/>
          </w:tcPr>
          <w:p>
            <w:pPr>
              <w:spacing w:after="20" w:before="20" w:line="240" w:lineRule="auto"/>
            </w:pPr>
            <w:r/>
            <w:r>
              <w:rPr>
                <w:rFonts w:ascii="Calibri" w:hAnsi="Calibri"/>
                <w:b w:val="0"/>
                <w:sz w:val="14"/>
              </w:rPr>
              <w:t>Lines received in full and on time ÷ total order lines × 100.</w:t>
            </w:r>
          </w:p>
        </w:tc>
        <w:tc>
          <w:tcPr>
            <w:tcW w:type="dxa" w:w="794"/>
            <w:shd w:val="clear" w:fill="F7F9FB"/>
          </w:tcPr>
          <w:p>
            <w:pPr>
              <w:spacing w:after="20" w:before="20" w:line="240" w:lineRule="auto"/>
              <w:jc w:val="center"/>
            </w:pPr>
            <w:r/>
            <w:r>
              <w:rPr>
                <w:rFonts w:ascii="Calibri" w:hAnsi="Calibri"/>
                <w:b w:val="0"/>
                <w:sz w:val="14"/>
              </w:rPr>
              <w:t>Supplier</w:t>
            </w:r>
          </w:p>
        </w:tc>
        <w:tc>
          <w:tcPr>
            <w:tcW w:type="dxa" w:w="907"/>
            <w:shd w:val="clear" w:fill="F7F9FB"/>
          </w:tcPr>
          <w:p>
            <w:pPr>
              <w:spacing w:after="20" w:before="20" w:line="240" w:lineRule="auto"/>
            </w:pPr>
            <w:r/>
            <w:r>
              <w:rPr>
                <w:rFonts w:ascii="Calibri" w:hAnsi="Calibri"/>
                <w:b w:val="0"/>
                <w:sz w:val="14"/>
              </w:rPr>
              <w:t>Supplier / period</w:t>
            </w:r>
          </w:p>
        </w:tc>
        <w:tc>
          <w:tcPr>
            <w:tcW w:type="dxa" w:w="964"/>
            <w:shd w:val="clear" w:fill="F7F9FB"/>
          </w:tcPr>
          <w:p>
            <w:pPr>
              <w:spacing w:after="20" w:before="20" w:line="240" w:lineRule="auto"/>
              <w:jc w:val="center"/>
            </w:pPr>
            <w:r/>
            <w:r>
              <w:rPr>
                <w:rFonts w:ascii="Calibri" w:hAnsi="Calibri"/>
                <w:b w:val="0"/>
                <w:sz w:val="14"/>
              </w:rPr>
              <w:t>≥ 90%</w:t>
            </w:r>
          </w:p>
        </w:tc>
        <w:tc>
          <w:tcPr>
            <w:tcW w:type="dxa" w:w="680"/>
            <w:shd w:val="clear" w:fill="F7F9FB"/>
          </w:tcPr>
          <w:p>
            <w:pPr>
              <w:spacing w:after="20" w:before="20" w:line="240" w:lineRule="auto"/>
              <w:jc w:val="center"/>
            </w:pPr>
            <w:r/>
            <w:r>
              <w:rPr>
                <w:rFonts w:ascii="Calibri" w:hAnsi="Calibri"/>
                <w:b w:val="0"/>
                <w:sz w:val="14"/>
              </w:rPr>
              <w:t>3</w:t>
            </w:r>
          </w:p>
        </w:tc>
      </w:tr>
      <w:tr>
        <w:tc>
          <w:tcPr>
            <w:tcW w:type="dxa" w:w="737"/>
          </w:tcPr>
          <w:p>
            <w:pPr>
              <w:spacing w:after="20" w:before="20" w:line="240" w:lineRule="auto"/>
              <w:jc w:val="center"/>
            </w:pPr>
            <w:r/>
            <w:r>
              <w:rPr>
                <w:rFonts w:ascii="Calibri" w:hAnsi="Calibri"/>
                <w:b w:val="0"/>
                <w:sz w:val="14"/>
              </w:rPr>
              <w:t>KPI-27</w:t>
            </w:r>
          </w:p>
        </w:tc>
        <w:tc>
          <w:tcPr>
            <w:tcW w:type="dxa" w:w="1757"/>
          </w:tcPr>
          <w:p>
            <w:pPr>
              <w:spacing w:after="20" w:before="20" w:line="240" w:lineRule="auto"/>
            </w:pPr>
            <w:r/>
            <w:r>
              <w:rPr>
                <w:rFonts w:ascii="Calibri" w:hAnsi="Calibri"/>
                <w:b w:val="0"/>
                <w:sz w:val="14"/>
              </w:rPr>
              <w:t>Unattributed consumption</w:t>
            </w:r>
          </w:p>
        </w:tc>
        <w:tc>
          <w:tcPr>
            <w:tcW w:type="dxa" w:w="794"/>
          </w:tcPr>
          <w:p>
            <w:pPr>
              <w:spacing w:after="20" w:before="20" w:line="240" w:lineRule="auto"/>
              <w:jc w:val="center"/>
            </w:pPr>
            <w:r/>
            <w:r>
              <w:rPr>
                <w:rFonts w:ascii="Calibri" w:hAnsi="Calibri"/>
                <w:b w:val="0"/>
                <w:sz w:val="14"/>
              </w:rPr>
              <w:t>PKR and %</w:t>
            </w:r>
          </w:p>
        </w:tc>
        <w:tc>
          <w:tcPr>
            <w:tcW w:type="dxa" w:w="2041"/>
          </w:tcPr>
          <w:p>
            <w:pPr>
              <w:spacing w:after="20" w:before="20" w:line="240" w:lineRule="auto"/>
            </w:pPr>
            <w:r/>
            <w:r>
              <w:rPr>
                <w:rFonts w:ascii="Calibri" w:hAnsi="Calibri"/>
                <w:b w:val="0"/>
                <w:sz w:val="14"/>
              </w:rPr>
              <w:t>Consumption not charged to a valid project.</w:t>
            </w:r>
          </w:p>
        </w:tc>
        <w:tc>
          <w:tcPr>
            <w:tcW w:type="dxa" w:w="2494"/>
          </w:tcPr>
          <w:p>
            <w:pPr>
              <w:spacing w:after="20" w:before="20" w:line="240" w:lineRule="auto"/>
            </w:pPr>
            <w:r/>
            <w:r>
              <w:rPr>
                <w:rFonts w:ascii="Calibri" w:hAnsi="Calibri"/>
                <w:b w:val="0"/>
                <w:sz w:val="14"/>
              </w:rPr>
              <w:t>Consumption value on issues charged to generic or invalid codes ÷ total consumption value × 100.</w:t>
            </w:r>
          </w:p>
        </w:tc>
        <w:tc>
          <w:tcPr>
            <w:tcW w:type="dxa" w:w="794"/>
          </w:tcPr>
          <w:p>
            <w:pPr>
              <w:spacing w:after="20" w:before="20" w:line="240" w:lineRule="auto"/>
              <w:jc w:val="center"/>
            </w:pPr>
            <w:r/>
            <w:r>
              <w:rPr>
                <w:rFonts w:ascii="Calibri" w:hAnsi="Calibri"/>
                <w:b w:val="0"/>
                <w:sz w:val="14"/>
              </w:rPr>
              <w:t>Issue line</w:t>
            </w:r>
          </w:p>
        </w:tc>
        <w:tc>
          <w:tcPr>
            <w:tcW w:type="dxa" w:w="907"/>
          </w:tcPr>
          <w:p>
            <w:pPr>
              <w:spacing w:after="20" w:before="20" w:line="240" w:lineRule="auto"/>
            </w:pPr>
            <w:r/>
            <w:r>
              <w:rPr>
                <w:rFonts w:ascii="Calibri" w:hAnsi="Calibri"/>
                <w:b w:val="0"/>
                <w:sz w:val="14"/>
              </w:rPr>
              <w:t>Month</w:t>
            </w:r>
          </w:p>
        </w:tc>
        <w:tc>
          <w:tcPr>
            <w:tcW w:type="dxa" w:w="964"/>
          </w:tcPr>
          <w:p>
            <w:pPr>
              <w:spacing w:after="20" w:before="20" w:line="240" w:lineRule="auto"/>
              <w:jc w:val="center"/>
            </w:pPr>
            <w:r/>
            <w:r>
              <w:rPr>
                <w:rFonts w:ascii="Calibri" w:hAnsi="Calibri"/>
                <w:b w:val="0"/>
                <w:sz w:val="14"/>
              </w:rPr>
              <w:t>&lt; 1%</w:t>
            </w:r>
          </w:p>
        </w:tc>
        <w:tc>
          <w:tcPr>
            <w:tcW w:type="dxa" w:w="680"/>
          </w:tcPr>
          <w:p>
            <w:pPr>
              <w:spacing w:after="20" w:before="20" w:line="240" w:lineRule="auto"/>
              <w:jc w:val="center"/>
            </w:pPr>
            <w:r/>
            <w:r>
              <w:rPr>
                <w:rFonts w:ascii="Calibri" w:hAnsi="Calibri"/>
                <w:b w:val="0"/>
                <w:sz w:val="14"/>
              </w:rPr>
              <w:t>1, 5</w:t>
            </w:r>
          </w:p>
        </w:tc>
      </w:tr>
      <w:tr>
        <w:tc>
          <w:tcPr>
            <w:tcW w:type="dxa" w:w="737"/>
            <w:shd w:val="clear" w:fill="F7F9FB"/>
          </w:tcPr>
          <w:p>
            <w:pPr>
              <w:spacing w:after="20" w:before="20" w:line="240" w:lineRule="auto"/>
              <w:jc w:val="center"/>
            </w:pPr>
            <w:r/>
            <w:r>
              <w:rPr>
                <w:rFonts w:ascii="Calibri" w:hAnsi="Calibri"/>
                <w:b w:val="0"/>
                <w:sz w:val="14"/>
              </w:rPr>
              <w:t>KPI-28</w:t>
            </w:r>
          </w:p>
        </w:tc>
        <w:tc>
          <w:tcPr>
            <w:tcW w:type="dxa" w:w="1757"/>
            <w:shd w:val="clear" w:fill="F7F9FB"/>
          </w:tcPr>
          <w:p>
            <w:pPr>
              <w:spacing w:after="20" w:before="20" w:line="240" w:lineRule="auto"/>
            </w:pPr>
            <w:r/>
            <w:r>
              <w:rPr>
                <w:rFonts w:ascii="Calibri" w:hAnsi="Calibri"/>
                <w:b w:val="0"/>
                <w:sz w:val="14"/>
              </w:rPr>
              <w:t>Consumption concentration</w:t>
            </w:r>
          </w:p>
        </w:tc>
        <w:tc>
          <w:tcPr>
            <w:tcW w:type="dxa" w:w="794"/>
            <w:shd w:val="clear" w:fill="F7F9FB"/>
          </w:tcPr>
          <w:p>
            <w:pPr>
              <w:spacing w:after="20" w:before="20" w:line="240" w:lineRule="auto"/>
              <w:jc w:val="center"/>
            </w:pPr>
            <w:r/>
            <w:r>
              <w:rPr>
                <w:rFonts w:ascii="Calibri" w:hAnsi="Calibri"/>
                <w:b w:val="0"/>
                <w:sz w:val="14"/>
              </w:rPr>
              <w:t>%</w:t>
            </w:r>
          </w:p>
        </w:tc>
        <w:tc>
          <w:tcPr>
            <w:tcW w:type="dxa" w:w="2041"/>
            <w:shd w:val="clear" w:fill="F7F9FB"/>
          </w:tcPr>
          <w:p>
            <w:pPr>
              <w:spacing w:after="20" w:before="20" w:line="240" w:lineRule="auto"/>
            </w:pPr>
            <w:r/>
            <w:r>
              <w:rPr>
                <w:rFonts w:ascii="Calibri" w:hAnsi="Calibri"/>
                <w:b w:val="0"/>
                <w:sz w:val="14"/>
              </w:rPr>
              <w:t>Share of consumption value held by the top items.</w:t>
            </w:r>
          </w:p>
        </w:tc>
        <w:tc>
          <w:tcPr>
            <w:tcW w:type="dxa" w:w="2494"/>
            <w:shd w:val="clear" w:fill="F7F9FB"/>
          </w:tcPr>
          <w:p>
            <w:pPr>
              <w:spacing w:after="20" w:before="20" w:line="240" w:lineRule="auto"/>
            </w:pPr>
            <w:r/>
            <w:r>
              <w:rPr>
                <w:rFonts w:ascii="Calibri" w:hAnsi="Calibri"/>
                <w:b w:val="0"/>
                <w:sz w:val="14"/>
              </w:rPr>
              <w:t>Value of top 10 items ÷ total consumption value × 100.</w:t>
            </w:r>
          </w:p>
        </w:tc>
        <w:tc>
          <w:tcPr>
            <w:tcW w:type="dxa" w:w="794"/>
            <w:shd w:val="clear" w:fill="F7F9FB"/>
          </w:tcPr>
          <w:p>
            <w:pPr>
              <w:spacing w:after="20" w:before="20" w:line="240" w:lineRule="auto"/>
              <w:jc w:val="center"/>
            </w:pPr>
            <w:r/>
            <w:r>
              <w:rPr>
                <w:rFonts w:ascii="Calibri" w:hAnsi="Calibri"/>
                <w:b w:val="0"/>
                <w:sz w:val="14"/>
              </w:rPr>
              <w:t>Item</w:t>
            </w:r>
          </w:p>
        </w:tc>
        <w:tc>
          <w:tcPr>
            <w:tcW w:type="dxa" w:w="907"/>
            <w:shd w:val="clear" w:fill="F7F9FB"/>
          </w:tcPr>
          <w:p>
            <w:pPr>
              <w:spacing w:after="20" w:before="20" w:line="240" w:lineRule="auto"/>
            </w:pPr>
            <w:r/>
            <w:r>
              <w:rPr>
                <w:rFonts w:ascii="Calibri" w:hAnsi="Calibri"/>
                <w:b w:val="0"/>
                <w:sz w:val="14"/>
              </w:rPr>
              <w:t>Period</w:t>
            </w:r>
          </w:p>
        </w:tc>
        <w:tc>
          <w:tcPr>
            <w:tcW w:type="dxa" w:w="964"/>
            <w:shd w:val="clear" w:fill="F7F9FB"/>
          </w:tcPr>
          <w:p>
            <w:pPr>
              <w:spacing w:after="20" w:before="20" w:line="240" w:lineRule="auto"/>
              <w:jc w:val="center"/>
            </w:pPr>
            <w:r/>
            <w:r>
              <w:rPr>
                <w:rFonts w:ascii="Calibri" w:hAnsi="Calibri"/>
                <w:b w:val="0"/>
                <w:sz w:val="14"/>
              </w:rPr>
              <w:t>Monitor</w:t>
            </w:r>
          </w:p>
        </w:tc>
        <w:tc>
          <w:tcPr>
            <w:tcW w:type="dxa" w:w="680"/>
            <w:shd w:val="clear" w:fill="F7F9FB"/>
          </w:tcPr>
          <w:p>
            <w:pPr>
              <w:spacing w:after="20" w:before="20" w:line="240" w:lineRule="auto"/>
              <w:jc w:val="center"/>
            </w:pPr>
            <w:r/>
            <w:r>
              <w:rPr>
                <w:rFonts w:ascii="Calibri" w:hAnsi="Calibri"/>
                <w:b w:val="0"/>
                <w:sz w:val="14"/>
              </w:rPr>
              <w:t>1, 3</w:t>
            </w:r>
          </w:p>
        </w:tc>
      </w:tr>
      <w:tr>
        <w:tc>
          <w:tcPr>
            <w:tcW w:type="dxa" w:w="737"/>
          </w:tcPr>
          <w:p>
            <w:pPr>
              <w:spacing w:after="20" w:before="20" w:line="240" w:lineRule="auto"/>
              <w:jc w:val="center"/>
            </w:pPr>
            <w:r/>
            <w:r>
              <w:rPr>
                <w:rFonts w:ascii="Calibri" w:hAnsi="Calibri"/>
                <w:b w:val="0"/>
                <w:sz w:val="14"/>
              </w:rPr>
              <w:t>KPI-29</w:t>
            </w:r>
          </w:p>
        </w:tc>
        <w:tc>
          <w:tcPr>
            <w:tcW w:type="dxa" w:w="1757"/>
          </w:tcPr>
          <w:p>
            <w:pPr>
              <w:spacing w:after="20" w:before="20" w:line="240" w:lineRule="auto"/>
            </w:pPr>
            <w:r/>
            <w:r>
              <w:rPr>
                <w:rFonts w:ascii="Calibri" w:hAnsi="Calibri"/>
                <w:b w:val="0"/>
                <w:sz w:val="14"/>
              </w:rPr>
              <w:t>Inter-store transfer value</w:t>
            </w:r>
          </w:p>
        </w:tc>
        <w:tc>
          <w:tcPr>
            <w:tcW w:type="dxa" w:w="794"/>
          </w:tcPr>
          <w:p>
            <w:pPr>
              <w:spacing w:after="20" w:before="20" w:line="240" w:lineRule="auto"/>
              <w:jc w:val="center"/>
            </w:pPr>
            <w:r/>
            <w:r>
              <w:rPr>
                <w:rFonts w:ascii="Calibri" w:hAnsi="Calibri"/>
                <w:b w:val="0"/>
                <w:sz w:val="14"/>
              </w:rPr>
              <w:t>PKR</w:t>
            </w:r>
          </w:p>
        </w:tc>
        <w:tc>
          <w:tcPr>
            <w:tcW w:type="dxa" w:w="2041"/>
          </w:tcPr>
          <w:p>
            <w:pPr>
              <w:spacing w:after="20" w:before="20" w:line="240" w:lineRule="auto"/>
            </w:pPr>
            <w:r/>
            <w:r>
              <w:rPr>
                <w:rFonts w:ascii="Calibri" w:hAnsi="Calibri"/>
                <w:b w:val="0"/>
                <w:sz w:val="14"/>
              </w:rPr>
              <w:t>Value of stock moved between VPT stores, excluded from consumption.</w:t>
            </w:r>
          </w:p>
        </w:tc>
        <w:tc>
          <w:tcPr>
            <w:tcW w:type="dxa" w:w="2494"/>
          </w:tcPr>
          <w:p>
            <w:pPr>
              <w:spacing w:after="20" w:before="20" w:line="240" w:lineRule="auto"/>
            </w:pPr>
            <w:r/>
            <w:r>
              <w:rPr>
                <w:rFonts w:ascii="Calibri" w:hAnsi="Calibri"/>
                <w:b w:val="0"/>
                <w:sz w:val="14"/>
              </w:rPr>
              <w:t>Σ issue value where issue type = inter-store transfer.</w:t>
            </w:r>
          </w:p>
        </w:tc>
        <w:tc>
          <w:tcPr>
            <w:tcW w:type="dxa" w:w="794"/>
          </w:tcPr>
          <w:p>
            <w:pPr>
              <w:spacing w:after="20" w:before="20" w:line="240" w:lineRule="auto"/>
              <w:jc w:val="center"/>
            </w:pPr>
            <w:r/>
            <w:r>
              <w:rPr>
                <w:rFonts w:ascii="Calibri" w:hAnsi="Calibri"/>
                <w:b w:val="0"/>
                <w:sz w:val="14"/>
              </w:rPr>
              <w:t>Issue line</w:t>
            </w:r>
          </w:p>
        </w:tc>
        <w:tc>
          <w:tcPr>
            <w:tcW w:type="dxa" w:w="907"/>
          </w:tcPr>
          <w:p>
            <w:pPr>
              <w:spacing w:after="20" w:before="20" w:line="240" w:lineRule="auto"/>
            </w:pPr>
            <w:r/>
            <w:r>
              <w:rPr>
                <w:rFonts w:ascii="Calibri" w:hAnsi="Calibri"/>
                <w:b w:val="0"/>
                <w:sz w:val="14"/>
              </w:rPr>
              <w:t>Warehouse</w:t>
            </w:r>
          </w:p>
        </w:tc>
        <w:tc>
          <w:tcPr>
            <w:tcW w:type="dxa" w:w="964"/>
          </w:tcPr>
          <w:p>
            <w:pPr>
              <w:spacing w:after="20" w:before="20" w:line="240" w:lineRule="auto"/>
              <w:jc w:val="center"/>
            </w:pPr>
            <w:r/>
            <w:r>
              <w:rPr>
                <w:rFonts w:ascii="Calibri" w:hAnsi="Calibri"/>
                <w:b w:val="0"/>
                <w:sz w:val="14"/>
              </w:rPr>
              <w:t>Report</w:t>
            </w:r>
          </w:p>
        </w:tc>
        <w:tc>
          <w:tcPr>
            <w:tcW w:type="dxa" w:w="680"/>
          </w:tcPr>
          <w:p>
            <w:pPr>
              <w:spacing w:after="20" w:before="20" w:line="240" w:lineRule="auto"/>
              <w:jc w:val="center"/>
            </w:pPr>
            <w:r/>
            <w:r>
              <w:rPr>
                <w:rFonts w:ascii="Calibri" w:hAnsi="Calibri"/>
                <w:b w:val="0"/>
                <w:sz w:val="14"/>
              </w:rPr>
              <w:t>3, 5</w:t>
            </w:r>
          </w:p>
        </w:tc>
      </w:tr>
      <w:tr>
        <w:tc>
          <w:tcPr>
            <w:tcW w:type="dxa" w:w="737"/>
            <w:shd w:val="clear" w:fill="F7F9FB"/>
          </w:tcPr>
          <w:p>
            <w:pPr>
              <w:spacing w:after="20" w:before="20" w:line="240" w:lineRule="auto"/>
              <w:jc w:val="center"/>
            </w:pPr>
            <w:r/>
            <w:r>
              <w:rPr>
                <w:rFonts w:ascii="Calibri" w:hAnsi="Calibri"/>
                <w:b w:val="0"/>
                <w:sz w:val="14"/>
              </w:rPr>
              <w:t>KPI-30</w:t>
            </w:r>
          </w:p>
        </w:tc>
        <w:tc>
          <w:tcPr>
            <w:tcW w:type="dxa" w:w="1757"/>
            <w:shd w:val="clear" w:fill="F7F9FB"/>
          </w:tcPr>
          <w:p>
            <w:pPr>
              <w:spacing w:after="20" w:before="20" w:line="240" w:lineRule="auto"/>
            </w:pPr>
            <w:r/>
            <w:r>
              <w:rPr>
                <w:rFonts w:ascii="Calibri" w:hAnsi="Calibri"/>
                <w:b w:val="0"/>
                <w:sz w:val="14"/>
              </w:rPr>
              <w:t>Data freshness</w:t>
            </w:r>
          </w:p>
        </w:tc>
        <w:tc>
          <w:tcPr>
            <w:tcW w:type="dxa" w:w="794"/>
            <w:shd w:val="clear" w:fill="F7F9FB"/>
          </w:tcPr>
          <w:p>
            <w:pPr>
              <w:spacing w:after="20" w:before="20" w:line="240" w:lineRule="auto"/>
              <w:jc w:val="center"/>
            </w:pPr>
            <w:r/>
            <w:r>
              <w:rPr>
                <w:rFonts w:ascii="Calibri" w:hAnsi="Calibri"/>
                <w:b w:val="0"/>
                <w:sz w:val="14"/>
              </w:rPr>
              <w:t>Hours</w:t>
            </w:r>
          </w:p>
        </w:tc>
        <w:tc>
          <w:tcPr>
            <w:tcW w:type="dxa" w:w="2041"/>
            <w:shd w:val="clear" w:fill="F7F9FB"/>
          </w:tcPr>
          <w:p>
            <w:pPr>
              <w:spacing w:after="20" w:before="20" w:line="240" w:lineRule="auto"/>
            </w:pPr>
            <w:r/>
            <w:r>
              <w:rPr>
                <w:rFonts w:ascii="Calibri" w:hAnsi="Calibri"/>
                <w:b w:val="0"/>
                <w:sz w:val="14"/>
              </w:rPr>
              <w:t>Age of the data shown.</w:t>
            </w:r>
          </w:p>
        </w:tc>
        <w:tc>
          <w:tcPr>
            <w:tcW w:type="dxa" w:w="2494"/>
            <w:shd w:val="clear" w:fill="F7F9FB"/>
          </w:tcPr>
          <w:p>
            <w:pPr>
              <w:spacing w:after="20" w:before="20" w:line="240" w:lineRule="auto"/>
            </w:pPr>
            <w:r/>
            <w:r>
              <w:rPr>
                <w:rFonts w:ascii="Calibri" w:hAnsi="Calibri"/>
                <w:b w:val="0"/>
                <w:sz w:val="14"/>
              </w:rPr>
              <w:t>Report date and time − last successful load timestamp.</w:t>
            </w:r>
          </w:p>
        </w:tc>
        <w:tc>
          <w:tcPr>
            <w:tcW w:type="dxa" w:w="794"/>
            <w:shd w:val="clear" w:fill="F7F9FB"/>
          </w:tcPr>
          <w:p>
            <w:pPr>
              <w:spacing w:after="20" w:before="20" w:line="240" w:lineRule="auto"/>
              <w:jc w:val="center"/>
            </w:pPr>
            <w:r/>
            <w:r>
              <w:rPr>
                <w:rFonts w:ascii="Calibri" w:hAnsi="Calibri"/>
                <w:b w:val="0"/>
                <w:sz w:val="14"/>
              </w:rPr>
              <w:t>Load log</w:t>
            </w:r>
          </w:p>
        </w:tc>
        <w:tc>
          <w:tcPr>
            <w:tcW w:type="dxa" w:w="907"/>
            <w:shd w:val="clear" w:fill="F7F9FB"/>
          </w:tcPr>
          <w:p>
            <w:pPr>
              <w:spacing w:after="20" w:before="20" w:line="240" w:lineRule="auto"/>
            </w:pPr>
            <w:r/>
            <w:r>
              <w:rPr>
                <w:rFonts w:ascii="Calibri" w:hAnsi="Calibri"/>
                <w:b w:val="0"/>
                <w:sz w:val="14"/>
              </w:rPr>
              <w:t>System</w:t>
            </w:r>
          </w:p>
        </w:tc>
        <w:tc>
          <w:tcPr>
            <w:tcW w:type="dxa" w:w="964"/>
            <w:shd w:val="clear" w:fill="F7F9FB"/>
          </w:tcPr>
          <w:p>
            <w:pPr>
              <w:spacing w:after="20" w:before="20" w:line="240" w:lineRule="auto"/>
              <w:jc w:val="center"/>
            </w:pPr>
            <w:r/>
            <w:r>
              <w:rPr>
                <w:rFonts w:ascii="Calibri" w:hAnsi="Calibri"/>
                <w:b w:val="0"/>
                <w:sz w:val="14"/>
              </w:rPr>
              <w:t>≤ 24 hours</w:t>
            </w:r>
          </w:p>
        </w:tc>
        <w:tc>
          <w:tcPr>
            <w:tcW w:type="dxa" w:w="680"/>
            <w:shd w:val="clear" w:fill="F7F9FB"/>
          </w:tcPr>
          <w:p>
            <w:pPr>
              <w:spacing w:after="20" w:before="20" w:line="240" w:lineRule="auto"/>
              <w:jc w:val="center"/>
            </w:pPr>
            <w:r/>
            <w:r>
              <w:rPr>
                <w:rFonts w:ascii="Calibri" w:hAnsi="Calibri"/>
                <w:b w:val="0"/>
                <w:sz w:val="14"/>
              </w:rPr>
              <w:t>All pages</w:t>
            </w:r>
          </w:p>
        </w:tc>
      </w:tr>
    </w:tbl>
    <w:p>
      <w:pPr>
        <w:spacing w:after="20"/>
      </w:pPr>
    </w:p>
    <w:p>
      <w:r>
        <w:br w:type="page"/>
      </w:r>
    </w:p>
    <w:p>
      <w:pPr>
        <w:pStyle w:val="Heading1"/>
      </w:pPr>
      <w:r>
        <w:t>13. Data Requirements and Oracle Source Mapping</w:t>
      </w:r>
    </w:p>
    <w:p>
      <w:pPr>
        <w:pStyle w:val="Heading2"/>
      </w:pPr>
      <w:r>
        <w:t>13.1 Data domains</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trPr>
        <w:tc>
          <w:tcPr>
            <w:tcW w:type="dxa" w:w="1871"/>
            <w:shd w:val="clear" w:fill="1F3B57"/>
          </w:tcPr>
          <w:p>
            <w:pPr>
              <w:spacing w:after="20" w:before="20" w:line="240" w:lineRule="auto"/>
            </w:pPr>
            <w:r/>
            <w:r>
              <w:rPr>
                <w:rFonts w:ascii="Calibri" w:hAnsi="Calibri"/>
                <w:b/>
                <w:color w:val="FFFFFF"/>
                <w:sz w:val="15"/>
              </w:rPr>
              <w:t>Domain</w:t>
            </w:r>
          </w:p>
        </w:tc>
        <w:tc>
          <w:tcPr>
            <w:tcW w:type="dxa" w:w="4139"/>
            <w:shd w:val="clear" w:fill="1F3B57"/>
          </w:tcPr>
          <w:p>
            <w:pPr>
              <w:spacing w:after="20" w:before="20" w:line="240" w:lineRule="auto"/>
            </w:pPr>
            <w:r/>
            <w:r>
              <w:rPr>
                <w:rFonts w:ascii="Calibri" w:hAnsi="Calibri"/>
                <w:b/>
                <w:color w:val="FFFFFF"/>
                <w:sz w:val="15"/>
              </w:rPr>
              <w:t>Required content</w:t>
            </w:r>
          </w:p>
        </w:tc>
        <w:tc>
          <w:tcPr>
            <w:tcW w:type="dxa" w:w="1474"/>
            <w:shd w:val="clear" w:fill="1F3B57"/>
          </w:tcPr>
          <w:p>
            <w:pPr>
              <w:spacing w:after="20" w:before="20" w:line="240" w:lineRule="auto"/>
            </w:pPr>
            <w:r/>
            <w:r>
              <w:rPr>
                <w:rFonts w:ascii="Calibri" w:hAnsi="Calibri"/>
                <w:b/>
                <w:color w:val="FFFFFF"/>
                <w:sz w:val="15"/>
              </w:rPr>
              <w:t>Grain</w:t>
            </w:r>
          </w:p>
        </w:tc>
        <w:tc>
          <w:tcPr>
            <w:tcW w:type="dxa" w:w="1474"/>
            <w:shd w:val="clear" w:fill="1F3B57"/>
          </w:tcPr>
          <w:p>
            <w:pPr>
              <w:spacing w:after="20" w:before="20" w:line="240" w:lineRule="auto"/>
            </w:pPr>
            <w:r/>
            <w:r>
              <w:rPr>
                <w:rFonts w:ascii="Calibri" w:hAnsi="Calibri"/>
                <w:b/>
                <w:color w:val="FFFFFF"/>
                <w:sz w:val="15"/>
              </w:rPr>
              <w:t>Source module</w:t>
            </w:r>
          </w:p>
        </w:tc>
        <w:tc>
          <w:tcPr>
            <w:tcW w:type="dxa" w:w="794"/>
            <w:shd w:val="clear" w:fill="1F3B57"/>
          </w:tcPr>
          <w:p>
            <w:pPr>
              <w:spacing w:after="20" w:before="20" w:line="240" w:lineRule="auto"/>
            </w:pPr>
            <w:r/>
            <w:r>
              <w:rPr>
                <w:rFonts w:ascii="Calibri" w:hAnsi="Calibri"/>
                <w:b/>
                <w:color w:val="FFFFFF"/>
                <w:sz w:val="15"/>
              </w:rPr>
              <w:t>Frequency</w:t>
            </w:r>
          </w:p>
        </w:tc>
      </w:tr>
      <w:tr>
        <w:tc>
          <w:tcPr>
            <w:tcW w:type="dxa" w:w="1871"/>
          </w:tcPr>
          <w:p>
            <w:pPr>
              <w:spacing w:after="20" w:before="20" w:line="240" w:lineRule="auto"/>
            </w:pPr>
            <w:r/>
            <w:r>
              <w:rPr>
                <w:rFonts w:ascii="Calibri" w:hAnsi="Calibri"/>
                <w:b w:val="0"/>
                <w:sz w:val="15"/>
              </w:rPr>
              <w:t>Project / award master</w:t>
            </w:r>
          </w:p>
        </w:tc>
        <w:tc>
          <w:tcPr>
            <w:tcW w:type="dxa" w:w="4139"/>
          </w:tcPr>
          <w:p>
            <w:pPr>
              <w:spacing w:after="20" w:before="20" w:line="240" w:lineRule="auto"/>
            </w:pPr>
            <w:r/>
            <w:r>
              <w:rPr>
                <w:rFonts w:ascii="Calibri" w:hAnsi="Calibri"/>
                <w:b w:val="0"/>
                <w:sz w:val="15"/>
              </w:rPr>
              <w:t>Project code, name, donor, grant reference, sector, district, facility, start and end dates, status, approved budget, default warehouse</w:t>
            </w:r>
          </w:p>
        </w:tc>
        <w:tc>
          <w:tcPr>
            <w:tcW w:type="dxa" w:w="1474"/>
          </w:tcPr>
          <w:p>
            <w:pPr>
              <w:spacing w:after="20" w:before="20" w:line="240" w:lineRule="auto"/>
              <w:jc w:val="center"/>
            </w:pPr>
            <w:r/>
            <w:r>
              <w:rPr>
                <w:rFonts w:ascii="Calibri" w:hAnsi="Calibri"/>
                <w:b w:val="0"/>
                <w:sz w:val="15"/>
              </w:rPr>
              <w:t>Project</w:t>
            </w:r>
          </w:p>
        </w:tc>
        <w:tc>
          <w:tcPr>
            <w:tcW w:type="dxa" w:w="1474"/>
          </w:tcPr>
          <w:p>
            <w:pPr>
              <w:spacing w:after="20" w:before="20" w:line="240" w:lineRule="auto"/>
            </w:pPr>
            <w:r/>
            <w:r>
              <w:rPr>
                <w:rFonts w:ascii="Calibri" w:hAnsi="Calibri"/>
                <w:b w:val="0"/>
                <w:sz w:val="15"/>
              </w:rPr>
              <w:t>Oracle Projects / custom master</w:t>
            </w:r>
          </w:p>
        </w:tc>
        <w:tc>
          <w:tcPr>
            <w:tcW w:type="dxa" w:w="794"/>
          </w:tcPr>
          <w:p>
            <w:pPr>
              <w:spacing w:after="20" w:before="20" w:line="240" w:lineRule="auto"/>
              <w:jc w:val="center"/>
            </w:pPr>
            <w:r/>
            <w:r>
              <w:rPr>
                <w:rFonts w:ascii="Calibri" w:hAnsi="Calibri"/>
                <w:b w:val="0"/>
                <w:sz w:val="15"/>
              </w:rPr>
              <w:t>Daily</w:t>
            </w:r>
          </w:p>
        </w:tc>
      </w:tr>
      <w:tr>
        <w:tc>
          <w:tcPr>
            <w:tcW w:type="dxa" w:w="1871"/>
            <w:shd w:val="clear" w:fill="F7F9FB"/>
          </w:tcPr>
          <w:p>
            <w:pPr>
              <w:spacing w:after="20" w:before="20" w:line="240" w:lineRule="auto"/>
            </w:pPr>
            <w:r/>
            <w:r>
              <w:rPr>
                <w:rFonts w:ascii="Calibri" w:hAnsi="Calibri"/>
                <w:b w:val="0"/>
                <w:sz w:val="15"/>
              </w:rPr>
              <w:t>Item master</w:t>
            </w:r>
          </w:p>
        </w:tc>
        <w:tc>
          <w:tcPr>
            <w:tcW w:type="dxa" w:w="4139"/>
            <w:shd w:val="clear" w:fill="F7F9FB"/>
          </w:tcPr>
          <w:p>
            <w:pPr>
              <w:spacing w:after="20" w:before="20" w:line="240" w:lineRule="auto"/>
            </w:pPr>
            <w:r/>
            <w:r>
              <w:rPr>
                <w:rFonts w:ascii="Calibri" w:hAnsi="Calibri"/>
                <w:b w:val="0"/>
                <w:sz w:val="15"/>
              </w:rPr>
              <w:t>Item code, description, category, sub-category, base UOM, pack size, standard cost, reorder level, consumable flag, status</w:t>
            </w:r>
          </w:p>
        </w:tc>
        <w:tc>
          <w:tcPr>
            <w:tcW w:type="dxa" w:w="1474"/>
            <w:shd w:val="clear" w:fill="F7F9FB"/>
          </w:tcPr>
          <w:p>
            <w:pPr>
              <w:spacing w:after="20" w:before="20" w:line="240" w:lineRule="auto"/>
              <w:jc w:val="center"/>
            </w:pPr>
            <w:r/>
            <w:r>
              <w:rPr>
                <w:rFonts w:ascii="Calibri" w:hAnsi="Calibri"/>
                <w:b w:val="0"/>
                <w:sz w:val="15"/>
              </w:rPr>
              <w:t>Item</w:t>
            </w:r>
          </w:p>
        </w:tc>
        <w:tc>
          <w:tcPr>
            <w:tcW w:type="dxa" w:w="1474"/>
            <w:shd w:val="clear" w:fill="F7F9FB"/>
          </w:tcPr>
          <w:p>
            <w:pPr>
              <w:spacing w:after="20" w:before="20" w:line="240" w:lineRule="auto"/>
            </w:pPr>
            <w:r/>
            <w:r>
              <w:rPr>
                <w:rFonts w:ascii="Calibri" w:hAnsi="Calibri"/>
                <w:b w:val="0"/>
                <w:sz w:val="15"/>
              </w:rPr>
              <w:t>Oracle Inventory</w:t>
            </w:r>
          </w:p>
        </w:tc>
        <w:tc>
          <w:tcPr>
            <w:tcW w:type="dxa" w:w="794"/>
            <w:shd w:val="clear" w:fill="F7F9FB"/>
          </w:tcPr>
          <w:p>
            <w:pPr>
              <w:spacing w:after="20" w:before="20" w:line="240" w:lineRule="auto"/>
              <w:jc w:val="center"/>
            </w:pPr>
            <w:r/>
            <w:r>
              <w:rPr>
                <w:rFonts w:ascii="Calibri" w:hAnsi="Calibri"/>
                <w:b w:val="0"/>
                <w:sz w:val="15"/>
              </w:rPr>
              <w:t>Daily</w:t>
            </w:r>
          </w:p>
        </w:tc>
      </w:tr>
      <w:tr>
        <w:tc>
          <w:tcPr>
            <w:tcW w:type="dxa" w:w="1871"/>
          </w:tcPr>
          <w:p>
            <w:pPr>
              <w:spacing w:after="20" w:before="20" w:line="240" w:lineRule="auto"/>
            </w:pPr>
            <w:r/>
            <w:r>
              <w:rPr>
                <w:rFonts w:ascii="Calibri" w:hAnsi="Calibri"/>
                <w:b w:val="0"/>
                <w:sz w:val="15"/>
              </w:rPr>
              <w:t>Supplier master</w:t>
            </w:r>
          </w:p>
        </w:tc>
        <w:tc>
          <w:tcPr>
            <w:tcW w:type="dxa" w:w="4139"/>
          </w:tcPr>
          <w:p>
            <w:pPr>
              <w:spacing w:after="20" w:before="20" w:line="240" w:lineRule="auto"/>
            </w:pPr>
            <w:r/>
            <w:r>
              <w:rPr>
                <w:rFonts w:ascii="Calibri" w:hAnsi="Calibri"/>
                <w:b w:val="0"/>
                <w:sz w:val="15"/>
              </w:rPr>
              <w:t>Supplier code, name, city, tax number, payment terms, agreed lead time, status</w:t>
            </w:r>
          </w:p>
        </w:tc>
        <w:tc>
          <w:tcPr>
            <w:tcW w:type="dxa" w:w="1474"/>
          </w:tcPr>
          <w:p>
            <w:pPr>
              <w:spacing w:after="20" w:before="20" w:line="240" w:lineRule="auto"/>
              <w:jc w:val="center"/>
            </w:pPr>
            <w:r/>
            <w:r>
              <w:rPr>
                <w:rFonts w:ascii="Calibri" w:hAnsi="Calibri"/>
                <w:b w:val="0"/>
                <w:sz w:val="15"/>
              </w:rPr>
              <w:t>Supplier</w:t>
            </w:r>
          </w:p>
        </w:tc>
        <w:tc>
          <w:tcPr>
            <w:tcW w:type="dxa" w:w="1474"/>
          </w:tcPr>
          <w:p>
            <w:pPr>
              <w:spacing w:after="20" w:before="20" w:line="240" w:lineRule="auto"/>
            </w:pPr>
            <w:r/>
            <w:r>
              <w:rPr>
                <w:rFonts w:ascii="Calibri" w:hAnsi="Calibri"/>
                <w:b w:val="0"/>
                <w:sz w:val="15"/>
              </w:rPr>
              <w:t>Oracle Purchasing</w:t>
            </w:r>
          </w:p>
        </w:tc>
        <w:tc>
          <w:tcPr>
            <w:tcW w:type="dxa" w:w="794"/>
          </w:tcPr>
          <w:p>
            <w:pPr>
              <w:spacing w:after="20" w:before="20" w:line="240" w:lineRule="auto"/>
              <w:jc w:val="center"/>
            </w:pPr>
            <w:r/>
            <w:r>
              <w:rPr>
                <w:rFonts w:ascii="Calibri" w:hAnsi="Calibri"/>
                <w:b w:val="0"/>
                <w:sz w:val="15"/>
              </w:rPr>
              <w:t>Daily</w:t>
            </w:r>
          </w:p>
        </w:tc>
      </w:tr>
      <w:tr>
        <w:tc>
          <w:tcPr>
            <w:tcW w:type="dxa" w:w="1871"/>
            <w:shd w:val="clear" w:fill="F7F9FB"/>
          </w:tcPr>
          <w:p>
            <w:pPr>
              <w:spacing w:after="20" w:before="20" w:line="240" w:lineRule="auto"/>
            </w:pPr>
            <w:r/>
            <w:r>
              <w:rPr>
                <w:rFonts w:ascii="Calibri" w:hAnsi="Calibri"/>
                <w:b w:val="0"/>
                <w:sz w:val="15"/>
              </w:rPr>
              <w:t>Warehouse master</w:t>
            </w:r>
          </w:p>
        </w:tc>
        <w:tc>
          <w:tcPr>
            <w:tcW w:type="dxa" w:w="4139"/>
            <w:shd w:val="clear" w:fill="F7F9FB"/>
          </w:tcPr>
          <w:p>
            <w:pPr>
              <w:spacing w:after="20" w:before="20" w:line="240" w:lineRule="auto"/>
            </w:pPr>
            <w:r/>
            <w:r>
              <w:rPr>
                <w:rFonts w:ascii="Calibri" w:hAnsi="Calibri"/>
                <w:b w:val="0"/>
                <w:sz w:val="15"/>
              </w:rPr>
              <w:t>Warehouse code, name, district, type, in-charge</w:t>
            </w:r>
          </w:p>
        </w:tc>
        <w:tc>
          <w:tcPr>
            <w:tcW w:type="dxa" w:w="1474"/>
            <w:shd w:val="clear" w:fill="F7F9FB"/>
          </w:tcPr>
          <w:p>
            <w:pPr>
              <w:spacing w:after="20" w:before="20" w:line="240" w:lineRule="auto"/>
              <w:jc w:val="center"/>
            </w:pPr>
            <w:r/>
            <w:r>
              <w:rPr>
                <w:rFonts w:ascii="Calibri" w:hAnsi="Calibri"/>
                <w:b w:val="0"/>
                <w:sz w:val="15"/>
              </w:rPr>
              <w:t>Warehouse</w:t>
            </w:r>
          </w:p>
        </w:tc>
        <w:tc>
          <w:tcPr>
            <w:tcW w:type="dxa" w:w="1474"/>
            <w:shd w:val="clear" w:fill="F7F9FB"/>
          </w:tcPr>
          <w:p>
            <w:pPr>
              <w:spacing w:after="20" w:before="20" w:line="240" w:lineRule="auto"/>
            </w:pPr>
            <w:r/>
            <w:r>
              <w:rPr>
                <w:rFonts w:ascii="Calibri" w:hAnsi="Calibri"/>
                <w:b w:val="0"/>
                <w:sz w:val="15"/>
              </w:rPr>
              <w:t>Oracle Inventory</w:t>
            </w:r>
          </w:p>
        </w:tc>
        <w:tc>
          <w:tcPr>
            <w:tcW w:type="dxa" w:w="794"/>
            <w:shd w:val="clear" w:fill="F7F9FB"/>
          </w:tcPr>
          <w:p>
            <w:pPr>
              <w:spacing w:after="20" w:before="20" w:line="240" w:lineRule="auto"/>
              <w:jc w:val="center"/>
            </w:pPr>
            <w:r/>
            <w:r>
              <w:rPr>
                <w:rFonts w:ascii="Calibri" w:hAnsi="Calibri"/>
                <w:b w:val="0"/>
                <w:sz w:val="15"/>
              </w:rPr>
              <w:t>Daily</w:t>
            </w:r>
          </w:p>
        </w:tc>
      </w:tr>
      <w:tr>
        <w:tc>
          <w:tcPr>
            <w:tcW w:type="dxa" w:w="1871"/>
          </w:tcPr>
          <w:p>
            <w:pPr>
              <w:spacing w:after="20" w:before="20" w:line="240" w:lineRule="auto"/>
            </w:pPr>
            <w:r/>
            <w:r>
              <w:rPr>
                <w:rFonts w:ascii="Calibri" w:hAnsi="Calibri"/>
                <w:b w:val="0"/>
                <w:sz w:val="15"/>
              </w:rPr>
              <w:t>Purchase orders</w:t>
            </w:r>
          </w:p>
        </w:tc>
        <w:tc>
          <w:tcPr>
            <w:tcW w:type="dxa" w:w="4139"/>
          </w:tcPr>
          <w:p>
            <w:pPr>
              <w:spacing w:after="20" w:before="20" w:line="240" w:lineRule="auto"/>
            </w:pPr>
            <w:r/>
            <w:r>
              <w:rPr>
                <w:rFonts w:ascii="Calibri" w:hAnsi="Calibri"/>
                <w:b w:val="0"/>
                <w:sz w:val="15"/>
              </w:rPr>
              <w:t>PO number, date, requisition reference, project, supplier, item, quantity, unit price, currency, status, buyer, lead time</w:t>
            </w:r>
          </w:p>
        </w:tc>
        <w:tc>
          <w:tcPr>
            <w:tcW w:type="dxa" w:w="1474"/>
          </w:tcPr>
          <w:p>
            <w:pPr>
              <w:spacing w:after="20" w:before="20" w:line="240" w:lineRule="auto"/>
              <w:jc w:val="center"/>
            </w:pPr>
            <w:r/>
            <w:r>
              <w:rPr>
                <w:rFonts w:ascii="Calibri" w:hAnsi="Calibri"/>
                <w:b w:val="0"/>
                <w:sz w:val="15"/>
              </w:rPr>
              <w:t>PO line</w:t>
            </w:r>
          </w:p>
        </w:tc>
        <w:tc>
          <w:tcPr>
            <w:tcW w:type="dxa" w:w="1474"/>
          </w:tcPr>
          <w:p>
            <w:pPr>
              <w:spacing w:after="20" w:before="20" w:line="240" w:lineRule="auto"/>
            </w:pPr>
            <w:r/>
            <w:r>
              <w:rPr>
                <w:rFonts w:ascii="Calibri" w:hAnsi="Calibri"/>
                <w:b w:val="0"/>
                <w:sz w:val="15"/>
              </w:rPr>
              <w:t>Oracle Purchasing</w:t>
            </w:r>
          </w:p>
        </w:tc>
        <w:tc>
          <w:tcPr>
            <w:tcW w:type="dxa" w:w="794"/>
          </w:tcPr>
          <w:p>
            <w:pPr>
              <w:spacing w:after="20" w:before="20" w:line="240" w:lineRule="auto"/>
              <w:jc w:val="center"/>
            </w:pPr>
            <w:r/>
            <w:r>
              <w:rPr>
                <w:rFonts w:ascii="Calibri" w:hAnsi="Calibri"/>
                <w:b w:val="0"/>
                <w:sz w:val="15"/>
              </w:rPr>
              <w:t>Daily</w:t>
            </w:r>
          </w:p>
        </w:tc>
      </w:tr>
      <w:tr>
        <w:tc>
          <w:tcPr>
            <w:tcW w:type="dxa" w:w="1871"/>
            <w:shd w:val="clear" w:fill="F7F9FB"/>
          </w:tcPr>
          <w:p>
            <w:pPr>
              <w:spacing w:after="20" w:before="20" w:line="240" w:lineRule="auto"/>
            </w:pPr>
            <w:r/>
            <w:r>
              <w:rPr>
                <w:rFonts w:ascii="Calibri" w:hAnsi="Calibri"/>
                <w:b w:val="0"/>
                <w:sz w:val="15"/>
              </w:rPr>
              <w:t>Goods receipts</w:t>
            </w:r>
          </w:p>
        </w:tc>
        <w:tc>
          <w:tcPr>
            <w:tcW w:type="dxa" w:w="4139"/>
            <w:shd w:val="clear" w:fill="F7F9FB"/>
          </w:tcPr>
          <w:p>
            <w:pPr>
              <w:spacing w:after="20" w:before="20" w:line="240" w:lineRule="auto"/>
            </w:pPr>
            <w:r/>
            <w:r>
              <w:rPr>
                <w:rFonts w:ascii="Calibri" w:hAnsi="Calibri"/>
                <w:b w:val="0"/>
                <w:sz w:val="15"/>
              </w:rPr>
              <w:t>GRN number, date, PO reference, project, item, quantity received, warehouse, batch, manufacture and expiry dates, unit cost, QC status</w:t>
            </w:r>
          </w:p>
        </w:tc>
        <w:tc>
          <w:tcPr>
            <w:tcW w:type="dxa" w:w="1474"/>
            <w:shd w:val="clear" w:fill="F7F9FB"/>
          </w:tcPr>
          <w:p>
            <w:pPr>
              <w:spacing w:after="20" w:before="20" w:line="240" w:lineRule="auto"/>
              <w:jc w:val="center"/>
            </w:pPr>
            <w:r/>
            <w:r>
              <w:rPr>
                <w:rFonts w:ascii="Calibri" w:hAnsi="Calibri"/>
                <w:b w:val="0"/>
                <w:sz w:val="15"/>
              </w:rPr>
              <w:t>GRN line / batch</w:t>
            </w:r>
          </w:p>
        </w:tc>
        <w:tc>
          <w:tcPr>
            <w:tcW w:type="dxa" w:w="1474"/>
            <w:shd w:val="clear" w:fill="F7F9FB"/>
          </w:tcPr>
          <w:p>
            <w:pPr>
              <w:spacing w:after="20" w:before="20" w:line="240" w:lineRule="auto"/>
            </w:pPr>
            <w:r/>
            <w:r>
              <w:rPr>
                <w:rFonts w:ascii="Calibri" w:hAnsi="Calibri"/>
                <w:b w:val="0"/>
                <w:sz w:val="15"/>
              </w:rPr>
              <w:t>Oracle Inventory</w:t>
            </w:r>
          </w:p>
        </w:tc>
        <w:tc>
          <w:tcPr>
            <w:tcW w:type="dxa" w:w="794"/>
            <w:shd w:val="clear" w:fill="F7F9FB"/>
          </w:tcPr>
          <w:p>
            <w:pPr>
              <w:spacing w:after="20" w:before="20" w:line="240" w:lineRule="auto"/>
              <w:jc w:val="center"/>
            </w:pPr>
            <w:r/>
            <w:r>
              <w:rPr>
                <w:rFonts w:ascii="Calibri" w:hAnsi="Calibri"/>
                <w:b w:val="0"/>
                <w:sz w:val="15"/>
              </w:rPr>
              <w:t>Daily</w:t>
            </w:r>
          </w:p>
        </w:tc>
      </w:tr>
      <w:tr>
        <w:tc>
          <w:tcPr>
            <w:tcW w:type="dxa" w:w="1871"/>
          </w:tcPr>
          <w:p>
            <w:pPr>
              <w:spacing w:after="20" w:before="20" w:line="240" w:lineRule="auto"/>
            </w:pPr>
            <w:r/>
            <w:r>
              <w:rPr>
                <w:rFonts w:ascii="Calibri" w:hAnsi="Calibri"/>
                <w:b w:val="0"/>
                <w:sz w:val="15"/>
              </w:rPr>
              <w:t>Inventory issues</w:t>
            </w:r>
          </w:p>
        </w:tc>
        <w:tc>
          <w:tcPr>
            <w:tcW w:type="dxa" w:w="4139"/>
          </w:tcPr>
          <w:p>
            <w:pPr>
              <w:spacing w:after="20" w:before="20" w:line="240" w:lineRule="auto"/>
            </w:pPr>
            <w:r/>
            <w:r>
              <w:rPr>
                <w:rFonts w:ascii="Calibri" w:hAnsi="Calibri"/>
                <w:b w:val="0"/>
                <w:sz w:val="15"/>
              </w:rPr>
              <w:t>Issue number, date, project charged, project consumed, item, quantity, UOM, unit cost, total cost, warehouse, GRN reference, batch, expiry, issue type, service point, user</w:t>
            </w:r>
          </w:p>
        </w:tc>
        <w:tc>
          <w:tcPr>
            <w:tcW w:type="dxa" w:w="1474"/>
          </w:tcPr>
          <w:p>
            <w:pPr>
              <w:spacing w:after="20" w:before="20" w:line="240" w:lineRule="auto"/>
              <w:jc w:val="center"/>
            </w:pPr>
            <w:r/>
            <w:r>
              <w:rPr>
                <w:rFonts w:ascii="Calibri" w:hAnsi="Calibri"/>
                <w:b w:val="0"/>
                <w:sz w:val="15"/>
              </w:rPr>
              <w:t>Issue line</w:t>
            </w:r>
          </w:p>
        </w:tc>
        <w:tc>
          <w:tcPr>
            <w:tcW w:type="dxa" w:w="1474"/>
          </w:tcPr>
          <w:p>
            <w:pPr>
              <w:spacing w:after="20" w:before="20" w:line="240" w:lineRule="auto"/>
            </w:pPr>
            <w:r/>
            <w:r>
              <w:rPr>
                <w:rFonts w:ascii="Calibri" w:hAnsi="Calibri"/>
                <w:b w:val="0"/>
                <w:sz w:val="15"/>
              </w:rPr>
              <w:t>Oracle Inventory</w:t>
            </w:r>
          </w:p>
        </w:tc>
        <w:tc>
          <w:tcPr>
            <w:tcW w:type="dxa" w:w="794"/>
          </w:tcPr>
          <w:p>
            <w:pPr>
              <w:spacing w:after="20" w:before="20" w:line="240" w:lineRule="auto"/>
              <w:jc w:val="center"/>
            </w:pPr>
            <w:r/>
            <w:r>
              <w:rPr>
                <w:rFonts w:ascii="Calibri" w:hAnsi="Calibri"/>
                <w:b w:val="0"/>
                <w:sz w:val="15"/>
              </w:rPr>
              <w:t>Daily</w:t>
            </w:r>
          </w:p>
        </w:tc>
      </w:tr>
      <w:tr>
        <w:tc>
          <w:tcPr>
            <w:tcW w:type="dxa" w:w="1871"/>
            <w:shd w:val="clear" w:fill="F7F9FB"/>
          </w:tcPr>
          <w:p>
            <w:pPr>
              <w:spacing w:after="20" w:before="20" w:line="240" w:lineRule="auto"/>
            </w:pPr>
            <w:r/>
            <w:r>
              <w:rPr>
                <w:rFonts w:ascii="Calibri" w:hAnsi="Calibri"/>
                <w:b w:val="0"/>
                <w:sz w:val="15"/>
              </w:rPr>
              <w:t>Budget</w:t>
            </w:r>
          </w:p>
        </w:tc>
        <w:tc>
          <w:tcPr>
            <w:tcW w:type="dxa" w:w="4139"/>
            <w:shd w:val="clear" w:fill="F7F9FB"/>
          </w:tcPr>
          <w:p>
            <w:pPr>
              <w:spacing w:after="20" w:before="20" w:line="240" w:lineRule="auto"/>
            </w:pPr>
            <w:r/>
            <w:r>
              <w:rPr>
                <w:rFonts w:ascii="Calibri" w:hAnsi="Calibri"/>
                <w:b w:val="0"/>
                <w:sz w:val="15"/>
              </w:rPr>
              <w:t>Project, fiscal year, expense category, budget amount, currency</w:t>
            </w:r>
          </w:p>
        </w:tc>
        <w:tc>
          <w:tcPr>
            <w:tcW w:type="dxa" w:w="1474"/>
            <w:shd w:val="clear" w:fill="F7F9FB"/>
          </w:tcPr>
          <w:p>
            <w:pPr>
              <w:spacing w:after="20" w:before="20" w:line="240" w:lineRule="auto"/>
              <w:jc w:val="center"/>
            </w:pPr>
            <w:r/>
            <w:r>
              <w:rPr>
                <w:rFonts w:ascii="Calibri" w:hAnsi="Calibri"/>
                <w:b w:val="0"/>
                <w:sz w:val="15"/>
              </w:rPr>
              <w:t>Project / category / year</w:t>
            </w:r>
          </w:p>
        </w:tc>
        <w:tc>
          <w:tcPr>
            <w:tcW w:type="dxa" w:w="1474"/>
            <w:shd w:val="clear" w:fill="F7F9FB"/>
          </w:tcPr>
          <w:p>
            <w:pPr>
              <w:spacing w:after="20" w:before="20" w:line="240" w:lineRule="auto"/>
            </w:pPr>
            <w:r/>
            <w:r>
              <w:rPr>
                <w:rFonts w:ascii="Calibri" w:hAnsi="Calibri"/>
                <w:b w:val="0"/>
                <w:sz w:val="15"/>
              </w:rPr>
              <w:t>Oracle GL / budget module</w:t>
            </w:r>
          </w:p>
        </w:tc>
        <w:tc>
          <w:tcPr>
            <w:tcW w:type="dxa" w:w="794"/>
            <w:shd w:val="clear" w:fill="F7F9FB"/>
          </w:tcPr>
          <w:p>
            <w:pPr>
              <w:spacing w:after="20" w:before="20" w:line="240" w:lineRule="auto"/>
              <w:jc w:val="center"/>
            </w:pPr>
            <w:r/>
            <w:r>
              <w:rPr>
                <w:rFonts w:ascii="Calibri" w:hAnsi="Calibri"/>
                <w:b w:val="0"/>
                <w:sz w:val="15"/>
              </w:rPr>
              <w:t>Monthly</w:t>
            </w:r>
          </w:p>
        </w:tc>
      </w:tr>
      <w:tr>
        <w:tc>
          <w:tcPr>
            <w:tcW w:type="dxa" w:w="1871"/>
          </w:tcPr>
          <w:p>
            <w:pPr>
              <w:spacing w:after="20" w:before="20" w:line="240" w:lineRule="auto"/>
            </w:pPr>
            <w:r/>
            <w:r>
              <w:rPr>
                <w:rFonts w:ascii="Calibri" w:hAnsi="Calibri"/>
                <w:b w:val="0"/>
                <w:sz w:val="15"/>
              </w:rPr>
              <w:t>Service delivery</w:t>
            </w:r>
          </w:p>
        </w:tc>
        <w:tc>
          <w:tcPr>
            <w:tcW w:type="dxa" w:w="4139"/>
          </w:tcPr>
          <w:p>
            <w:pPr>
              <w:spacing w:after="20" w:before="20" w:line="240" w:lineRule="auto"/>
            </w:pPr>
            <w:r/>
            <w:r>
              <w:rPr>
                <w:rFonts w:ascii="Calibri" w:hAnsi="Calibri"/>
                <w:b w:val="0"/>
                <w:sz w:val="15"/>
              </w:rPr>
              <w:t>Project, month, beneficiaries served, patient visits, admissions</w:t>
            </w:r>
          </w:p>
        </w:tc>
        <w:tc>
          <w:tcPr>
            <w:tcW w:type="dxa" w:w="1474"/>
          </w:tcPr>
          <w:p>
            <w:pPr>
              <w:spacing w:after="20" w:before="20" w:line="240" w:lineRule="auto"/>
              <w:jc w:val="center"/>
            </w:pPr>
            <w:r/>
            <w:r>
              <w:rPr>
                <w:rFonts w:ascii="Calibri" w:hAnsi="Calibri"/>
                <w:b w:val="0"/>
                <w:sz w:val="15"/>
              </w:rPr>
              <w:t>Project / month</w:t>
            </w:r>
          </w:p>
        </w:tc>
        <w:tc>
          <w:tcPr>
            <w:tcW w:type="dxa" w:w="1474"/>
          </w:tcPr>
          <w:p>
            <w:pPr>
              <w:spacing w:after="20" w:before="20" w:line="240" w:lineRule="auto"/>
            </w:pPr>
            <w:r/>
            <w:r>
              <w:rPr>
                <w:rFonts w:ascii="Calibri" w:hAnsi="Calibri"/>
                <w:b w:val="0"/>
                <w:sz w:val="15"/>
              </w:rPr>
              <w:t>Programme M&amp;E (non-Oracle, supplied by Programme)</w:t>
            </w:r>
          </w:p>
        </w:tc>
        <w:tc>
          <w:tcPr>
            <w:tcW w:type="dxa" w:w="794"/>
          </w:tcPr>
          <w:p>
            <w:pPr>
              <w:spacing w:after="20" w:before="20" w:line="240" w:lineRule="auto"/>
              <w:jc w:val="center"/>
            </w:pPr>
            <w:r/>
            <w:r>
              <w:rPr>
                <w:rFonts w:ascii="Calibri" w:hAnsi="Calibri"/>
                <w:b w:val="0"/>
                <w:sz w:val="15"/>
              </w:rPr>
              <w:t>Monthly</w:t>
            </w:r>
          </w:p>
        </w:tc>
      </w:tr>
      <w:tr>
        <w:tc>
          <w:tcPr>
            <w:tcW w:type="dxa" w:w="1871"/>
            <w:shd w:val="clear" w:fill="F7F9FB"/>
          </w:tcPr>
          <w:p>
            <w:pPr>
              <w:spacing w:after="20" w:before="20" w:line="240" w:lineRule="auto"/>
            </w:pPr>
            <w:r/>
            <w:r>
              <w:rPr>
                <w:rFonts w:ascii="Calibri" w:hAnsi="Calibri"/>
                <w:b w:val="0"/>
                <w:sz w:val="15"/>
              </w:rPr>
              <w:t>Calendar</w:t>
            </w:r>
          </w:p>
        </w:tc>
        <w:tc>
          <w:tcPr>
            <w:tcW w:type="dxa" w:w="4139"/>
            <w:shd w:val="clear" w:fill="F7F9FB"/>
          </w:tcPr>
          <w:p>
            <w:pPr>
              <w:spacing w:after="20" w:before="20" w:line="240" w:lineRule="auto"/>
            </w:pPr>
            <w:r/>
            <w:r>
              <w:rPr>
                <w:rFonts w:ascii="Calibri" w:hAnsi="Calibri"/>
                <w:b w:val="0"/>
                <w:sz w:val="15"/>
              </w:rPr>
              <w:t>Date, month, year, quarter, fiscal year, period key, close date</w:t>
            </w:r>
          </w:p>
        </w:tc>
        <w:tc>
          <w:tcPr>
            <w:tcW w:type="dxa" w:w="1474"/>
            <w:shd w:val="clear" w:fill="F7F9FB"/>
          </w:tcPr>
          <w:p>
            <w:pPr>
              <w:spacing w:after="20" w:before="20" w:line="240" w:lineRule="auto"/>
              <w:jc w:val="center"/>
            </w:pPr>
            <w:r/>
            <w:r>
              <w:rPr>
                <w:rFonts w:ascii="Calibri" w:hAnsi="Calibri"/>
                <w:b w:val="0"/>
                <w:sz w:val="15"/>
              </w:rPr>
              <w:t>Date</w:t>
            </w:r>
          </w:p>
        </w:tc>
        <w:tc>
          <w:tcPr>
            <w:tcW w:type="dxa" w:w="1474"/>
            <w:shd w:val="clear" w:fill="F7F9FB"/>
          </w:tcPr>
          <w:p>
            <w:pPr>
              <w:spacing w:after="20" w:before="20" w:line="240" w:lineRule="auto"/>
            </w:pPr>
            <w:r/>
            <w:r>
              <w:rPr>
                <w:rFonts w:ascii="Calibri" w:hAnsi="Calibri"/>
                <w:b w:val="0"/>
                <w:sz w:val="15"/>
              </w:rPr>
              <w:t>Generated</w:t>
            </w:r>
          </w:p>
        </w:tc>
        <w:tc>
          <w:tcPr>
            <w:tcW w:type="dxa" w:w="794"/>
            <w:shd w:val="clear" w:fill="F7F9FB"/>
          </w:tcPr>
          <w:p>
            <w:pPr>
              <w:spacing w:after="20" w:before="20" w:line="240" w:lineRule="auto"/>
              <w:jc w:val="center"/>
            </w:pPr>
            <w:r/>
            <w:r>
              <w:rPr>
                <w:rFonts w:ascii="Calibri" w:hAnsi="Calibri"/>
                <w:b w:val="0"/>
                <w:sz w:val="15"/>
              </w:rPr>
              <w:t>Static / annual</w:t>
            </w:r>
          </w:p>
        </w:tc>
      </w:tr>
    </w:tbl>
    <w:p>
      <w:pPr>
        <w:spacing w:after="20"/>
      </w:pPr>
    </w:p>
    <w:p>
      <w:pPr>
        <w:pStyle w:val="Heading2"/>
      </w:pPr>
      <w:r>
        <w:t>13.2 Sourcing approach</w:t>
      </w:r>
    </w:p>
    <w:p>
      <w:pPr>
        <w:spacing w:after="100"/>
      </w:pPr>
      <w:r>
        <w:rPr>
          <w:b w:val="0"/>
          <w:i w:val="0"/>
        </w:rPr>
        <w:t>Three options were considered for extracting data from Oracle. The recommended approach is a reporting mart with a scheduled extract, because it separates analytics load from the transactional system, supports historical snapshots and allows business rules to be applied once rather than in every report.</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trPr>
        <w:tc>
          <w:tcPr>
            <w:tcW w:type="dxa" w:w="1701"/>
            <w:shd w:val="clear" w:fill="1F3B57"/>
          </w:tcPr>
          <w:p>
            <w:pPr>
              <w:spacing w:after="20" w:before="20" w:line="240" w:lineRule="auto"/>
            </w:pPr>
            <w:r/>
            <w:r>
              <w:rPr>
                <w:rFonts w:ascii="Calibri" w:hAnsi="Calibri"/>
                <w:b/>
                <w:color w:val="FFFFFF"/>
                <w:sz w:val="15"/>
              </w:rPr>
              <w:t>Option</w:t>
            </w:r>
          </w:p>
        </w:tc>
        <w:tc>
          <w:tcPr>
            <w:tcW w:type="dxa" w:w="2608"/>
            <w:shd w:val="clear" w:fill="1F3B57"/>
          </w:tcPr>
          <w:p>
            <w:pPr>
              <w:spacing w:after="20" w:before="20" w:line="240" w:lineRule="auto"/>
            </w:pPr>
            <w:r/>
            <w:r>
              <w:rPr>
                <w:rFonts w:ascii="Calibri" w:hAnsi="Calibri"/>
                <w:b/>
                <w:color w:val="FFFFFF"/>
                <w:sz w:val="15"/>
              </w:rPr>
              <w:t>Description</w:t>
            </w:r>
          </w:p>
        </w:tc>
        <w:tc>
          <w:tcPr>
            <w:tcW w:type="dxa" w:w="2268"/>
            <w:shd w:val="clear" w:fill="1F3B57"/>
          </w:tcPr>
          <w:p>
            <w:pPr>
              <w:spacing w:after="20" w:before="20" w:line="240" w:lineRule="auto"/>
            </w:pPr>
            <w:r/>
            <w:r>
              <w:rPr>
                <w:rFonts w:ascii="Calibri" w:hAnsi="Calibri"/>
                <w:b/>
                <w:color w:val="FFFFFF"/>
                <w:sz w:val="15"/>
              </w:rPr>
              <w:t>Advantages</w:t>
            </w:r>
          </w:p>
        </w:tc>
        <w:tc>
          <w:tcPr>
            <w:tcW w:type="dxa" w:w="2268"/>
            <w:shd w:val="clear" w:fill="1F3B57"/>
          </w:tcPr>
          <w:p>
            <w:pPr>
              <w:spacing w:after="20" w:before="20" w:line="240" w:lineRule="auto"/>
            </w:pPr>
            <w:r/>
            <w:r>
              <w:rPr>
                <w:rFonts w:ascii="Calibri" w:hAnsi="Calibri"/>
                <w:b/>
                <w:color w:val="FFFFFF"/>
                <w:sz w:val="15"/>
              </w:rPr>
              <w:t>Risks / considerations</w:t>
            </w:r>
          </w:p>
        </w:tc>
        <w:tc>
          <w:tcPr>
            <w:tcW w:type="dxa" w:w="907"/>
            <w:shd w:val="clear" w:fill="1F3B57"/>
          </w:tcPr>
          <w:p>
            <w:pPr>
              <w:spacing w:after="20" w:before="20" w:line="240" w:lineRule="auto"/>
            </w:pPr>
            <w:r/>
            <w:r>
              <w:rPr>
                <w:rFonts w:ascii="Calibri" w:hAnsi="Calibri"/>
                <w:b/>
                <w:color w:val="FFFFFF"/>
                <w:sz w:val="15"/>
              </w:rPr>
              <w:t>Recommendation</w:t>
            </w:r>
          </w:p>
        </w:tc>
      </w:tr>
      <w:tr>
        <w:tc>
          <w:tcPr>
            <w:tcW w:type="dxa" w:w="1701"/>
          </w:tcPr>
          <w:p>
            <w:pPr>
              <w:spacing w:after="20" w:before="20" w:line="240" w:lineRule="auto"/>
            </w:pPr>
            <w:r/>
            <w:r>
              <w:rPr>
                <w:rFonts w:ascii="Calibri" w:hAnsi="Calibri"/>
                <w:b w:val="0"/>
                <w:sz w:val="15"/>
              </w:rPr>
              <w:t>Direct connection to Oracle</w:t>
            </w:r>
          </w:p>
        </w:tc>
        <w:tc>
          <w:tcPr>
            <w:tcW w:type="dxa" w:w="2608"/>
          </w:tcPr>
          <w:p>
            <w:pPr>
              <w:spacing w:after="20" w:before="20" w:line="240" w:lineRule="auto"/>
            </w:pPr>
            <w:r/>
            <w:r>
              <w:rPr>
                <w:rFonts w:ascii="Calibri" w:hAnsi="Calibri"/>
                <w:b w:val="0"/>
                <w:sz w:val="15"/>
              </w:rPr>
              <w:t>Dashboard queries Oracle views live</w:t>
            </w:r>
          </w:p>
        </w:tc>
        <w:tc>
          <w:tcPr>
            <w:tcW w:type="dxa" w:w="2268"/>
          </w:tcPr>
          <w:p>
            <w:pPr>
              <w:spacing w:after="20" w:before="20" w:line="240" w:lineRule="auto"/>
            </w:pPr>
            <w:r/>
            <w:r>
              <w:rPr>
                <w:rFonts w:ascii="Calibri" w:hAnsi="Calibri"/>
                <w:b w:val="0"/>
                <w:sz w:val="15"/>
              </w:rPr>
              <w:t>No duplication; always current</w:t>
            </w:r>
          </w:p>
        </w:tc>
        <w:tc>
          <w:tcPr>
            <w:tcW w:type="dxa" w:w="2268"/>
          </w:tcPr>
          <w:p>
            <w:pPr>
              <w:spacing w:after="20" w:before="20" w:line="240" w:lineRule="auto"/>
            </w:pPr>
            <w:r/>
            <w:r>
              <w:rPr>
                <w:rFonts w:ascii="Calibri" w:hAnsi="Calibri"/>
                <w:b w:val="0"/>
                <w:sz w:val="15"/>
              </w:rPr>
              <w:t>Load on production ERP; complex Oracle joins in the BI layer; hard to apply business rules and history</w:t>
            </w:r>
          </w:p>
        </w:tc>
        <w:tc>
          <w:tcPr>
            <w:tcW w:type="dxa" w:w="907"/>
          </w:tcPr>
          <w:p>
            <w:pPr>
              <w:spacing w:after="20" w:before="20" w:line="240" w:lineRule="auto"/>
              <w:jc w:val="center"/>
            </w:pPr>
            <w:r/>
            <w:r>
              <w:rPr>
                <w:rFonts w:ascii="Calibri" w:hAnsi="Calibri"/>
                <w:b w:val="0"/>
                <w:sz w:val="15"/>
              </w:rPr>
              <w:t>Not recommended</w:t>
            </w:r>
          </w:p>
        </w:tc>
      </w:tr>
      <w:tr>
        <w:tc>
          <w:tcPr>
            <w:tcW w:type="dxa" w:w="1701"/>
            <w:shd w:val="clear" w:fill="F7F9FB"/>
          </w:tcPr>
          <w:p>
            <w:pPr>
              <w:spacing w:after="20" w:before="20" w:line="240" w:lineRule="auto"/>
            </w:pPr>
            <w:r/>
            <w:r>
              <w:rPr>
                <w:rFonts w:ascii="Calibri" w:hAnsi="Calibri"/>
                <w:b w:val="0"/>
                <w:sz w:val="15"/>
              </w:rPr>
              <w:t>Scheduled extract to a reporting mart</w:t>
            </w:r>
          </w:p>
        </w:tc>
        <w:tc>
          <w:tcPr>
            <w:tcW w:type="dxa" w:w="2608"/>
            <w:shd w:val="clear" w:fill="F7F9FB"/>
          </w:tcPr>
          <w:p>
            <w:pPr>
              <w:spacing w:after="20" w:before="20" w:line="240" w:lineRule="auto"/>
            </w:pPr>
            <w:r/>
            <w:r>
              <w:rPr>
                <w:rFonts w:ascii="Calibri" w:hAnsi="Calibri"/>
                <w:b w:val="0"/>
                <w:sz w:val="15"/>
              </w:rPr>
              <w:t>Nightly extract into a staging schema, transformed into a star schema for the BI tool</w:t>
            </w:r>
          </w:p>
        </w:tc>
        <w:tc>
          <w:tcPr>
            <w:tcW w:type="dxa" w:w="2268"/>
            <w:shd w:val="clear" w:fill="F7F9FB"/>
          </w:tcPr>
          <w:p>
            <w:pPr>
              <w:spacing w:after="20" w:before="20" w:line="240" w:lineRule="auto"/>
            </w:pPr>
            <w:r/>
            <w:r>
              <w:rPr>
                <w:rFonts w:ascii="Calibri" w:hAnsi="Calibri"/>
                <w:b w:val="0"/>
                <w:sz w:val="15"/>
              </w:rPr>
              <w:t>Protects ERP performance; business rules centralised; supports snapshots and restatement; testable</w:t>
            </w:r>
          </w:p>
        </w:tc>
        <w:tc>
          <w:tcPr>
            <w:tcW w:type="dxa" w:w="2268"/>
            <w:shd w:val="clear" w:fill="F7F9FB"/>
          </w:tcPr>
          <w:p>
            <w:pPr>
              <w:spacing w:after="20" w:before="20" w:line="240" w:lineRule="auto"/>
            </w:pPr>
            <w:r/>
            <w:r>
              <w:rPr>
                <w:rFonts w:ascii="Calibri" w:hAnsi="Calibri"/>
                <w:b w:val="0"/>
                <w:sz w:val="15"/>
              </w:rPr>
              <w:t>Requires extract scheduling and mart maintenance</w:t>
            </w:r>
          </w:p>
        </w:tc>
        <w:tc>
          <w:tcPr>
            <w:tcW w:type="dxa" w:w="907"/>
            <w:shd w:val="clear" w:fill="F7F9FB"/>
          </w:tcPr>
          <w:p>
            <w:pPr>
              <w:spacing w:after="20" w:before="20" w:line="240" w:lineRule="auto"/>
              <w:jc w:val="center"/>
            </w:pPr>
            <w:r/>
            <w:r>
              <w:rPr>
                <w:rFonts w:ascii="Calibri" w:hAnsi="Calibri"/>
                <w:b w:val="0"/>
                <w:sz w:val="15"/>
              </w:rPr>
              <w:t>Recommended</w:t>
            </w:r>
          </w:p>
        </w:tc>
      </w:tr>
      <w:tr>
        <w:tc>
          <w:tcPr>
            <w:tcW w:type="dxa" w:w="1701"/>
          </w:tcPr>
          <w:p>
            <w:pPr>
              <w:spacing w:after="20" w:before="20" w:line="240" w:lineRule="auto"/>
            </w:pPr>
            <w:r/>
            <w:r>
              <w:rPr>
                <w:rFonts w:ascii="Calibri" w:hAnsi="Calibri"/>
                <w:b w:val="0"/>
                <w:sz w:val="15"/>
              </w:rPr>
              <w:t>Manual file extracts</w:t>
            </w:r>
          </w:p>
        </w:tc>
        <w:tc>
          <w:tcPr>
            <w:tcW w:type="dxa" w:w="2608"/>
          </w:tcPr>
          <w:p>
            <w:pPr>
              <w:spacing w:after="20" w:before="20" w:line="240" w:lineRule="auto"/>
            </w:pPr>
            <w:r/>
            <w:r>
              <w:rPr>
                <w:rFonts w:ascii="Calibri" w:hAnsi="Calibri"/>
                <w:b w:val="0"/>
                <w:sz w:val="15"/>
              </w:rPr>
              <w:t>Exports from Oracle loaded by staff</w:t>
            </w:r>
          </w:p>
        </w:tc>
        <w:tc>
          <w:tcPr>
            <w:tcW w:type="dxa" w:w="2268"/>
          </w:tcPr>
          <w:p>
            <w:pPr>
              <w:spacing w:after="20" w:before="20" w:line="240" w:lineRule="auto"/>
            </w:pPr>
            <w:r/>
            <w:r>
              <w:rPr>
                <w:rFonts w:ascii="Calibri" w:hAnsi="Calibri"/>
                <w:b w:val="0"/>
                <w:sz w:val="15"/>
              </w:rPr>
              <w:t>No technical dependency</w:t>
            </w:r>
          </w:p>
        </w:tc>
        <w:tc>
          <w:tcPr>
            <w:tcW w:type="dxa" w:w="2268"/>
          </w:tcPr>
          <w:p>
            <w:pPr>
              <w:spacing w:after="20" w:before="20" w:line="240" w:lineRule="auto"/>
            </w:pPr>
            <w:r/>
            <w:r>
              <w:rPr>
                <w:rFonts w:ascii="Calibri" w:hAnsi="Calibri"/>
                <w:b w:val="0"/>
                <w:sz w:val="15"/>
              </w:rPr>
              <w:t>Reintroduces manual effort and error; not sustainable</w:t>
            </w:r>
          </w:p>
        </w:tc>
        <w:tc>
          <w:tcPr>
            <w:tcW w:type="dxa" w:w="907"/>
          </w:tcPr>
          <w:p>
            <w:pPr>
              <w:spacing w:after="20" w:before="20" w:line="240" w:lineRule="auto"/>
              <w:jc w:val="center"/>
            </w:pPr>
            <w:r/>
            <w:r>
              <w:rPr>
                <w:rFonts w:ascii="Calibri" w:hAnsi="Calibri"/>
                <w:b w:val="0"/>
                <w:sz w:val="15"/>
              </w:rPr>
              <w:t>Interim only, for historical load if required</w:t>
            </w:r>
          </w:p>
        </w:tc>
      </w:tr>
    </w:tbl>
    <w:p>
      <w:pPr>
        <w:spacing w:after="20"/>
      </w:pPr>
    </w:p>
    <w:p>
      <w:pPr>
        <w:pStyle w:val="Heading2"/>
      </w:pPr>
      <w:r>
        <w:t>13.3 Transformation rules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trPr>
        <w:tc>
          <w:tcPr>
            <w:tcW w:type="dxa" w:w="907"/>
            <w:shd w:val="clear" w:fill="1F3B57"/>
          </w:tcPr>
          <w:p>
            <w:pPr>
              <w:spacing w:after="20" w:before="20" w:line="240" w:lineRule="auto"/>
            </w:pPr>
            <w:r/>
            <w:r>
              <w:rPr>
                <w:rFonts w:ascii="Calibri" w:hAnsi="Calibri"/>
                <w:b/>
                <w:color w:val="FFFFFF"/>
                <w:sz w:val="16"/>
              </w:rPr>
              <w:t>Ref</w:t>
            </w:r>
          </w:p>
        </w:tc>
        <w:tc>
          <w:tcPr>
            <w:tcW w:type="dxa" w:w="2381"/>
            <w:shd w:val="clear" w:fill="1F3B57"/>
          </w:tcPr>
          <w:p>
            <w:pPr>
              <w:spacing w:after="20" w:before="20" w:line="240" w:lineRule="auto"/>
            </w:pPr>
            <w:r/>
            <w:r>
              <w:rPr>
                <w:rFonts w:ascii="Calibri" w:hAnsi="Calibri"/>
                <w:b/>
                <w:color w:val="FFFFFF"/>
                <w:sz w:val="16"/>
              </w:rPr>
              <w:t>Rule</w:t>
            </w:r>
          </w:p>
        </w:tc>
        <w:tc>
          <w:tcPr>
            <w:tcW w:type="dxa" w:w="6463"/>
            <w:shd w:val="clear" w:fill="1F3B57"/>
          </w:tcPr>
          <w:p>
            <w:pPr>
              <w:spacing w:after="20" w:before="20" w:line="240" w:lineRule="auto"/>
            </w:pPr>
            <w:r/>
            <w:r>
              <w:rPr>
                <w:rFonts w:ascii="Calibri" w:hAnsi="Calibri"/>
                <w:b/>
                <w:color w:val="FFFFFF"/>
                <w:sz w:val="16"/>
              </w:rPr>
              <w:t>Detail</w:t>
            </w:r>
          </w:p>
        </w:tc>
      </w:tr>
      <w:tr>
        <w:tc>
          <w:tcPr>
            <w:tcW w:type="dxa" w:w="907"/>
          </w:tcPr>
          <w:p>
            <w:pPr>
              <w:spacing w:after="20" w:before="20" w:line="240" w:lineRule="auto"/>
              <w:jc w:val="center"/>
            </w:pPr>
            <w:r/>
            <w:r>
              <w:rPr>
                <w:rFonts w:ascii="Calibri" w:hAnsi="Calibri"/>
                <w:b w:val="0"/>
                <w:sz w:val="16"/>
              </w:rPr>
              <w:t>TR-01</w:t>
            </w:r>
          </w:p>
        </w:tc>
        <w:tc>
          <w:tcPr>
            <w:tcW w:type="dxa" w:w="2381"/>
          </w:tcPr>
          <w:p>
            <w:pPr>
              <w:spacing w:after="20" w:before="20" w:line="240" w:lineRule="auto"/>
            </w:pPr>
            <w:r/>
            <w:r>
              <w:rPr>
                <w:rFonts w:ascii="Calibri" w:hAnsi="Calibri"/>
                <w:b w:val="0"/>
                <w:sz w:val="16"/>
              </w:rPr>
              <w:t>Unit-of-measure normalisation</w:t>
            </w:r>
          </w:p>
        </w:tc>
        <w:tc>
          <w:tcPr>
            <w:tcW w:type="dxa" w:w="6463"/>
          </w:tcPr>
          <w:p>
            <w:pPr>
              <w:spacing w:after="20" w:before="20" w:line="240" w:lineRule="auto"/>
            </w:pPr>
            <w:r/>
            <w:r>
              <w:rPr>
                <w:rFonts w:ascii="Calibri" w:hAnsi="Calibri"/>
                <w:b w:val="0"/>
                <w:sz w:val="16"/>
              </w:rPr>
              <w:t>All quantities converted to the item's base UOM using pack size; original UOM retained for reference.</w:t>
            </w:r>
          </w:p>
        </w:tc>
      </w:tr>
      <w:tr>
        <w:tc>
          <w:tcPr>
            <w:tcW w:type="dxa" w:w="907"/>
            <w:shd w:val="clear" w:fill="F7F9FB"/>
          </w:tcPr>
          <w:p>
            <w:pPr>
              <w:spacing w:after="20" w:before="20" w:line="240" w:lineRule="auto"/>
              <w:jc w:val="center"/>
            </w:pPr>
            <w:r/>
            <w:r>
              <w:rPr>
                <w:rFonts w:ascii="Calibri" w:hAnsi="Calibri"/>
                <w:b w:val="0"/>
                <w:sz w:val="16"/>
              </w:rPr>
              <w:t>TR-02</w:t>
            </w:r>
          </w:p>
        </w:tc>
        <w:tc>
          <w:tcPr>
            <w:tcW w:type="dxa" w:w="2381"/>
            <w:shd w:val="clear" w:fill="F7F9FB"/>
          </w:tcPr>
          <w:p>
            <w:pPr>
              <w:spacing w:after="20" w:before="20" w:line="240" w:lineRule="auto"/>
            </w:pPr>
            <w:r/>
            <w:r>
              <w:rPr>
                <w:rFonts w:ascii="Calibri" w:hAnsi="Calibri"/>
                <w:b w:val="0"/>
                <w:sz w:val="16"/>
              </w:rPr>
              <w:t>Value calculation</w:t>
            </w:r>
          </w:p>
        </w:tc>
        <w:tc>
          <w:tcPr>
            <w:tcW w:type="dxa" w:w="6463"/>
            <w:shd w:val="clear" w:fill="F7F9FB"/>
          </w:tcPr>
          <w:p>
            <w:pPr>
              <w:spacing w:after="20" w:before="20" w:line="240" w:lineRule="auto"/>
            </w:pPr>
            <w:r/>
            <w:r>
              <w:rPr>
                <w:rFonts w:ascii="Calibri" w:hAnsi="Calibri"/>
                <w:b w:val="0"/>
                <w:sz w:val="16"/>
              </w:rPr>
              <w:t>Line value = quantity × unit cost. Issue value uses the batch cost at the time of issue; PO value uses PO unit price.</w:t>
            </w:r>
          </w:p>
        </w:tc>
      </w:tr>
      <w:tr>
        <w:tc>
          <w:tcPr>
            <w:tcW w:type="dxa" w:w="907"/>
          </w:tcPr>
          <w:p>
            <w:pPr>
              <w:spacing w:after="20" w:before="20" w:line="240" w:lineRule="auto"/>
              <w:jc w:val="center"/>
            </w:pPr>
            <w:r/>
            <w:r>
              <w:rPr>
                <w:rFonts w:ascii="Calibri" w:hAnsi="Calibri"/>
                <w:b w:val="0"/>
                <w:sz w:val="16"/>
              </w:rPr>
              <w:t>TR-03</w:t>
            </w:r>
          </w:p>
        </w:tc>
        <w:tc>
          <w:tcPr>
            <w:tcW w:type="dxa" w:w="2381"/>
          </w:tcPr>
          <w:p>
            <w:pPr>
              <w:spacing w:after="20" w:before="20" w:line="240" w:lineRule="auto"/>
            </w:pPr>
            <w:r/>
            <w:r>
              <w:rPr>
                <w:rFonts w:ascii="Calibri" w:hAnsi="Calibri"/>
                <w:b w:val="0"/>
                <w:sz w:val="16"/>
              </w:rPr>
              <w:t>Currency</w:t>
            </w:r>
          </w:p>
        </w:tc>
        <w:tc>
          <w:tcPr>
            <w:tcW w:type="dxa" w:w="6463"/>
          </w:tcPr>
          <w:p>
            <w:pPr>
              <w:spacing w:after="20" w:before="20" w:line="240" w:lineRule="auto"/>
            </w:pPr>
            <w:r/>
            <w:r>
              <w:rPr>
                <w:rFonts w:ascii="Calibri" w:hAnsi="Calibri"/>
                <w:b w:val="0"/>
                <w:sz w:val="16"/>
              </w:rPr>
              <w:t>All values reported in PKR. Foreign currency purchases (if any) converted at the PO date rate; rate source documented.</w:t>
            </w:r>
          </w:p>
        </w:tc>
      </w:tr>
      <w:tr>
        <w:tc>
          <w:tcPr>
            <w:tcW w:type="dxa" w:w="907"/>
            <w:shd w:val="clear" w:fill="F7F9FB"/>
          </w:tcPr>
          <w:p>
            <w:pPr>
              <w:spacing w:after="20" w:before="20" w:line="240" w:lineRule="auto"/>
              <w:jc w:val="center"/>
            </w:pPr>
            <w:r/>
            <w:r>
              <w:rPr>
                <w:rFonts w:ascii="Calibri" w:hAnsi="Calibri"/>
                <w:b w:val="0"/>
                <w:sz w:val="16"/>
              </w:rPr>
              <w:t>TR-04</w:t>
            </w:r>
          </w:p>
        </w:tc>
        <w:tc>
          <w:tcPr>
            <w:tcW w:type="dxa" w:w="2381"/>
            <w:shd w:val="clear" w:fill="F7F9FB"/>
          </w:tcPr>
          <w:p>
            <w:pPr>
              <w:spacing w:after="20" w:before="20" w:line="240" w:lineRule="auto"/>
            </w:pPr>
            <w:r/>
            <w:r>
              <w:rPr>
                <w:rFonts w:ascii="Calibri" w:hAnsi="Calibri"/>
                <w:b w:val="0"/>
                <w:sz w:val="16"/>
              </w:rPr>
              <w:t>Tax treatment</w:t>
            </w:r>
          </w:p>
        </w:tc>
        <w:tc>
          <w:tcPr>
            <w:tcW w:type="dxa" w:w="6463"/>
            <w:shd w:val="clear" w:fill="F7F9FB"/>
          </w:tcPr>
          <w:p>
            <w:pPr>
              <w:spacing w:after="20" w:before="20" w:line="240" w:lineRule="auto"/>
            </w:pPr>
            <w:r/>
            <w:r>
              <w:rPr>
                <w:rFonts w:ascii="Calibri" w:hAnsi="Calibri"/>
                <w:b w:val="0"/>
                <w:sz w:val="16"/>
              </w:rPr>
              <w:t>Values reported exclusive of sales tax and other recoverable taxes; the basis is stated on the page.</w:t>
            </w:r>
          </w:p>
        </w:tc>
      </w:tr>
      <w:tr>
        <w:tc>
          <w:tcPr>
            <w:tcW w:type="dxa" w:w="907"/>
          </w:tcPr>
          <w:p>
            <w:pPr>
              <w:spacing w:after="20" w:before="20" w:line="240" w:lineRule="auto"/>
              <w:jc w:val="center"/>
            </w:pPr>
            <w:r/>
            <w:r>
              <w:rPr>
                <w:rFonts w:ascii="Calibri" w:hAnsi="Calibri"/>
                <w:b w:val="0"/>
                <w:sz w:val="16"/>
              </w:rPr>
              <w:t>TR-05</w:t>
            </w:r>
          </w:p>
        </w:tc>
        <w:tc>
          <w:tcPr>
            <w:tcW w:type="dxa" w:w="2381"/>
          </w:tcPr>
          <w:p>
            <w:pPr>
              <w:spacing w:after="20" w:before="20" w:line="240" w:lineRule="auto"/>
            </w:pPr>
            <w:r/>
            <w:r>
              <w:rPr>
                <w:rFonts w:ascii="Calibri" w:hAnsi="Calibri"/>
                <w:b w:val="0"/>
                <w:sz w:val="16"/>
              </w:rPr>
              <w:t>Cancelled and rejected documents</w:t>
            </w:r>
          </w:p>
        </w:tc>
        <w:tc>
          <w:tcPr>
            <w:tcW w:type="dxa" w:w="6463"/>
          </w:tcPr>
          <w:p>
            <w:pPr>
              <w:spacing w:after="20" w:before="20" w:line="240" w:lineRule="auto"/>
            </w:pPr>
            <w:r/>
            <w:r>
              <w:rPr>
                <w:rFonts w:ascii="Calibri" w:hAnsi="Calibri"/>
                <w:b w:val="0"/>
                <w:sz w:val="16"/>
              </w:rPr>
              <w:t>Cancelled POs excluded from investment; rejected GRN lines excluded from receipts and stock.</w:t>
            </w:r>
          </w:p>
        </w:tc>
      </w:tr>
      <w:tr>
        <w:tc>
          <w:tcPr>
            <w:tcW w:type="dxa" w:w="907"/>
            <w:shd w:val="clear" w:fill="F7F9FB"/>
          </w:tcPr>
          <w:p>
            <w:pPr>
              <w:spacing w:after="20" w:before="20" w:line="240" w:lineRule="auto"/>
              <w:jc w:val="center"/>
            </w:pPr>
            <w:r/>
            <w:r>
              <w:rPr>
                <w:rFonts w:ascii="Calibri" w:hAnsi="Calibri"/>
                <w:b w:val="0"/>
                <w:sz w:val="16"/>
              </w:rPr>
              <w:t>TR-06</w:t>
            </w:r>
          </w:p>
        </w:tc>
        <w:tc>
          <w:tcPr>
            <w:tcW w:type="dxa" w:w="2381"/>
            <w:shd w:val="clear" w:fill="F7F9FB"/>
          </w:tcPr>
          <w:p>
            <w:pPr>
              <w:spacing w:after="20" w:before="20" w:line="240" w:lineRule="auto"/>
            </w:pPr>
            <w:r/>
            <w:r>
              <w:rPr>
                <w:rFonts w:ascii="Calibri" w:hAnsi="Calibri"/>
                <w:b w:val="0"/>
                <w:sz w:val="16"/>
              </w:rPr>
              <w:t>Duplicate removal</w:t>
            </w:r>
          </w:p>
        </w:tc>
        <w:tc>
          <w:tcPr>
            <w:tcW w:type="dxa" w:w="6463"/>
            <w:shd w:val="clear" w:fill="F7F9FB"/>
          </w:tcPr>
          <w:p>
            <w:pPr>
              <w:spacing w:after="20" w:before="20" w:line="240" w:lineRule="auto"/>
            </w:pPr>
            <w:r/>
            <w:r>
              <w:rPr>
                <w:rFonts w:ascii="Calibri" w:hAnsi="Calibri"/>
                <w:b w:val="0"/>
                <w:sz w:val="16"/>
              </w:rPr>
              <w:t>GRN lines deduplicated on GRN number + item + batch + quantity + value; the retained record is the earliest.</w:t>
            </w:r>
          </w:p>
        </w:tc>
      </w:tr>
      <w:tr>
        <w:tc>
          <w:tcPr>
            <w:tcW w:type="dxa" w:w="907"/>
          </w:tcPr>
          <w:p>
            <w:pPr>
              <w:spacing w:after="20" w:before="20" w:line="240" w:lineRule="auto"/>
              <w:jc w:val="center"/>
            </w:pPr>
            <w:r/>
            <w:r>
              <w:rPr>
                <w:rFonts w:ascii="Calibri" w:hAnsi="Calibri"/>
                <w:b w:val="0"/>
                <w:sz w:val="16"/>
              </w:rPr>
              <w:t>TR-07</w:t>
            </w:r>
          </w:p>
        </w:tc>
        <w:tc>
          <w:tcPr>
            <w:tcW w:type="dxa" w:w="2381"/>
          </w:tcPr>
          <w:p>
            <w:pPr>
              <w:spacing w:after="20" w:before="20" w:line="240" w:lineRule="auto"/>
            </w:pPr>
            <w:r/>
            <w:r>
              <w:rPr>
                <w:rFonts w:ascii="Calibri" w:hAnsi="Calibri"/>
                <w:b w:val="0"/>
                <w:sz w:val="16"/>
              </w:rPr>
              <w:t>Unattributed issues</w:t>
            </w:r>
          </w:p>
        </w:tc>
        <w:tc>
          <w:tcPr>
            <w:tcW w:type="dxa" w:w="6463"/>
          </w:tcPr>
          <w:p>
            <w:pPr>
              <w:spacing w:after="20" w:before="20" w:line="240" w:lineRule="auto"/>
            </w:pPr>
            <w:r/>
            <w:r>
              <w:rPr>
                <w:rFonts w:ascii="Calibri" w:hAnsi="Calibri"/>
                <w:b w:val="0"/>
                <w:sz w:val="16"/>
              </w:rPr>
              <w:t>Issues charged to generic or invalid project codes retained in totals and flagged with the original consuming project where identifiable.</w:t>
            </w:r>
          </w:p>
        </w:tc>
      </w:tr>
      <w:tr>
        <w:tc>
          <w:tcPr>
            <w:tcW w:type="dxa" w:w="907"/>
            <w:shd w:val="clear" w:fill="F7F9FB"/>
          </w:tcPr>
          <w:p>
            <w:pPr>
              <w:spacing w:after="20" w:before="20" w:line="240" w:lineRule="auto"/>
              <w:jc w:val="center"/>
            </w:pPr>
            <w:r/>
            <w:r>
              <w:rPr>
                <w:rFonts w:ascii="Calibri" w:hAnsi="Calibri"/>
                <w:b w:val="0"/>
                <w:sz w:val="16"/>
              </w:rPr>
              <w:t>TR-08</w:t>
            </w:r>
          </w:p>
        </w:tc>
        <w:tc>
          <w:tcPr>
            <w:tcW w:type="dxa" w:w="2381"/>
            <w:shd w:val="clear" w:fill="F7F9FB"/>
          </w:tcPr>
          <w:p>
            <w:pPr>
              <w:spacing w:after="20" w:before="20" w:line="240" w:lineRule="auto"/>
            </w:pPr>
            <w:r/>
            <w:r>
              <w:rPr>
                <w:rFonts w:ascii="Calibri" w:hAnsi="Calibri"/>
                <w:b w:val="0"/>
                <w:sz w:val="16"/>
              </w:rPr>
              <w:t>Transfers</w:t>
            </w:r>
          </w:p>
        </w:tc>
        <w:tc>
          <w:tcPr>
            <w:tcW w:type="dxa" w:w="6463"/>
            <w:shd w:val="clear" w:fill="F7F9FB"/>
          </w:tcPr>
          <w:p>
            <w:pPr>
              <w:spacing w:after="20" w:before="20" w:line="240" w:lineRule="auto"/>
            </w:pPr>
            <w:r/>
            <w:r>
              <w:rPr>
                <w:rFonts w:ascii="Calibri" w:hAnsi="Calibri"/>
                <w:b w:val="0"/>
                <w:sz w:val="16"/>
              </w:rPr>
              <w:t>Inter-store transfers excluded from project consumption and reported separately to avoid double counting.</w:t>
            </w:r>
          </w:p>
        </w:tc>
      </w:tr>
      <w:tr>
        <w:tc>
          <w:tcPr>
            <w:tcW w:type="dxa" w:w="907"/>
          </w:tcPr>
          <w:p>
            <w:pPr>
              <w:spacing w:after="20" w:before="20" w:line="240" w:lineRule="auto"/>
              <w:jc w:val="center"/>
            </w:pPr>
            <w:r/>
            <w:r>
              <w:rPr>
                <w:rFonts w:ascii="Calibri" w:hAnsi="Calibri"/>
                <w:b w:val="0"/>
                <w:sz w:val="16"/>
              </w:rPr>
              <w:t>TR-09</w:t>
            </w:r>
          </w:p>
        </w:tc>
        <w:tc>
          <w:tcPr>
            <w:tcW w:type="dxa" w:w="2381"/>
          </w:tcPr>
          <w:p>
            <w:pPr>
              <w:spacing w:after="20" w:before="20" w:line="240" w:lineRule="auto"/>
            </w:pPr>
            <w:r/>
            <w:r>
              <w:rPr>
                <w:rFonts w:ascii="Calibri" w:hAnsi="Calibri"/>
                <w:b w:val="0"/>
                <w:sz w:val="16"/>
              </w:rPr>
              <w:t>Zero or missing price</w:t>
            </w:r>
          </w:p>
        </w:tc>
        <w:tc>
          <w:tcPr>
            <w:tcW w:type="dxa" w:w="6463"/>
          </w:tcPr>
          <w:p>
            <w:pPr>
              <w:spacing w:after="20" w:before="20" w:line="240" w:lineRule="auto"/>
            </w:pPr>
            <w:r/>
            <w:r>
              <w:rPr>
                <w:rFonts w:ascii="Calibri" w:hAnsi="Calibri"/>
                <w:b w:val="0"/>
                <w:sz w:val="16"/>
              </w:rPr>
              <w:t>Issues with zero cost valued at the standard cost and flagged; PO lines with zero value excluded from price averages and shown as donated or in-kind.</w:t>
            </w:r>
          </w:p>
        </w:tc>
      </w:tr>
      <w:tr>
        <w:tc>
          <w:tcPr>
            <w:tcW w:type="dxa" w:w="907"/>
            <w:shd w:val="clear" w:fill="F7F9FB"/>
          </w:tcPr>
          <w:p>
            <w:pPr>
              <w:spacing w:after="20" w:before="20" w:line="240" w:lineRule="auto"/>
              <w:jc w:val="center"/>
            </w:pPr>
            <w:r/>
            <w:r>
              <w:rPr>
                <w:rFonts w:ascii="Calibri" w:hAnsi="Calibri"/>
                <w:b w:val="0"/>
                <w:sz w:val="16"/>
              </w:rPr>
              <w:t>TR-10</w:t>
            </w:r>
          </w:p>
        </w:tc>
        <w:tc>
          <w:tcPr>
            <w:tcW w:type="dxa" w:w="2381"/>
            <w:shd w:val="clear" w:fill="F7F9FB"/>
          </w:tcPr>
          <w:p>
            <w:pPr>
              <w:spacing w:after="20" w:before="20" w:line="240" w:lineRule="auto"/>
            </w:pPr>
            <w:r/>
            <w:r>
              <w:rPr>
                <w:rFonts w:ascii="Calibri" w:hAnsi="Calibri"/>
                <w:b w:val="0"/>
                <w:sz w:val="16"/>
              </w:rPr>
              <w:t>Closed projects</w:t>
            </w:r>
          </w:p>
        </w:tc>
        <w:tc>
          <w:tcPr>
            <w:tcW w:type="dxa" w:w="6463"/>
            <w:shd w:val="clear" w:fill="F7F9FB"/>
          </w:tcPr>
          <w:p>
            <w:pPr>
              <w:spacing w:after="20" w:before="20" w:line="240" w:lineRule="auto"/>
            </w:pPr>
            <w:r/>
            <w:r>
              <w:rPr>
                <w:rFonts w:ascii="Calibri" w:hAnsi="Calibri"/>
                <w:b w:val="0"/>
                <w:sz w:val="16"/>
              </w:rPr>
              <w:t>Closed projects retain transactions for active months; post-close charges flagged as late charges.</w:t>
            </w:r>
          </w:p>
        </w:tc>
      </w:tr>
      <w:tr>
        <w:tc>
          <w:tcPr>
            <w:tcW w:type="dxa" w:w="907"/>
          </w:tcPr>
          <w:p>
            <w:pPr>
              <w:spacing w:after="20" w:before="20" w:line="240" w:lineRule="auto"/>
              <w:jc w:val="center"/>
            </w:pPr>
            <w:r/>
            <w:r>
              <w:rPr>
                <w:rFonts w:ascii="Calibri" w:hAnsi="Calibri"/>
                <w:b w:val="0"/>
                <w:sz w:val="16"/>
              </w:rPr>
              <w:t>TR-11</w:t>
            </w:r>
          </w:p>
        </w:tc>
        <w:tc>
          <w:tcPr>
            <w:tcW w:type="dxa" w:w="2381"/>
          </w:tcPr>
          <w:p>
            <w:pPr>
              <w:spacing w:after="20" w:before="20" w:line="240" w:lineRule="auto"/>
            </w:pPr>
            <w:r/>
            <w:r>
              <w:rPr>
                <w:rFonts w:ascii="Calibri" w:hAnsi="Calibri"/>
                <w:b w:val="0"/>
                <w:sz w:val="16"/>
              </w:rPr>
              <w:t>Period assignment</w:t>
            </w:r>
          </w:p>
        </w:tc>
        <w:tc>
          <w:tcPr>
            <w:tcW w:type="dxa" w:w="6463"/>
          </w:tcPr>
          <w:p>
            <w:pPr>
              <w:spacing w:after="20" w:before="20" w:line="240" w:lineRule="auto"/>
            </w:pPr>
            <w:r/>
            <w:r>
              <w:rPr>
                <w:rFonts w:ascii="Calibri" w:hAnsi="Calibri"/>
                <w:b w:val="0"/>
                <w:sz w:val="16"/>
              </w:rPr>
              <w:t>Transactions assigned to the month of the document date; the fiscal year derives from July–June convention.</w:t>
            </w:r>
          </w:p>
        </w:tc>
      </w:tr>
      <w:tr>
        <w:tc>
          <w:tcPr>
            <w:tcW w:type="dxa" w:w="907"/>
            <w:shd w:val="clear" w:fill="F7F9FB"/>
          </w:tcPr>
          <w:p>
            <w:pPr>
              <w:spacing w:after="20" w:before="20" w:line="240" w:lineRule="auto"/>
              <w:jc w:val="center"/>
            </w:pPr>
            <w:r/>
            <w:r>
              <w:rPr>
                <w:rFonts w:ascii="Calibri" w:hAnsi="Calibri"/>
                <w:b w:val="0"/>
                <w:sz w:val="16"/>
              </w:rPr>
              <w:t>TR-12</w:t>
            </w:r>
          </w:p>
        </w:tc>
        <w:tc>
          <w:tcPr>
            <w:tcW w:type="dxa" w:w="2381"/>
            <w:shd w:val="clear" w:fill="F7F9FB"/>
          </w:tcPr>
          <w:p>
            <w:pPr>
              <w:spacing w:after="20" w:before="20" w:line="240" w:lineRule="auto"/>
            </w:pPr>
            <w:r/>
            <w:r>
              <w:rPr>
                <w:rFonts w:ascii="Calibri" w:hAnsi="Calibri"/>
                <w:b w:val="0"/>
                <w:sz w:val="16"/>
              </w:rPr>
              <w:t>Snapshot preservation</w:t>
            </w:r>
          </w:p>
        </w:tc>
        <w:tc>
          <w:tcPr>
            <w:tcW w:type="dxa" w:w="6463"/>
            <w:shd w:val="clear" w:fill="F7F9FB"/>
          </w:tcPr>
          <w:p>
            <w:pPr>
              <w:spacing w:after="20" w:before="20" w:line="240" w:lineRule="auto"/>
            </w:pPr>
            <w:r/>
            <w:r>
              <w:rPr>
                <w:rFonts w:ascii="Calibri" w:hAnsi="Calibri"/>
                <w:b w:val="0"/>
                <w:sz w:val="16"/>
              </w:rPr>
              <w:t>At each month-end close a snapshot is stored so that prior reports can be reproduced and restatements quantified.</w:t>
            </w:r>
          </w:p>
        </w:tc>
      </w:tr>
      <w:tr>
        <w:tc>
          <w:tcPr>
            <w:tcW w:type="dxa" w:w="907"/>
          </w:tcPr>
          <w:p>
            <w:pPr>
              <w:spacing w:after="20" w:before="20" w:line="240" w:lineRule="auto"/>
              <w:jc w:val="center"/>
            </w:pPr>
            <w:r/>
            <w:r>
              <w:rPr>
                <w:rFonts w:ascii="Calibri" w:hAnsi="Calibri"/>
                <w:b w:val="0"/>
                <w:sz w:val="16"/>
              </w:rPr>
              <w:t>TR-13</w:t>
            </w:r>
          </w:p>
        </w:tc>
        <w:tc>
          <w:tcPr>
            <w:tcW w:type="dxa" w:w="2381"/>
          </w:tcPr>
          <w:p>
            <w:pPr>
              <w:spacing w:after="20" w:before="20" w:line="240" w:lineRule="auto"/>
            </w:pPr>
            <w:r/>
            <w:r>
              <w:rPr>
                <w:rFonts w:ascii="Calibri" w:hAnsi="Calibri"/>
                <w:b w:val="0"/>
                <w:sz w:val="16"/>
              </w:rPr>
              <w:t>Late-arriving transactions</w:t>
            </w:r>
          </w:p>
        </w:tc>
        <w:tc>
          <w:tcPr>
            <w:tcW w:type="dxa" w:w="6463"/>
          </w:tcPr>
          <w:p>
            <w:pPr>
              <w:spacing w:after="20" w:before="20" w:line="240" w:lineRule="auto"/>
            </w:pPr>
            <w:r/>
            <w:r>
              <w:rPr>
                <w:rFonts w:ascii="Calibri" w:hAnsi="Calibri"/>
                <w:b w:val="0"/>
                <w:sz w:val="16"/>
              </w:rPr>
              <w:t>Transactions posted after the snapshot appear in the current view as restatement, with the value of the difference shown.</w:t>
            </w:r>
          </w:p>
        </w:tc>
      </w:tr>
      <w:tr>
        <w:tc>
          <w:tcPr>
            <w:tcW w:type="dxa" w:w="907"/>
            <w:shd w:val="clear" w:fill="F7F9FB"/>
          </w:tcPr>
          <w:p>
            <w:pPr>
              <w:spacing w:after="20" w:before="20" w:line="240" w:lineRule="auto"/>
              <w:jc w:val="center"/>
            </w:pPr>
            <w:r/>
            <w:r>
              <w:rPr>
                <w:rFonts w:ascii="Calibri" w:hAnsi="Calibri"/>
                <w:b w:val="0"/>
                <w:sz w:val="16"/>
              </w:rPr>
              <w:t>TR-14</w:t>
            </w:r>
          </w:p>
        </w:tc>
        <w:tc>
          <w:tcPr>
            <w:tcW w:type="dxa" w:w="2381"/>
            <w:shd w:val="clear" w:fill="F7F9FB"/>
          </w:tcPr>
          <w:p>
            <w:pPr>
              <w:spacing w:after="20" w:before="20" w:line="240" w:lineRule="auto"/>
            </w:pPr>
            <w:r/>
            <w:r>
              <w:rPr>
                <w:rFonts w:ascii="Calibri" w:hAnsi="Calibri"/>
                <w:b w:val="0"/>
                <w:sz w:val="16"/>
              </w:rPr>
              <w:t>Service-delivery alignment</w:t>
            </w:r>
          </w:p>
        </w:tc>
        <w:tc>
          <w:tcPr>
            <w:tcW w:type="dxa" w:w="6463"/>
            <w:shd w:val="clear" w:fill="F7F9FB"/>
          </w:tcPr>
          <w:p>
            <w:pPr>
              <w:spacing w:after="20" w:before="20" w:line="240" w:lineRule="auto"/>
            </w:pPr>
            <w:r/>
            <w:r>
              <w:rPr>
                <w:rFonts w:ascii="Calibri" w:hAnsi="Calibri"/>
                <w:b w:val="0"/>
                <w:sz w:val="16"/>
              </w:rPr>
              <w:t>Beneficiary and visit counts supplied by Programme are matched on project and month; missing months leave the ratio blank rather than zero.</w:t>
            </w:r>
          </w:p>
        </w:tc>
      </w:tr>
    </w:tbl>
    <w:p>
      <w:pPr>
        <w:spacing w:after="20"/>
      </w:pPr>
    </w:p>
    <w:p>
      <w:pPr>
        <w:pStyle w:val="Heading2"/>
      </w:pPr>
      <w:r>
        <w:t>13.4 Data volumes and performance assumptions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trPr>
        <w:tc>
          <w:tcPr>
            <w:tcW w:type="dxa" w:w="2381"/>
            <w:shd w:val="clear" w:fill="1F3B57"/>
          </w:tcPr>
          <w:p>
            <w:pPr>
              <w:spacing w:after="20" w:before="20" w:line="240" w:lineRule="auto"/>
            </w:pPr>
            <w:r/>
            <w:r>
              <w:rPr>
                <w:rFonts w:ascii="Calibri" w:hAnsi="Calibri"/>
                <w:b/>
                <w:color w:val="FFFFFF"/>
                <w:sz w:val="16"/>
              </w:rPr>
              <w:t>Object</w:t>
            </w:r>
          </w:p>
        </w:tc>
        <w:tc>
          <w:tcPr>
            <w:tcW w:type="dxa" w:w="2381"/>
            <w:shd w:val="clear" w:fill="1F3B57"/>
          </w:tcPr>
          <w:p>
            <w:pPr>
              <w:spacing w:after="20" w:before="20" w:line="240" w:lineRule="auto"/>
            </w:pPr>
            <w:r/>
            <w:r>
              <w:rPr>
                <w:rFonts w:ascii="Calibri" w:hAnsi="Calibri"/>
                <w:b/>
                <w:color w:val="FFFFFF"/>
                <w:sz w:val="16"/>
              </w:rPr>
              <w:t>Volume to expect (per year)</w:t>
            </w:r>
          </w:p>
        </w:tc>
        <w:tc>
          <w:tcPr>
            <w:tcW w:type="dxa" w:w="1701"/>
            <w:shd w:val="clear" w:fill="1F3B57"/>
          </w:tcPr>
          <w:p>
            <w:pPr>
              <w:spacing w:after="20" w:before="20" w:line="240" w:lineRule="auto"/>
            </w:pPr>
            <w:r/>
            <w:r>
              <w:rPr>
                <w:rFonts w:ascii="Calibri" w:hAnsi="Calibri"/>
                <w:b/>
                <w:color w:val="FFFFFF"/>
                <w:sz w:val="16"/>
              </w:rPr>
              <w:t>Retention</w:t>
            </w:r>
          </w:p>
        </w:tc>
        <w:tc>
          <w:tcPr>
            <w:tcW w:type="dxa" w:w="3288"/>
            <w:shd w:val="clear" w:fill="1F3B57"/>
          </w:tcPr>
          <w:p>
            <w:pPr>
              <w:spacing w:after="20" w:before="20" w:line="240" w:lineRule="auto"/>
            </w:pPr>
            <w:r/>
            <w:r>
              <w:rPr>
                <w:rFonts w:ascii="Calibri" w:hAnsi="Calibri"/>
                <w:b/>
                <w:color w:val="FFFFFF"/>
                <w:sz w:val="16"/>
              </w:rPr>
              <w:t>Notes</w:t>
            </w:r>
          </w:p>
        </w:tc>
      </w:tr>
      <w:tr>
        <w:tc>
          <w:tcPr>
            <w:tcW w:type="dxa" w:w="2381"/>
          </w:tcPr>
          <w:p>
            <w:pPr>
              <w:spacing w:after="20" w:before="20" w:line="240" w:lineRule="auto"/>
            </w:pPr>
            <w:r/>
            <w:r>
              <w:rPr>
                <w:rFonts w:ascii="Calibri" w:hAnsi="Calibri"/>
                <w:b w:val="0"/>
                <w:sz w:val="16"/>
              </w:rPr>
              <w:t>Purchase order lines</w:t>
            </w:r>
          </w:p>
        </w:tc>
        <w:tc>
          <w:tcPr>
            <w:tcW w:type="dxa" w:w="2381"/>
          </w:tcPr>
          <w:p>
            <w:pPr>
              <w:spacing w:after="20" w:before="20" w:line="240" w:lineRule="auto"/>
              <w:jc w:val="center"/>
            </w:pPr>
            <w:r/>
            <w:r>
              <w:rPr>
                <w:rFonts w:ascii="Calibri" w:hAnsi="Calibri"/>
                <w:b w:val="0"/>
                <w:sz w:val="16"/>
              </w:rPr>
              <w:t>6,000 – 8,000</w:t>
            </w:r>
          </w:p>
        </w:tc>
        <w:tc>
          <w:tcPr>
            <w:tcW w:type="dxa" w:w="1701"/>
          </w:tcPr>
          <w:p>
            <w:pPr>
              <w:spacing w:after="20" w:before="20" w:line="240" w:lineRule="auto"/>
              <w:jc w:val="center"/>
            </w:pPr>
            <w:r/>
            <w:r>
              <w:rPr>
                <w:rFonts w:ascii="Calibri" w:hAnsi="Calibri"/>
                <w:b w:val="0"/>
                <w:sz w:val="16"/>
              </w:rPr>
              <w:t>Live + 5 years</w:t>
            </w:r>
          </w:p>
        </w:tc>
        <w:tc>
          <w:tcPr>
            <w:tcW w:type="dxa" w:w="3288"/>
          </w:tcPr>
          <w:p>
            <w:pPr>
              <w:spacing w:after="20" w:before="20" w:line="240" w:lineRule="auto"/>
            </w:pPr>
            <w:r/>
            <w:r>
              <w:rPr>
                <w:rFonts w:ascii="Calibri" w:hAnsi="Calibri"/>
                <w:b w:val="0"/>
                <w:sz w:val="16"/>
              </w:rPr>
              <w:t>Grows with programme expansion</w:t>
            </w:r>
          </w:p>
        </w:tc>
      </w:tr>
      <w:tr>
        <w:tc>
          <w:tcPr>
            <w:tcW w:type="dxa" w:w="2381"/>
            <w:shd w:val="clear" w:fill="F7F9FB"/>
          </w:tcPr>
          <w:p>
            <w:pPr>
              <w:spacing w:after="20" w:before="20" w:line="240" w:lineRule="auto"/>
            </w:pPr>
            <w:r/>
            <w:r>
              <w:rPr>
                <w:rFonts w:ascii="Calibri" w:hAnsi="Calibri"/>
                <w:b w:val="0"/>
                <w:sz w:val="16"/>
              </w:rPr>
              <w:t>GRN lines</w:t>
            </w:r>
          </w:p>
        </w:tc>
        <w:tc>
          <w:tcPr>
            <w:tcW w:type="dxa" w:w="2381"/>
            <w:shd w:val="clear" w:fill="F7F9FB"/>
          </w:tcPr>
          <w:p>
            <w:pPr>
              <w:spacing w:after="20" w:before="20" w:line="240" w:lineRule="auto"/>
              <w:jc w:val="center"/>
            </w:pPr>
            <w:r/>
            <w:r>
              <w:rPr>
                <w:rFonts w:ascii="Calibri" w:hAnsi="Calibri"/>
                <w:b w:val="0"/>
                <w:sz w:val="16"/>
              </w:rPr>
              <w:t>6,000 – 8,000</w:t>
            </w:r>
          </w:p>
        </w:tc>
        <w:tc>
          <w:tcPr>
            <w:tcW w:type="dxa" w:w="1701"/>
            <w:shd w:val="clear" w:fill="F7F9FB"/>
          </w:tcPr>
          <w:p>
            <w:pPr>
              <w:spacing w:after="20" w:before="20" w:line="240" w:lineRule="auto"/>
              <w:jc w:val="center"/>
            </w:pPr>
            <w:r/>
            <w:r>
              <w:rPr>
                <w:rFonts w:ascii="Calibri" w:hAnsi="Calibri"/>
                <w:b w:val="0"/>
                <w:sz w:val="16"/>
              </w:rPr>
              <w:t>Live + 5 years</w:t>
            </w:r>
          </w:p>
        </w:tc>
        <w:tc>
          <w:tcPr>
            <w:tcW w:type="dxa" w:w="3288"/>
            <w:shd w:val="clear" w:fill="F7F9FB"/>
          </w:tcPr>
          <w:p>
            <w:pPr>
              <w:spacing w:after="20" w:before="20" w:line="240" w:lineRule="auto"/>
            </w:pPr>
            <w:r/>
            <w:r>
              <w:rPr>
                <w:rFonts w:ascii="Calibri" w:hAnsi="Calibri"/>
                <w:b w:val="0"/>
                <w:sz w:val="16"/>
              </w:rPr>
              <w:t>Batch-level grain</w:t>
            </w:r>
          </w:p>
        </w:tc>
      </w:tr>
      <w:tr>
        <w:tc>
          <w:tcPr>
            <w:tcW w:type="dxa" w:w="2381"/>
          </w:tcPr>
          <w:p>
            <w:pPr>
              <w:spacing w:after="20" w:before="20" w:line="240" w:lineRule="auto"/>
            </w:pPr>
            <w:r/>
            <w:r>
              <w:rPr>
                <w:rFonts w:ascii="Calibri" w:hAnsi="Calibri"/>
                <w:b w:val="0"/>
                <w:sz w:val="16"/>
              </w:rPr>
              <w:t>Inventory issue lines</w:t>
            </w:r>
          </w:p>
        </w:tc>
        <w:tc>
          <w:tcPr>
            <w:tcW w:type="dxa" w:w="2381"/>
          </w:tcPr>
          <w:p>
            <w:pPr>
              <w:spacing w:after="20" w:before="20" w:line="240" w:lineRule="auto"/>
              <w:jc w:val="center"/>
            </w:pPr>
            <w:r/>
            <w:r>
              <w:rPr>
                <w:rFonts w:ascii="Calibri" w:hAnsi="Calibri"/>
                <w:b w:val="0"/>
                <w:sz w:val="16"/>
              </w:rPr>
              <w:t>9,000 – 12,000</w:t>
            </w:r>
          </w:p>
        </w:tc>
        <w:tc>
          <w:tcPr>
            <w:tcW w:type="dxa" w:w="1701"/>
          </w:tcPr>
          <w:p>
            <w:pPr>
              <w:spacing w:after="20" w:before="20" w:line="240" w:lineRule="auto"/>
              <w:jc w:val="center"/>
            </w:pPr>
            <w:r/>
            <w:r>
              <w:rPr>
                <w:rFonts w:ascii="Calibri" w:hAnsi="Calibri"/>
                <w:b w:val="0"/>
                <w:sz w:val="16"/>
              </w:rPr>
              <w:t>Live + 5 years</w:t>
            </w:r>
          </w:p>
        </w:tc>
        <w:tc>
          <w:tcPr>
            <w:tcW w:type="dxa" w:w="3288"/>
          </w:tcPr>
          <w:p>
            <w:pPr>
              <w:spacing w:after="20" w:before="20" w:line="240" w:lineRule="auto"/>
            </w:pPr>
            <w:r/>
            <w:r>
              <w:rPr>
                <w:rFonts w:ascii="Calibri" w:hAnsi="Calibri"/>
                <w:b w:val="0"/>
                <w:sz w:val="16"/>
              </w:rPr>
              <w:t>Principal fact table</w:t>
            </w:r>
          </w:p>
        </w:tc>
      </w:tr>
      <w:tr>
        <w:tc>
          <w:tcPr>
            <w:tcW w:type="dxa" w:w="2381"/>
            <w:shd w:val="clear" w:fill="F7F9FB"/>
          </w:tcPr>
          <w:p>
            <w:pPr>
              <w:spacing w:after="20" w:before="20" w:line="240" w:lineRule="auto"/>
            </w:pPr>
            <w:r/>
            <w:r>
              <w:rPr>
                <w:rFonts w:ascii="Calibri" w:hAnsi="Calibri"/>
                <w:b w:val="0"/>
                <w:sz w:val="16"/>
              </w:rPr>
              <w:t>Item master</w:t>
            </w:r>
          </w:p>
        </w:tc>
        <w:tc>
          <w:tcPr>
            <w:tcW w:type="dxa" w:w="2381"/>
            <w:shd w:val="clear" w:fill="F7F9FB"/>
          </w:tcPr>
          <w:p>
            <w:pPr>
              <w:spacing w:after="20" w:before="20" w:line="240" w:lineRule="auto"/>
              <w:jc w:val="center"/>
            </w:pPr>
            <w:r/>
            <w:r>
              <w:rPr>
                <w:rFonts w:ascii="Calibri" w:hAnsi="Calibri"/>
                <w:b w:val="0"/>
                <w:sz w:val="16"/>
              </w:rPr>
              <w:t>100 – 300 active items</w:t>
            </w:r>
          </w:p>
        </w:tc>
        <w:tc>
          <w:tcPr>
            <w:tcW w:type="dxa" w:w="1701"/>
            <w:shd w:val="clear" w:fill="F7F9FB"/>
          </w:tcPr>
          <w:p>
            <w:pPr>
              <w:spacing w:after="20" w:before="20" w:line="240" w:lineRule="auto"/>
              <w:jc w:val="center"/>
            </w:pPr>
            <w:r/>
            <w:r>
              <w:rPr>
                <w:rFonts w:ascii="Calibri" w:hAnsi="Calibri"/>
                <w:b w:val="0"/>
                <w:sz w:val="16"/>
              </w:rPr>
              <w:t>Full history</w:t>
            </w:r>
          </w:p>
        </w:tc>
        <w:tc>
          <w:tcPr>
            <w:tcW w:type="dxa" w:w="3288"/>
            <w:shd w:val="clear" w:fill="F7F9FB"/>
          </w:tcPr>
          <w:p>
            <w:pPr>
              <w:spacing w:after="20" w:before="20" w:line="240" w:lineRule="auto"/>
            </w:pPr>
            <w:r/>
            <w:r>
              <w:rPr>
                <w:rFonts w:ascii="Calibri" w:hAnsi="Calibri"/>
                <w:b w:val="0"/>
                <w:sz w:val="16"/>
              </w:rPr>
              <w:t>Cleansing required before go-live</w:t>
            </w:r>
          </w:p>
        </w:tc>
      </w:tr>
      <w:tr>
        <w:tc>
          <w:tcPr>
            <w:tcW w:type="dxa" w:w="2381"/>
          </w:tcPr>
          <w:p>
            <w:pPr>
              <w:spacing w:after="20" w:before="20" w:line="240" w:lineRule="auto"/>
            </w:pPr>
            <w:r/>
            <w:r>
              <w:rPr>
                <w:rFonts w:ascii="Calibri" w:hAnsi="Calibri"/>
                <w:b w:val="0"/>
                <w:sz w:val="16"/>
              </w:rPr>
              <w:t>Reports served</w:t>
            </w:r>
          </w:p>
        </w:tc>
        <w:tc>
          <w:tcPr>
            <w:tcW w:type="dxa" w:w="2381"/>
          </w:tcPr>
          <w:p>
            <w:pPr>
              <w:spacing w:after="20" w:before="20" w:line="240" w:lineRule="auto"/>
              <w:jc w:val="center"/>
            </w:pPr>
            <w:r/>
            <w:r>
              <w:rPr>
                <w:rFonts w:ascii="Calibri" w:hAnsi="Calibri"/>
                <w:b w:val="0"/>
                <w:sz w:val="16"/>
              </w:rPr>
              <w:t>Up to 40 concurrent users</w:t>
            </w:r>
          </w:p>
        </w:tc>
        <w:tc>
          <w:tcPr>
            <w:tcW w:type="dxa" w:w="1701"/>
          </w:tcPr>
          <w:p>
            <w:pPr>
              <w:spacing w:after="20" w:before="20" w:line="240" w:lineRule="auto"/>
              <w:jc w:val="center"/>
            </w:pPr>
            <w:r/>
            <w:r>
              <w:rPr>
                <w:rFonts w:ascii="Calibri" w:hAnsi="Calibri"/>
                <w:b w:val="0"/>
                <w:sz w:val="16"/>
              </w:rPr>
              <w:t>n/a</w:t>
            </w:r>
          </w:p>
        </w:tc>
        <w:tc>
          <w:tcPr>
            <w:tcW w:type="dxa" w:w="3288"/>
          </w:tcPr>
          <w:p>
            <w:pPr>
              <w:spacing w:after="20" w:before="20" w:line="240" w:lineRule="auto"/>
            </w:pPr>
            <w:r/>
            <w:r>
              <w:rPr>
                <w:rFonts w:ascii="Calibri" w:hAnsi="Calibri"/>
                <w:b w:val="0"/>
                <w:sz w:val="16"/>
              </w:rPr>
              <w:t>Page load target under 5 seconds</w:t>
            </w:r>
          </w:p>
        </w:tc>
      </w:tr>
      <w:tr>
        <w:tc>
          <w:tcPr>
            <w:tcW w:type="dxa" w:w="2381"/>
            <w:shd w:val="clear" w:fill="F7F9FB"/>
          </w:tcPr>
          <w:p>
            <w:pPr>
              <w:spacing w:after="20" w:before="20" w:line="240" w:lineRule="auto"/>
            </w:pPr>
            <w:r/>
            <w:r>
              <w:rPr>
                <w:rFonts w:ascii="Calibri" w:hAnsi="Calibri"/>
                <w:b w:val="0"/>
                <w:sz w:val="16"/>
              </w:rPr>
              <w:t>Refresh window</w:t>
            </w:r>
          </w:p>
        </w:tc>
        <w:tc>
          <w:tcPr>
            <w:tcW w:type="dxa" w:w="2381"/>
            <w:shd w:val="clear" w:fill="F7F9FB"/>
          </w:tcPr>
          <w:p>
            <w:pPr>
              <w:spacing w:after="20" w:before="20" w:line="240" w:lineRule="auto"/>
              <w:jc w:val="center"/>
            </w:pPr>
            <w:r/>
            <w:r>
              <w:rPr>
                <w:rFonts w:ascii="Calibri" w:hAnsi="Calibri"/>
                <w:b w:val="0"/>
                <w:sz w:val="16"/>
              </w:rPr>
              <w:t>Nightly, 02:00 – 06:00 PKT</w:t>
            </w:r>
          </w:p>
        </w:tc>
        <w:tc>
          <w:tcPr>
            <w:tcW w:type="dxa" w:w="1701"/>
            <w:shd w:val="clear" w:fill="F7F9FB"/>
          </w:tcPr>
          <w:p>
            <w:pPr>
              <w:spacing w:after="20" w:before="20" w:line="240" w:lineRule="auto"/>
              <w:jc w:val="center"/>
            </w:pPr>
            <w:r/>
            <w:r>
              <w:rPr>
                <w:rFonts w:ascii="Calibri" w:hAnsi="Calibri"/>
                <w:b w:val="0"/>
                <w:sz w:val="16"/>
              </w:rPr>
              <w:t>n/a</w:t>
            </w:r>
          </w:p>
        </w:tc>
        <w:tc>
          <w:tcPr>
            <w:tcW w:type="dxa" w:w="3288"/>
            <w:shd w:val="clear" w:fill="F7F9FB"/>
          </w:tcPr>
          <w:p>
            <w:pPr>
              <w:spacing w:after="20" w:before="20" w:line="240" w:lineRule="auto"/>
            </w:pPr>
            <w:r/>
            <w:r>
              <w:rPr>
                <w:rFonts w:ascii="Calibri" w:hAnsi="Calibri"/>
                <w:b w:val="0"/>
                <w:sz w:val="16"/>
              </w:rPr>
              <w:t>Must not overlap ERP batch</w:t>
            </w:r>
          </w:p>
        </w:tc>
      </w:tr>
    </w:tbl>
    <w:p>
      <w:pPr>
        <w:spacing w:after="20"/>
      </w:pPr>
    </w:p>
    <w:p>
      <w:pPr>
        <w:pStyle w:val="Heading1"/>
      </w:pPr>
      <w:r>
        <w:t>14. Business Rules and Calculation Framework</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trPr>
        <w:tc>
          <w:tcPr>
            <w:tcW w:type="dxa" w:w="907"/>
            <w:shd w:val="clear" w:fill="1F3B57"/>
          </w:tcPr>
          <w:p>
            <w:pPr>
              <w:spacing w:after="20" w:before="20" w:line="240" w:lineRule="auto"/>
            </w:pPr>
            <w:r/>
            <w:r>
              <w:rPr>
                <w:rFonts w:ascii="Calibri" w:hAnsi="Calibri"/>
                <w:b/>
                <w:color w:val="FFFFFF"/>
                <w:sz w:val="16"/>
              </w:rPr>
              <w:t>Ref</w:t>
            </w:r>
          </w:p>
        </w:tc>
        <w:tc>
          <w:tcPr>
            <w:tcW w:type="dxa" w:w="2268"/>
            <w:shd w:val="clear" w:fill="1F3B57"/>
          </w:tcPr>
          <w:p>
            <w:pPr>
              <w:spacing w:after="20" w:before="20" w:line="240" w:lineRule="auto"/>
            </w:pPr>
            <w:r/>
            <w:r>
              <w:rPr>
                <w:rFonts w:ascii="Calibri" w:hAnsi="Calibri"/>
                <w:b/>
                <w:color w:val="FFFFFF"/>
                <w:sz w:val="16"/>
              </w:rPr>
              <w:t>Rule</w:t>
            </w:r>
          </w:p>
        </w:tc>
        <w:tc>
          <w:tcPr>
            <w:tcW w:type="dxa" w:w="6576"/>
            <w:shd w:val="clear" w:fill="1F3B57"/>
          </w:tcPr>
          <w:p>
            <w:pPr>
              <w:spacing w:after="20" w:before="20" w:line="240" w:lineRule="auto"/>
            </w:pPr>
            <w:r/>
            <w:r>
              <w:rPr>
                <w:rFonts w:ascii="Calibri" w:hAnsi="Calibri"/>
                <w:b/>
                <w:color w:val="FFFFFF"/>
                <w:sz w:val="16"/>
              </w:rPr>
              <w:t>Statement</w:t>
            </w:r>
          </w:p>
        </w:tc>
      </w:tr>
      <w:tr>
        <w:tc>
          <w:tcPr>
            <w:tcW w:type="dxa" w:w="907"/>
          </w:tcPr>
          <w:p>
            <w:pPr>
              <w:spacing w:after="20" w:before="20" w:line="240" w:lineRule="auto"/>
              <w:jc w:val="center"/>
            </w:pPr>
            <w:r/>
            <w:r>
              <w:rPr>
                <w:rFonts w:ascii="Calibri" w:hAnsi="Calibri"/>
                <w:b w:val="0"/>
                <w:sz w:val="16"/>
              </w:rPr>
              <w:t>BL-01</w:t>
            </w:r>
          </w:p>
        </w:tc>
        <w:tc>
          <w:tcPr>
            <w:tcW w:type="dxa" w:w="2268"/>
          </w:tcPr>
          <w:p>
            <w:pPr>
              <w:spacing w:after="20" w:before="20" w:line="240" w:lineRule="auto"/>
            </w:pPr>
            <w:r/>
            <w:r>
              <w:rPr>
                <w:rFonts w:ascii="Calibri" w:hAnsi="Calibri"/>
                <w:b w:val="0"/>
                <w:sz w:val="16"/>
              </w:rPr>
              <w:t>Consumption recognition</w:t>
            </w:r>
          </w:p>
        </w:tc>
        <w:tc>
          <w:tcPr>
            <w:tcW w:type="dxa" w:w="6576"/>
          </w:tcPr>
          <w:p>
            <w:pPr>
              <w:spacing w:after="20" w:before="20" w:line="240" w:lineRule="auto"/>
            </w:pPr>
            <w:r/>
            <w:r>
              <w:rPr>
                <w:rFonts w:ascii="Calibri" w:hAnsi="Calibri"/>
                <w:b w:val="0"/>
                <w:sz w:val="16"/>
              </w:rPr>
              <w:t>Consumption is recognised on the inventory issue date, not on requisition or receipt.</w:t>
            </w:r>
          </w:p>
        </w:tc>
      </w:tr>
      <w:tr>
        <w:tc>
          <w:tcPr>
            <w:tcW w:type="dxa" w:w="907"/>
            <w:shd w:val="clear" w:fill="F7F9FB"/>
          </w:tcPr>
          <w:p>
            <w:pPr>
              <w:spacing w:after="20" w:before="20" w:line="240" w:lineRule="auto"/>
              <w:jc w:val="center"/>
            </w:pPr>
            <w:r/>
            <w:r>
              <w:rPr>
                <w:rFonts w:ascii="Calibri" w:hAnsi="Calibri"/>
                <w:b w:val="0"/>
                <w:sz w:val="16"/>
              </w:rPr>
              <w:t>BL-02</w:t>
            </w:r>
          </w:p>
        </w:tc>
        <w:tc>
          <w:tcPr>
            <w:tcW w:type="dxa" w:w="2268"/>
            <w:shd w:val="clear" w:fill="F7F9FB"/>
          </w:tcPr>
          <w:p>
            <w:pPr>
              <w:spacing w:after="20" w:before="20" w:line="240" w:lineRule="auto"/>
            </w:pPr>
            <w:r/>
            <w:r>
              <w:rPr>
                <w:rFonts w:ascii="Calibri" w:hAnsi="Calibri"/>
                <w:b w:val="0"/>
                <w:sz w:val="16"/>
              </w:rPr>
              <w:t>Investment recognition</w:t>
            </w:r>
          </w:p>
        </w:tc>
        <w:tc>
          <w:tcPr>
            <w:tcW w:type="dxa" w:w="6576"/>
            <w:shd w:val="clear" w:fill="F7F9FB"/>
          </w:tcPr>
          <w:p>
            <w:pPr>
              <w:spacing w:after="20" w:before="20" w:line="240" w:lineRule="auto"/>
            </w:pPr>
            <w:r/>
            <w:r>
              <w:rPr>
                <w:rFonts w:ascii="Calibri" w:hAnsi="Calibri"/>
                <w:b w:val="0"/>
                <w:sz w:val="16"/>
              </w:rPr>
              <w:t>Investment is recognised at purchase order value on the PO date; received value is recognised separately at GRN date.</w:t>
            </w:r>
          </w:p>
        </w:tc>
      </w:tr>
      <w:tr>
        <w:tc>
          <w:tcPr>
            <w:tcW w:type="dxa" w:w="907"/>
          </w:tcPr>
          <w:p>
            <w:pPr>
              <w:spacing w:after="20" w:before="20" w:line="240" w:lineRule="auto"/>
              <w:jc w:val="center"/>
            </w:pPr>
            <w:r/>
            <w:r>
              <w:rPr>
                <w:rFonts w:ascii="Calibri" w:hAnsi="Calibri"/>
                <w:b w:val="0"/>
                <w:sz w:val="16"/>
              </w:rPr>
              <w:t>BL-03</w:t>
            </w:r>
          </w:p>
        </w:tc>
        <w:tc>
          <w:tcPr>
            <w:tcW w:type="dxa" w:w="2268"/>
          </w:tcPr>
          <w:p>
            <w:pPr>
              <w:spacing w:after="20" w:before="20" w:line="240" w:lineRule="auto"/>
            </w:pPr>
            <w:r/>
            <w:r>
              <w:rPr>
                <w:rFonts w:ascii="Calibri" w:hAnsi="Calibri"/>
                <w:b w:val="0"/>
                <w:sz w:val="16"/>
              </w:rPr>
              <w:t>Project attribution</w:t>
            </w:r>
          </w:p>
        </w:tc>
        <w:tc>
          <w:tcPr>
            <w:tcW w:type="dxa" w:w="6576"/>
          </w:tcPr>
          <w:p>
            <w:pPr>
              <w:spacing w:after="20" w:before="20" w:line="240" w:lineRule="auto"/>
            </w:pPr>
            <w:r/>
            <w:r>
              <w:rPr>
                <w:rFonts w:ascii="Calibri" w:hAnsi="Calibri"/>
                <w:b w:val="0"/>
                <w:sz w:val="16"/>
              </w:rPr>
              <w:t>Consumption is attributed to the project charged on the issue line. Where the charged project is invalid or generic, the item is reported as unattributed and the originally consuming project is retained for correction.</w:t>
            </w:r>
          </w:p>
        </w:tc>
      </w:tr>
      <w:tr>
        <w:tc>
          <w:tcPr>
            <w:tcW w:type="dxa" w:w="907"/>
            <w:shd w:val="clear" w:fill="F7F9FB"/>
          </w:tcPr>
          <w:p>
            <w:pPr>
              <w:spacing w:after="20" w:before="20" w:line="240" w:lineRule="auto"/>
              <w:jc w:val="center"/>
            </w:pPr>
            <w:r/>
            <w:r>
              <w:rPr>
                <w:rFonts w:ascii="Calibri" w:hAnsi="Calibri"/>
                <w:b w:val="0"/>
                <w:sz w:val="16"/>
              </w:rPr>
              <w:t>BL-04</w:t>
            </w:r>
          </w:p>
        </w:tc>
        <w:tc>
          <w:tcPr>
            <w:tcW w:type="dxa" w:w="2268"/>
            <w:shd w:val="clear" w:fill="F7F9FB"/>
          </w:tcPr>
          <w:p>
            <w:pPr>
              <w:spacing w:after="20" w:before="20" w:line="240" w:lineRule="auto"/>
            </w:pPr>
            <w:r/>
            <w:r>
              <w:rPr>
                <w:rFonts w:ascii="Calibri" w:hAnsi="Calibri"/>
                <w:b w:val="0"/>
                <w:sz w:val="16"/>
              </w:rPr>
              <w:t>Period activity</w:t>
            </w:r>
          </w:p>
        </w:tc>
        <w:tc>
          <w:tcPr>
            <w:tcW w:type="dxa" w:w="6576"/>
            <w:shd w:val="clear" w:fill="F7F9FB"/>
          </w:tcPr>
          <w:p>
            <w:pPr>
              <w:spacing w:after="20" w:before="20" w:line="240" w:lineRule="auto"/>
            </w:pPr>
            <w:r/>
            <w:r>
              <w:rPr>
                <w:rFonts w:ascii="Calibri" w:hAnsi="Calibri"/>
                <w:b w:val="0"/>
                <w:sz w:val="16"/>
              </w:rPr>
              <w:t>A project contributes to a period only where the period overlaps the project's start and end dates.</w:t>
            </w:r>
          </w:p>
        </w:tc>
      </w:tr>
      <w:tr>
        <w:tc>
          <w:tcPr>
            <w:tcW w:type="dxa" w:w="907"/>
          </w:tcPr>
          <w:p>
            <w:pPr>
              <w:spacing w:after="20" w:before="20" w:line="240" w:lineRule="auto"/>
              <w:jc w:val="center"/>
            </w:pPr>
            <w:r/>
            <w:r>
              <w:rPr>
                <w:rFonts w:ascii="Calibri" w:hAnsi="Calibri"/>
                <w:b w:val="0"/>
                <w:sz w:val="16"/>
              </w:rPr>
              <w:t>BL-05</w:t>
            </w:r>
          </w:p>
        </w:tc>
        <w:tc>
          <w:tcPr>
            <w:tcW w:type="dxa" w:w="2268"/>
          </w:tcPr>
          <w:p>
            <w:pPr>
              <w:spacing w:after="20" w:before="20" w:line="240" w:lineRule="auto"/>
            </w:pPr>
            <w:r/>
            <w:r>
              <w:rPr>
                <w:rFonts w:ascii="Calibri" w:hAnsi="Calibri"/>
                <w:b w:val="0"/>
                <w:sz w:val="16"/>
              </w:rPr>
              <w:t>Ratio calculation</w:t>
            </w:r>
          </w:p>
        </w:tc>
        <w:tc>
          <w:tcPr>
            <w:tcW w:type="dxa" w:w="6576"/>
          </w:tcPr>
          <w:p>
            <w:pPr>
              <w:spacing w:after="20" w:before="20" w:line="240" w:lineRule="auto"/>
            </w:pPr>
            <w:r/>
            <w:r>
              <w:rPr>
                <w:rFonts w:ascii="Calibri" w:hAnsi="Calibri"/>
                <w:b w:val="0"/>
                <w:sz w:val="16"/>
              </w:rPr>
              <w:t>Where investment in a period is zero, the consumption-to-investment ratio is blank rather than infinite; a note explains that consumption was funded from opening stock.</w:t>
            </w:r>
          </w:p>
        </w:tc>
      </w:tr>
      <w:tr>
        <w:tc>
          <w:tcPr>
            <w:tcW w:type="dxa" w:w="907"/>
            <w:shd w:val="clear" w:fill="F7F9FB"/>
          </w:tcPr>
          <w:p>
            <w:pPr>
              <w:spacing w:after="20" w:before="20" w:line="240" w:lineRule="auto"/>
              <w:jc w:val="center"/>
            </w:pPr>
            <w:r/>
            <w:r>
              <w:rPr>
                <w:rFonts w:ascii="Calibri" w:hAnsi="Calibri"/>
                <w:b w:val="0"/>
                <w:sz w:val="16"/>
              </w:rPr>
              <w:t>BL-06</w:t>
            </w:r>
          </w:p>
        </w:tc>
        <w:tc>
          <w:tcPr>
            <w:tcW w:type="dxa" w:w="2268"/>
            <w:shd w:val="clear" w:fill="F7F9FB"/>
          </w:tcPr>
          <w:p>
            <w:pPr>
              <w:spacing w:after="20" w:before="20" w:line="240" w:lineRule="auto"/>
            </w:pPr>
            <w:r/>
            <w:r>
              <w:rPr>
                <w:rFonts w:ascii="Calibri" w:hAnsi="Calibri"/>
                <w:b w:val="0"/>
                <w:sz w:val="16"/>
              </w:rPr>
              <w:t>Cost of issue</w:t>
            </w:r>
          </w:p>
        </w:tc>
        <w:tc>
          <w:tcPr>
            <w:tcW w:type="dxa" w:w="6576"/>
            <w:shd w:val="clear" w:fill="F7F9FB"/>
          </w:tcPr>
          <w:p>
            <w:pPr>
              <w:spacing w:after="20" w:before="20" w:line="240" w:lineRule="auto"/>
            </w:pPr>
            <w:r/>
            <w:r>
              <w:rPr>
                <w:rFonts w:ascii="Calibri" w:hAnsi="Calibri"/>
                <w:b w:val="0"/>
                <w:sz w:val="16"/>
              </w:rPr>
              <w:t>Where batch cost is available it is used; otherwise the standard cost for the item is applied and the line is flagged.</w:t>
            </w:r>
          </w:p>
        </w:tc>
      </w:tr>
      <w:tr>
        <w:tc>
          <w:tcPr>
            <w:tcW w:type="dxa" w:w="907"/>
          </w:tcPr>
          <w:p>
            <w:pPr>
              <w:spacing w:after="20" w:before="20" w:line="240" w:lineRule="auto"/>
              <w:jc w:val="center"/>
            </w:pPr>
            <w:r/>
            <w:r>
              <w:rPr>
                <w:rFonts w:ascii="Calibri" w:hAnsi="Calibri"/>
                <w:b w:val="0"/>
                <w:sz w:val="16"/>
              </w:rPr>
              <w:t>BL-07</w:t>
            </w:r>
          </w:p>
        </w:tc>
        <w:tc>
          <w:tcPr>
            <w:tcW w:type="dxa" w:w="2268"/>
          </w:tcPr>
          <w:p>
            <w:pPr>
              <w:spacing w:after="20" w:before="20" w:line="240" w:lineRule="auto"/>
            </w:pPr>
            <w:r/>
            <w:r>
              <w:rPr>
                <w:rFonts w:ascii="Calibri" w:hAnsi="Calibri"/>
                <w:b w:val="0"/>
                <w:sz w:val="16"/>
              </w:rPr>
              <w:t>Stock balance</w:t>
            </w:r>
          </w:p>
        </w:tc>
        <w:tc>
          <w:tcPr>
            <w:tcW w:type="dxa" w:w="6576"/>
          </w:tcPr>
          <w:p>
            <w:pPr>
              <w:spacing w:after="20" w:before="20" w:line="240" w:lineRule="auto"/>
            </w:pPr>
            <w:r/>
            <w:r>
              <w:rPr>
                <w:rFonts w:ascii="Calibri" w:hAnsi="Calibri"/>
                <w:b w:val="0"/>
                <w:sz w:val="16"/>
              </w:rPr>
              <w:t>Stock on hand = opening balance + receipts − issues ± approved adjustments. Negative balances are treated as data errors and reported.</w:t>
            </w:r>
          </w:p>
        </w:tc>
      </w:tr>
      <w:tr>
        <w:tc>
          <w:tcPr>
            <w:tcW w:type="dxa" w:w="907"/>
            <w:shd w:val="clear" w:fill="F7F9FB"/>
          </w:tcPr>
          <w:p>
            <w:pPr>
              <w:spacing w:after="20" w:before="20" w:line="240" w:lineRule="auto"/>
              <w:jc w:val="center"/>
            </w:pPr>
            <w:r/>
            <w:r>
              <w:rPr>
                <w:rFonts w:ascii="Calibri" w:hAnsi="Calibri"/>
                <w:b w:val="0"/>
                <w:sz w:val="16"/>
              </w:rPr>
              <w:t>BL-08</w:t>
            </w:r>
          </w:p>
        </w:tc>
        <w:tc>
          <w:tcPr>
            <w:tcW w:type="dxa" w:w="2268"/>
            <w:shd w:val="clear" w:fill="F7F9FB"/>
          </w:tcPr>
          <w:p>
            <w:pPr>
              <w:spacing w:after="20" w:before="20" w:line="240" w:lineRule="auto"/>
            </w:pPr>
            <w:r/>
            <w:r>
              <w:rPr>
                <w:rFonts w:ascii="Calibri" w:hAnsi="Calibri"/>
                <w:b w:val="0"/>
                <w:sz w:val="16"/>
              </w:rPr>
              <w:t>Days of cover</w:t>
            </w:r>
          </w:p>
        </w:tc>
        <w:tc>
          <w:tcPr>
            <w:tcW w:type="dxa" w:w="6576"/>
            <w:shd w:val="clear" w:fill="F7F9FB"/>
          </w:tcPr>
          <w:p>
            <w:pPr>
              <w:spacing w:after="20" w:before="20" w:line="240" w:lineRule="auto"/>
            </w:pPr>
            <w:r/>
            <w:r>
              <w:rPr>
                <w:rFonts w:ascii="Calibri" w:hAnsi="Calibri"/>
                <w:b w:val="0"/>
                <w:sz w:val="16"/>
              </w:rPr>
              <w:t>Uses a 90-day lookback by default; items with no consumption in the lookback are reported as unlimited cover and listed as slow-moving.</w:t>
            </w:r>
          </w:p>
        </w:tc>
      </w:tr>
      <w:tr>
        <w:tc>
          <w:tcPr>
            <w:tcW w:type="dxa" w:w="907"/>
          </w:tcPr>
          <w:p>
            <w:pPr>
              <w:spacing w:after="20" w:before="20" w:line="240" w:lineRule="auto"/>
              <w:jc w:val="center"/>
            </w:pPr>
            <w:r/>
            <w:r>
              <w:rPr>
                <w:rFonts w:ascii="Calibri" w:hAnsi="Calibri"/>
                <w:b w:val="0"/>
                <w:sz w:val="16"/>
              </w:rPr>
              <w:t>BL-09</w:t>
            </w:r>
          </w:p>
        </w:tc>
        <w:tc>
          <w:tcPr>
            <w:tcW w:type="dxa" w:w="2268"/>
          </w:tcPr>
          <w:p>
            <w:pPr>
              <w:spacing w:after="20" w:before="20" w:line="240" w:lineRule="auto"/>
            </w:pPr>
            <w:r/>
            <w:r>
              <w:rPr>
                <w:rFonts w:ascii="Calibri" w:hAnsi="Calibri"/>
                <w:b w:val="0"/>
                <w:sz w:val="16"/>
              </w:rPr>
              <w:t>Expiry buckets</w:t>
            </w:r>
          </w:p>
        </w:tc>
        <w:tc>
          <w:tcPr>
            <w:tcW w:type="dxa" w:w="6576"/>
          </w:tcPr>
          <w:p>
            <w:pPr>
              <w:spacing w:after="20" w:before="20" w:line="240" w:lineRule="auto"/>
            </w:pPr>
            <w:r/>
            <w:r>
              <w:rPr>
                <w:rFonts w:ascii="Calibri" w:hAnsi="Calibri"/>
                <w:b w:val="0"/>
                <w:sz w:val="16"/>
              </w:rPr>
              <w:t>Batches are bucketed by days between the report date and the expiry date; a batch appears in exactly one bucket.</w:t>
            </w:r>
          </w:p>
        </w:tc>
      </w:tr>
      <w:tr>
        <w:tc>
          <w:tcPr>
            <w:tcW w:type="dxa" w:w="907"/>
            <w:shd w:val="clear" w:fill="F7F9FB"/>
          </w:tcPr>
          <w:p>
            <w:pPr>
              <w:spacing w:after="20" w:before="20" w:line="240" w:lineRule="auto"/>
              <w:jc w:val="center"/>
            </w:pPr>
            <w:r/>
            <w:r>
              <w:rPr>
                <w:rFonts w:ascii="Calibri" w:hAnsi="Calibri"/>
                <w:b w:val="0"/>
                <w:sz w:val="16"/>
              </w:rPr>
              <w:t>BL-10</w:t>
            </w:r>
          </w:p>
        </w:tc>
        <w:tc>
          <w:tcPr>
            <w:tcW w:type="dxa" w:w="2268"/>
            <w:shd w:val="clear" w:fill="F7F9FB"/>
          </w:tcPr>
          <w:p>
            <w:pPr>
              <w:spacing w:after="20" w:before="20" w:line="240" w:lineRule="auto"/>
            </w:pPr>
            <w:r/>
            <w:r>
              <w:rPr>
                <w:rFonts w:ascii="Calibri" w:hAnsi="Calibri"/>
                <w:b w:val="0"/>
                <w:sz w:val="16"/>
              </w:rPr>
              <w:t>Fiscal year</w:t>
            </w:r>
          </w:p>
        </w:tc>
        <w:tc>
          <w:tcPr>
            <w:tcW w:type="dxa" w:w="6576"/>
            <w:shd w:val="clear" w:fill="F7F9FB"/>
          </w:tcPr>
          <w:p>
            <w:pPr>
              <w:spacing w:after="20" w:before="20" w:line="240" w:lineRule="auto"/>
            </w:pPr>
            <w:r/>
            <w:r>
              <w:rPr>
                <w:rFonts w:ascii="Calibri" w:hAnsi="Calibri"/>
                <w:b w:val="0"/>
                <w:sz w:val="16"/>
              </w:rPr>
              <w:t>Fiscal year runs 1 July to 30 June and is labelled FY(start)–(end), for example FY2025-26.</w:t>
            </w:r>
          </w:p>
        </w:tc>
      </w:tr>
      <w:tr>
        <w:tc>
          <w:tcPr>
            <w:tcW w:type="dxa" w:w="907"/>
          </w:tcPr>
          <w:p>
            <w:pPr>
              <w:spacing w:after="20" w:before="20" w:line="240" w:lineRule="auto"/>
              <w:jc w:val="center"/>
            </w:pPr>
            <w:r/>
            <w:r>
              <w:rPr>
                <w:rFonts w:ascii="Calibri" w:hAnsi="Calibri"/>
                <w:b w:val="0"/>
                <w:sz w:val="16"/>
              </w:rPr>
              <w:t>BL-11</w:t>
            </w:r>
          </w:p>
        </w:tc>
        <w:tc>
          <w:tcPr>
            <w:tcW w:type="dxa" w:w="2268"/>
          </w:tcPr>
          <w:p>
            <w:pPr>
              <w:spacing w:after="20" w:before="20" w:line="240" w:lineRule="auto"/>
            </w:pPr>
            <w:r/>
            <w:r>
              <w:rPr>
                <w:rFonts w:ascii="Calibri" w:hAnsi="Calibri"/>
                <w:b w:val="0"/>
                <w:sz w:val="16"/>
              </w:rPr>
              <w:t>Rounding</w:t>
            </w:r>
          </w:p>
        </w:tc>
        <w:tc>
          <w:tcPr>
            <w:tcW w:type="dxa" w:w="6576"/>
          </w:tcPr>
          <w:p>
            <w:pPr>
              <w:spacing w:after="20" w:before="20" w:line="240" w:lineRule="auto"/>
            </w:pPr>
            <w:r/>
            <w:r>
              <w:rPr>
                <w:rFonts w:ascii="Calibri" w:hAnsi="Calibri"/>
                <w:b w:val="0"/>
                <w:sz w:val="16"/>
              </w:rPr>
              <w:t>Values are held to two decimals but displayed rounded to the nearest rupee; percentages to one decimal. Totals are computed before rounding.</w:t>
            </w:r>
          </w:p>
        </w:tc>
      </w:tr>
      <w:tr>
        <w:tc>
          <w:tcPr>
            <w:tcW w:type="dxa" w:w="907"/>
            <w:shd w:val="clear" w:fill="F7F9FB"/>
          </w:tcPr>
          <w:p>
            <w:pPr>
              <w:spacing w:after="20" w:before="20" w:line="240" w:lineRule="auto"/>
              <w:jc w:val="center"/>
            </w:pPr>
            <w:r/>
            <w:r>
              <w:rPr>
                <w:rFonts w:ascii="Calibri" w:hAnsi="Calibri"/>
                <w:b w:val="0"/>
                <w:sz w:val="16"/>
              </w:rPr>
              <w:t>BL-12</w:t>
            </w:r>
          </w:p>
        </w:tc>
        <w:tc>
          <w:tcPr>
            <w:tcW w:type="dxa" w:w="2268"/>
            <w:shd w:val="clear" w:fill="F7F9FB"/>
          </w:tcPr>
          <w:p>
            <w:pPr>
              <w:spacing w:after="20" w:before="20" w:line="240" w:lineRule="auto"/>
            </w:pPr>
            <w:r/>
            <w:r>
              <w:rPr>
                <w:rFonts w:ascii="Calibri" w:hAnsi="Calibri"/>
                <w:b w:val="0"/>
                <w:sz w:val="16"/>
              </w:rPr>
              <w:t>Threshold defaults</w:t>
            </w:r>
          </w:p>
        </w:tc>
        <w:tc>
          <w:tcPr>
            <w:tcW w:type="dxa" w:w="6576"/>
            <w:shd w:val="clear" w:fill="F7F9FB"/>
          </w:tcPr>
          <w:p>
            <w:pPr>
              <w:spacing w:after="20" w:before="20" w:line="240" w:lineRule="auto"/>
            </w:pPr>
            <w:r/>
            <w:r>
              <w:rPr>
                <w:rFonts w:ascii="Calibri" w:hAnsi="Calibri"/>
                <w:b w:val="0"/>
                <w:sz w:val="16"/>
              </w:rPr>
              <w:t>Consumption variance 15%, price variance 10%, cover 30 days for critical items, expiry alert 60 days, exception ageing 30 days. Administrator-maintainable.</w:t>
            </w:r>
          </w:p>
        </w:tc>
      </w:tr>
      <w:tr>
        <w:tc>
          <w:tcPr>
            <w:tcW w:type="dxa" w:w="907"/>
          </w:tcPr>
          <w:p>
            <w:pPr>
              <w:spacing w:after="20" w:before="20" w:line="240" w:lineRule="auto"/>
              <w:jc w:val="center"/>
            </w:pPr>
            <w:r/>
            <w:r>
              <w:rPr>
                <w:rFonts w:ascii="Calibri" w:hAnsi="Calibri"/>
                <w:b w:val="0"/>
                <w:sz w:val="16"/>
              </w:rPr>
              <w:t>BL-13</w:t>
            </w:r>
          </w:p>
        </w:tc>
        <w:tc>
          <w:tcPr>
            <w:tcW w:type="dxa" w:w="2268"/>
          </w:tcPr>
          <w:p>
            <w:pPr>
              <w:spacing w:after="20" w:before="20" w:line="240" w:lineRule="auto"/>
            </w:pPr>
            <w:r/>
            <w:r>
              <w:rPr>
                <w:rFonts w:ascii="Calibri" w:hAnsi="Calibri"/>
                <w:b w:val="0"/>
                <w:sz w:val="16"/>
              </w:rPr>
              <w:t>Materiality for commentary</w:t>
            </w:r>
          </w:p>
        </w:tc>
        <w:tc>
          <w:tcPr>
            <w:tcW w:type="dxa" w:w="6576"/>
          </w:tcPr>
          <w:p>
            <w:pPr>
              <w:spacing w:after="20" w:before="20" w:line="240" w:lineRule="auto"/>
            </w:pPr>
            <w:r/>
            <w:r>
              <w:rPr>
                <w:rFonts w:ascii="Calibri" w:hAnsi="Calibri"/>
                <w:b w:val="0"/>
                <w:sz w:val="16"/>
              </w:rPr>
              <w:t>Commentary is mandatory for variance above PKR 250,000 or 10% of the category budget, whichever is lower.</w:t>
            </w:r>
          </w:p>
        </w:tc>
      </w:tr>
      <w:tr>
        <w:tc>
          <w:tcPr>
            <w:tcW w:type="dxa" w:w="907"/>
            <w:shd w:val="clear" w:fill="F7F9FB"/>
          </w:tcPr>
          <w:p>
            <w:pPr>
              <w:spacing w:after="20" w:before="20" w:line="240" w:lineRule="auto"/>
              <w:jc w:val="center"/>
            </w:pPr>
            <w:r/>
            <w:r>
              <w:rPr>
                <w:rFonts w:ascii="Calibri" w:hAnsi="Calibri"/>
                <w:b w:val="0"/>
                <w:sz w:val="16"/>
              </w:rPr>
              <w:t>BL-14</w:t>
            </w:r>
          </w:p>
        </w:tc>
        <w:tc>
          <w:tcPr>
            <w:tcW w:type="dxa" w:w="2268"/>
            <w:shd w:val="clear" w:fill="F7F9FB"/>
          </w:tcPr>
          <w:p>
            <w:pPr>
              <w:spacing w:after="20" w:before="20" w:line="240" w:lineRule="auto"/>
            </w:pPr>
            <w:r/>
            <w:r>
              <w:rPr>
                <w:rFonts w:ascii="Calibri" w:hAnsi="Calibri"/>
                <w:b w:val="0"/>
                <w:sz w:val="16"/>
              </w:rPr>
              <w:t>Report date</w:t>
            </w:r>
          </w:p>
        </w:tc>
        <w:tc>
          <w:tcPr>
            <w:tcW w:type="dxa" w:w="6576"/>
            <w:shd w:val="clear" w:fill="F7F9FB"/>
          </w:tcPr>
          <w:p>
            <w:pPr>
              <w:spacing w:after="20" w:before="20" w:line="240" w:lineRule="auto"/>
            </w:pPr>
            <w:r/>
            <w:r>
              <w:rPr>
                <w:rFonts w:ascii="Calibri" w:hAnsi="Calibri"/>
                <w:b w:val="0"/>
                <w:sz w:val="16"/>
              </w:rPr>
              <w:t>The report date is the later of the last closed month end and the last successful load date, and is displayed on every page.</w:t>
            </w:r>
          </w:p>
        </w:tc>
      </w:tr>
    </w:tbl>
    <w:p>
      <w:pPr>
        <w:spacing w:after="20"/>
      </w:pPr>
    </w:p>
    <w:p>
      <w:pPr>
        <w:pStyle w:val="Heading1"/>
      </w:pPr>
      <w:r>
        <w:t>15. Data Quality Requirements</w:t>
      </w:r>
    </w:p>
    <w:p>
      <w:pPr>
        <w:spacing w:after="100"/>
      </w:pPr>
      <w:r>
        <w:rPr>
          <w:b w:val="0"/>
          <w:i w:val="0"/>
        </w:rPr>
        <w:t>The reliability of the dashboard depends entirely on the quality of the source data. The following requirements are therefore stated as conditions of a trustworthy release, and each known defect in the sample data is deliberately retained so that the handling logic can be tested.</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trPr>
        <w:tc>
          <w:tcPr>
            <w:tcW w:type="dxa" w:w="794"/>
            <w:shd w:val="clear" w:fill="1F3B57"/>
          </w:tcPr>
          <w:p>
            <w:pPr>
              <w:spacing w:after="20" w:before="20" w:line="240" w:lineRule="auto"/>
            </w:pPr>
            <w:r/>
            <w:r>
              <w:rPr>
                <w:rFonts w:ascii="Calibri" w:hAnsi="Calibri"/>
                <w:b/>
                <w:color w:val="FFFFFF"/>
                <w:sz w:val="15"/>
              </w:rPr>
              <w:t>Ref</w:t>
            </w:r>
          </w:p>
        </w:tc>
        <w:tc>
          <w:tcPr>
            <w:tcW w:type="dxa" w:w="2041"/>
            <w:shd w:val="clear" w:fill="1F3B57"/>
          </w:tcPr>
          <w:p>
            <w:pPr>
              <w:spacing w:after="20" w:before="20" w:line="240" w:lineRule="auto"/>
            </w:pPr>
            <w:r/>
            <w:r>
              <w:rPr>
                <w:rFonts w:ascii="Calibri" w:hAnsi="Calibri"/>
                <w:b/>
                <w:color w:val="FFFFFF"/>
                <w:sz w:val="15"/>
              </w:rPr>
              <w:t>Quality dimension</w:t>
            </w:r>
          </w:p>
        </w:tc>
        <w:tc>
          <w:tcPr>
            <w:tcW w:type="dxa" w:w="3175"/>
            <w:shd w:val="clear" w:fill="1F3B57"/>
          </w:tcPr>
          <w:p>
            <w:pPr>
              <w:spacing w:after="20" w:before="20" w:line="240" w:lineRule="auto"/>
            </w:pPr>
            <w:r/>
            <w:r>
              <w:rPr>
                <w:rFonts w:ascii="Calibri" w:hAnsi="Calibri"/>
                <w:b/>
                <w:color w:val="FFFFFF"/>
                <w:sz w:val="15"/>
              </w:rPr>
              <w:t>Requirement</w:t>
            </w:r>
          </w:p>
        </w:tc>
        <w:tc>
          <w:tcPr>
            <w:tcW w:type="dxa" w:w="1361"/>
            <w:shd w:val="clear" w:fill="1F3B57"/>
          </w:tcPr>
          <w:p>
            <w:pPr>
              <w:spacing w:after="20" w:before="20" w:line="240" w:lineRule="auto"/>
            </w:pPr>
            <w:r/>
            <w:r>
              <w:rPr>
                <w:rFonts w:ascii="Calibri" w:hAnsi="Calibri"/>
                <w:b/>
                <w:color w:val="FFFFFF"/>
                <w:sz w:val="15"/>
              </w:rPr>
              <w:t>Tolerance</w:t>
            </w:r>
          </w:p>
        </w:tc>
        <w:tc>
          <w:tcPr>
            <w:tcW w:type="dxa" w:w="2381"/>
            <w:shd w:val="clear" w:fill="1F3B57"/>
          </w:tcPr>
          <w:p>
            <w:pPr>
              <w:spacing w:after="20" w:before="20" w:line="240" w:lineRule="auto"/>
            </w:pPr>
            <w:r/>
            <w:r>
              <w:rPr>
                <w:rFonts w:ascii="Calibri" w:hAnsi="Calibri"/>
                <w:b/>
                <w:color w:val="FFFFFF"/>
                <w:sz w:val="15"/>
              </w:rPr>
              <w:t>Handling</w:t>
            </w:r>
          </w:p>
        </w:tc>
      </w:tr>
      <w:tr>
        <w:tc>
          <w:tcPr>
            <w:tcW w:type="dxa" w:w="794"/>
          </w:tcPr>
          <w:p>
            <w:pPr>
              <w:spacing w:after="20" w:before="20" w:line="240" w:lineRule="auto"/>
              <w:jc w:val="center"/>
            </w:pPr>
            <w:r/>
            <w:r>
              <w:rPr>
                <w:rFonts w:ascii="Calibri" w:hAnsi="Calibri"/>
                <w:b w:val="0"/>
                <w:sz w:val="15"/>
              </w:rPr>
              <w:t>DQ-01</w:t>
            </w:r>
          </w:p>
        </w:tc>
        <w:tc>
          <w:tcPr>
            <w:tcW w:type="dxa" w:w="2041"/>
          </w:tcPr>
          <w:p>
            <w:pPr>
              <w:spacing w:after="20" w:before="20" w:line="240" w:lineRule="auto"/>
            </w:pPr>
            <w:r/>
            <w:r>
              <w:rPr>
                <w:rFonts w:ascii="Calibri" w:hAnsi="Calibri"/>
                <w:b w:val="0"/>
                <w:sz w:val="15"/>
              </w:rPr>
              <w:t>Completeness – project attribution</w:t>
            </w:r>
          </w:p>
        </w:tc>
        <w:tc>
          <w:tcPr>
            <w:tcW w:type="dxa" w:w="3175"/>
          </w:tcPr>
          <w:p>
            <w:pPr>
              <w:spacing w:after="20" w:before="20" w:line="240" w:lineRule="auto"/>
            </w:pPr>
            <w:r/>
            <w:r>
              <w:rPr>
                <w:rFonts w:ascii="Calibri" w:hAnsi="Calibri"/>
                <w:b w:val="0"/>
                <w:sz w:val="15"/>
              </w:rPr>
              <w:t>Every issue line carries a valid project code</w:t>
            </w:r>
          </w:p>
        </w:tc>
        <w:tc>
          <w:tcPr>
            <w:tcW w:type="dxa" w:w="1361"/>
          </w:tcPr>
          <w:p>
            <w:pPr>
              <w:spacing w:after="20" w:before="20" w:line="240" w:lineRule="auto"/>
            </w:pPr>
            <w:r/>
            <w:r>
              <w:rPr>
                <w:rFonts w:ascii="Calibri" w:hAnsi="Calibri"/>
                <w:b w:val="0"/>
                <w:sz w:val="15"/>
              </w:rPr>
              <w:t>Zero unattributed</w:t>
            </w:r>
          </w:p>
        </w:tc>
        <w:tc>
          <w:tcPr>
            <w:tcW w:type="dxa" w:w="2381"/>
          </w:tcPr>
          <w:p>
            <w:pPr>
              <w:spacing w:after="20" w:before="20" w:line="240" w:lineRule="auto"/>
            </w:pPr>
            <w:r/>
            <w:r>
              <w:rPr>
                <w:rFonts w:ascii="Calibri" w:hAnsi="Calibri"/>
                <w:b w:val="0"/>
                <w:sz w:val="15"/>
              </w:rPr>
              <w:t>Unattributed value reported separately, never allocated; exception raised</w:t>
            </w:r>
          </w:p>
        </w:tc>
      </w:tr>
      <w:tr>
        <w:tc>
          <w:tcPr>
            <w:tcW w:type="dxa" w:w="794"/>
            <w:shd w:val="clear" w:fill="F7F9FB"/>
          </w:tcPr>
          <w:p>
            <w:pPr>
              <w:spacing w:after="20" w:before="20" w:line="240" w:lineRule="auto"/>
              <w:jc w:val="center"/>
            </w:pPr>
            <w:r/>
            <w:r>
              <w:rPr>
                <w:rFonts w:ascii="Calibri" w:hAnsi="Calibri"/>
                <w:b w:val="0"/>
                <w:sz w:val="15"/>
              </w:rPr>
              <w:t>DQ-02</w:t>
            </w:r>
          </w:p>
        </w:tc>
        <w:tc>
          <w:tcPr>
            <w:tcW w:type="dxa" w:w="2041"/>
            <w:shd w:val="clear" w:fill="F7F9FB"/>
          </w:tcPr>
          <w:p>
            <w:pPr>
              <w:spacing w:after="20" w:before="20" w:line="240" w:lineRule="auto"/>
            </w:pPr>
            <w:r/>
            <w:r>
              <w:rPr>
                <w:rFonts w:ascii="Calibri" w:hAnsi="Calibri"/>
                <w:b w:val="0"/>
                <w:sz w:val="15"/>
              </w:rPr>
              <w:t>Completeness – item master</w:t>
            </w:r>
          </w:p>
        </w:tc>
        <w:tc>
          <w:tcPr>
            <w:tcW w:type="dxa" w:w="3175"/>
            <w:shd w:val="clear" w:fill="F7F9FB"/>
          </w:tcPr>
          <w:p>
            <w:pPr>
              <w:spacing w:after="20" w:before="20" w:line="240" w:lineRule="auto"/>
            </w:pPr>
            <w:r/>
            <w:r>
              <w:rPr>
                <w:rFonts w:ascii="Calibri" w:hAnsi="Calibri"/>
                <w:b w:val="0"/>
                <w:sz w:val="15"/>
              </w:rPr>
              <w:t>Every transacted item exists and is active in the master</w:t>
            </w:r>
          </w:p>
        </w:tc>
        <w:tc>
          <w:tcPr>
            <w:tcW w:type="dxa" w:w="1361"/>
            <w:shd w:val="clear" w:fill="F7F9FB"/>
          </w:tcPr>
          <w:p>
            <w:pPr>
              <w:spacing w:after="20" w:before="20" w:line="240" w:lineRule="auto"/>
            </w:pPr>
            <w:r/>
            <w:r>
              <w:rPr>
                <w:rFonts w:ascii="Calibri" w:hAnsi="Calibri"/>
                <w:b w:val="0"/>
                <w:sz w:val="15"/>
              </w:rPr>
              <w:t>Zero unmatched</w:t>
            </w:r>
          </w:p>
        </w:tc>
        <w:tc>
          <w:tcPr>
            <w:tcW w:type="dxa" w:w="2381"/>
            <w:shd w:val="clear" w:fill="F7F9FB"/>
          </w:tcPr>
          <w:p>
            <w:pPr>
              <w:spacing w:after="20" w:before="20" w:line="240" w:lineRule="auto"/>
            </w:pPr>
            <w:r/>
            <w:r>
              <w:rPr>
                <w:rFonts w:ascii="Calibri" w:hAnsi="Calibri"/>
                <w:b w:val="0"/>
                <w:sz w:val="15"/>
              </w:rPr>
              <w:t>Unmatched items listed in the master-data exception register</w:t>
            </w:r>
          </w:p>
        </w:tc>
      </w:tr>
      <w:tr>
        <w:tc>
          <w:tcPr>
            <w:tcW w:type="dxa" w:w="794"/>
          </w:tcPr>
          <w:p>
            <w:pPr>
              <w:spacing w:after="20" w:before="20" w:line="240" w:lineRule="auto"/>
              <w:jc w:val="center"/>
            </w:pPr>
            <w:r/>
            <w:r>
              <w:rPr>
                <w:rFonts w:ascii="Calibri" w:hAnsi="Calibri"/>
                <w:b w:val="0"/>
                <w:sz w:val="15"/>
              </w:rPr>
              <w:t>DQ-03</w:t>
            </w:r>
          </w:p>
        </w:tc>
        <w:tc>
          <w:tcPr>
            <w:tcW w:type="dxa" w:w="2041"/>
          </w:tcPr>
          <w:p>
            <w:pPr>
              <w:spacing w:after="20" w:before="20" w:line="240" w:lineRule="auto"/>
            </w:pPr>
            <w:r/>
            <w:r>
              <w:rPr>
                <w:rFonts w:ascii="Calibri" w:hAnsi="Calibri"/>
                <w:b w:val="0"/>
                <w:sz w:val="15"/>
              </w:rPr>
              <w:t>Completeness – pricing</w:t>
            </w:r>
          </w:p>
        </w:tc>
        <w:tc>
          <w:tcPr>
            <w:tcW w:type="dxa" w:w="3175"/>
          </w:tcPr>
          <w:p>
            <w:pPr>
              <w:spacing w:after="20" w:before="20" w:line="240" w:lineRule="auto"/>
            </w:pPr>
            <w:r/>
            <w:r>
              <w:rPr>
                <w:rFonts w:ascii="Calibri" w:hAnsi="Calibri"/>
                <w:b w:val="0"/>
                <w:sz w:val="15"/>
              </w:rPr>
              <w:t>Every issue and PO line carries a cost</w:t>
            </w:r>
          </w:p>
        </w:tc>
        <w:tc>
          <w:tcPr>
            <w:tcW w:type="dxa" w:w="1361"/>
          </w:tcPr>
          <w:p>
            <w:pPr>
              <w:spacing w:after="20" w:before="20" w:line="240" w:lineRule="auto"/>
            </w:pPr>
            <w:r/>
            <w:r>
              <w:rPr>
                <w:rFonts w:ascii="Calibri" w:hAnsi="Calibri"/>
                <w:b w:val="0"/>
                <w:sz w:val="15"/>
              </w:rPr>
              <w:t>Under 1% of lines</w:t>
            </w:r>
          </w:p>
        </w:tc>
        <w:tc>
          <w:tcPr>
            <w:tcW w:type="dxa" w:w="2381"/>
          </w:tcPr>
          <w:p>
            <w:pPr>
              <w:spacing w:after="20" w:before="20" w:line="240" w:lineRule="auto"/>
            </w:pPr>
            <w:r/>
            <w:r>
              <w:rPr>
                <w:rFonts w:ascii="Calibri" w:hAnsi="Calibri"/>
                <w:b w:val="0"/>
                <w:sz w:val="15"/>
              </w:rPr>
              <w:t>Zero-cost issues valued at standard cost and flagged; donated stock excluded from price analysis</w:t>
            </w:r>
          </w:p>
        </w:tc>
      </w:tr>
      <w:tr>
        <w:tc>
          <w:tcPr>
            <w:tcW w:type="dxa" w:w="794"/>
            <w:shd w:val="clear" w:fill="F7F9FB"/>
          </w:tcPr>
          <w:p>
            <w:pPr>
              <w:spacing w:after="20" w:before="20" w:line="240" w:lineRule="auto"/>
              <w:jc w:val="center"/>
            </w:pPr>
            <w:r/>
            <w:r>
              <w:rPr>
                <w:rFonts w:ascii="Calibri" w:hAnsi="Calibri"/>
                <w:b w:val="0"/>
                <w:sz w:val="15"/>
              </w:rPr>
              <w:t>DQ-04</w:t>
            </w:r>
          </w:p>
        </w:tc>
        <w:tc>
          <w:tcPr>
            <w:tcW w:type="dxa" w:w="2041"/>
            <w:shd w:val="clear" w:fill="F7F9FB"/>
          </w:tcPr>
          <w:p>
            <w:pPr>
              <w:spacing w:after="20" w:before="20" w:line="240" w:lineRule="auto"/>
            </w:pPr>
            <w:r/>
            <w:r>
              <w:rPr>
                <w:rFonts w:ascii="Calibri" w:hAnsi="Calibri"/>
                <w:b w:val="0"/>
                <w:sz w:val="15"/>
              </w:rPr>
              <w:t>Uniqueness</w:t>
            </w:r>
          </w:p>
        </w:tc>
        <w:tc>
          <w:tcPr>
            <w:tcW w:type="dxa" w:w="3175"/>
            <w:shd w:val="clear" w:fill="F7F9FB"/>
          </w:tcPr>
          <w:p>
            <w:pPr>
              <w:spacing w:after="20" w:before="20" w:line="240" w:lineRule="auto"/>
            </w:pPr>
            <w:r/>
            <w:r>
              <w:rPr>
                <w:rFonts w:ascii="Calibri" w:hAnsi="Calibri"/>
                <w:b w:val="0"/>
                <w:sz w:val="15"/>
              </w:rPr>
              <w:t>No duplicate receipts for the same document, item and batch</w:t>
            </w:r>
          </w:p>
        </w:tc>
        <w:tc>
          <w:tcPr>
            <w:tcW w:type="dxa" w:w="1361"/>
            <w:shd w:val="clear" w:fill="F7F9FB"/>
          </w:tcPr>
          <w:p>
            <w:pPr>
              <w:spacing w:after="20" w:before="20" w:line="240" w:lineRule="auto"/>
            </w:pPr>
            <w:r/>
            <w:r>
              <w:rPr>
                <w:rFonts w:ascii="Calibri" w:hAnsi="Calibri"/>
                <w:b w:val="0"/>
                <w:sz w:val="15"/>
              </w:rPr>
              <w:t>Zero duplicates</w:t>
            </w:r>
          </w:p>
        </w:tc>
        <w:tc>
          <w:tcPr>
            <w:tcW w:type="dxa" w:w="2381"/>
            <w:shd w:val="clear" w:fill="F7F9FB"/>
          </w:tcPr>
          <w:p>
            <w:pPr>
              <w:spacing w:after="20" w:before="20" w:line="240" w:lineRule="auto"/>
            </w:pPr>
            <w:r/>
            <w:r>
              <w:rPr>
                <w:rFonts w:ascii="Calibri" w:hAnsi="Calibri"/>
                <w:b w:val="0"/>
                <w:sz w:val="15"/>
              </w:rPr>
              <w:t>Deduplication at load; duplicates reported</w:t>
            </w:r>
          </w:p>
        </w:tc>
      </w:tr>
      <w:tr>
        <w:tc>
          <w:tcPr>
            <w:tcW w:type="dxa" w:w="794"/>
          </w:tcPr>
          <w:p>
            <w:pPr>
              <w:spacing w:after="20" w:before="20" w:line="240" w:lineRule="auto"/>
              <w:jc w:val="center"/>
            </w:pPr>
            <w:r/>
            <w:r>
              <w:rPr>
                <w:rFonts w:ascii="Calibri" w:hAnsi="Calibri"/>
                <w:b w:val="0"/>
                <w:sz w:val="15"/>
              </w:rPr>
              <w:t>DQ-05</w:t>
            </w:r>
          </w:p>
        </w:tc>
        <w:tc>
          <w:tcPr>
            <w:tcW w:type="dxa" w:w="2041"/>
          </w:tcPr>
          <w:p>
            <w:pPr>
              <w:spacing w:after="20" w:before="20" w:line="240" w:lineRule="auto"/>
            </w:pPr>
            <w:r/>
            <w:r>
              <w:rPr>
                <w:rFonts w:ascii="Calibri" w:hAnsi="Calibri"/>
                <w:b w:val="0"/>
                <w:sz w:val="15"/>
              </w:rPr>
              <w:t>Validity – dates</w:t>
            </w:r>
          </w:p>
        </w:tc>
        <w:tc>
          <w:tcPr>
            <w:tcW w:type="dxa" w:w="3175"/>
          </w:tcPr>
          <w:p>
            <w:pPr>
              <w:spacing w:after="20" w:before="20" w:line="240" w:lineRule="auto"/>
            </w:pPr>
            <w:r/>
            <w:r>
              <w:rPr>
                <w:rFonts w:ascii="Calibri" w:hAnsi="Calibri"/>
                <w:b w:val="0"/>
                <w:sz w:val="15"/>
              </w:rPr>
              <w:t>GRN date not earlier than PO date; issue date not earlier than GRN date</w:t>
            </w:r>
          </w:p>
        </w:tc>
        <w:tc>
          <w:tcPr>
            <w:tcW w:type="dxa" w:w="1361"/>
          </w:tcPr>
          <w:p>
            <w:pPr>
              <w:spacing w:after="20" w:before="20" w:line="240" w:lineRule="auto"/>
            </w:pPr>
            <w:r/>
            <w:r>
              <w:rPr>
                <w:rFonts w:ascii="Calibri" w:hAnsi="Calibri"/>
                <w:b w:val="0"/>
                <w:sz w:val="15"/>
              </w:rPr>
              <w:t>Under 0.5% breaches</w:t>
            </w:r>
          </w:p>
        </w:tc>
        <w:tc>
          <w:tcPr>
            <w:tcW w:type="dxa" w:w="2381"/>
          </w:tcPr>
          <w:p>
            <w:pPr>
              <w:spacing w:after="20" w:before="20" w:line="240" w:lineRule="auto"/>
            </w:pPr>
            <w:r/>
            <w:r>
              <w:rPr>
                <w:rFonts w:ascii="Calibri" w:hAnsi="Calibri"/>
                <w:b w:val="0"/>
                <w:sz w:val="15"/>
              </w:rPr>
              <w:t>Flagged and excluded from lead-time averages</w:t>
            </w:r>
          </w:p>
        </w:tc>
      </w:tr>
      <w:tr>
        <w:tc>
          <w:tcPr>
            <w:tcW w:type="dxa" w:w="794"/>
            <w:shd w:val="clear" w:fill="F7F9FB"/>
          </w:tcPr>
          <w:p>
            <w:pPr>
              <w:spacing w:after="20" w:before="20" w:line="240" w:lineRule="auto"/>
              <w:jc w:val="center"/>
            </w:pPr>
            <w:r/>
            <w:r>
              <w:rPr>
                <w:rFonts w:ascii="Calibri" w:hAnsi="Calibri"/>
                <w:b w:val="0"/>
                <w:sz w:val="15"/>
              </w:rPr>
              <w:t>DQ-06</w:t>
            </w:r>
          </w:p>
        </w:tc>
        <w:tc>
          <w:tcPr>
            <w:tcW w:type="dxa" w:w="2041"/>
            <w:shd w:val="clear" w:fill="F7F9FB"/>
          </w:tcPr>
          <w:p>
            <w:pPr>
              <w:spacing w:after="20" w:before="20" w:line="240" w:lineRule="auto"/>
            </w:pPr>
            <w:r/>
            <w:r>
              <w:rPr>
                <w:rFonts w:ascii="Calibri" w:hAnsi="Calibri"/>
                <w:b w:val="0"/>
                <w:sz w:val="15"/>
              </w:rPr>
              <w:t>Validity – quantities</w:t>
            </w:r>
          </w:p>
        </w:tc>
        <w:tc>
          <w:tcPr>
            <w:tcW w:type="dxa" w:w="3175"/>
            <w:shd w:val="clear" w:fill="F7F9FB"/>
          </w:tcPr>
          <w:p>
            <w:pPr>
              <w:spacing w:after="20" w:before="20" w:line="240" w:lineRule="auto"/>
            </w:pPr>
            <w:r/>
            <w:r>
              <w:rPr>
                <w:rFonts w:ascii="Calibri" w:hAnsi="Calibri"/>
                <w:b w:val="0"/>
                <w:sz w:val="15"/>
              </w:rPr>
              <w:t>No negative or zero quantities on issues and receipts</w:t>
            </w:r>
          </w:p>
        </w:tc>
        <w:tc>
          <w:tcPr>
            <w:tcW w:type="dxa" w:w="1361"/>
            <w:shd w:val="clear" w:fill="F7F9FB"/>
          </w:tcPr>
          <w:p>
            <w:pPr>
              <w:spacing w:after="20" w:before="20" w:line="240" w:lineRule="auto"/>
            </w:pPr>
            <w:r/>
            <w:r>
              <w:rPr>
                <w:rFonts w:ascii="Calibri" w:hAnsi="Calibri"/>
                <w:b w:val="0"/>
                <w:sz w:val="15"/>
              </w:rPr>
              <w:t>Zero</w:t>
            </w:r>
          </w:p>
        </w:tc>
        <w:tc>
          <w:tcPr>
            <w:tcW w:type="dxa" w:w="2381"/>
            <w:shd w:val="clear" w:fill="F7F9FB"/>
          </w:tcPr>
          <w:p>
            <w:pPr>
              <w:spacing w:after="20" w:before="20" w:line="240" w:lineRule="auto"/>
            </w:pPr>
            <w:r/>
            <w:r>
              <w:rPr>
                <w:rFonts w:ascii="Calibri" w:hAnsi="Calibri"/>
                <w:b w:val="0"/>
                <w:sz w:val="15"/>
              </w:rPr>
              <w:t>Rejected at load and reported</w:t>
            </w:r>
          </w:p>
        </w:tc>
      </w:tr>
      <w:tr>
        <w:tc>
          <w:tcPr>
            <w:tcW w:type="dxa" w:w="794"/>
          </w:tcPr>
          <w:p>
            <w:pPr>
              <w:spacing w:after="20" w:before="20" w:line="240" w:lineRule="auto"/>
              <w:jc w:val="center"/>
            </w:pPr>
            <w:r/>
            <w:r>
              <w:rPr>
                <w:rFonts w:ascii="Calibri" w:hAnsi="Calibri"/>
                <w:b w:val="0"/>
                <w:sz w:val="15"/>
              </w:rPr>
              <w:t>DQ-07</w:t>
            </w:r>
          </w:p>
        </w:tc>
        <w:tc>
          <w:tcPr>
            <w:tcW w:type="dxa" w:w="2041"/>
          </w:tcPr>
          <w:p>
            <w:pPr>
              <w:spacing w:after="20" w:before="20" w:line="240" w:lineRule="auto"/>
            </w:pPr>
            <w:r/>
            <w:r>
              <w:rPr>
                <w:rFonts w:ascii="Calibri" w:hAnsi="Calibri"/>
                <w:b w:val="0"/>
                <w:sz w:val="15"/>
              </w:rPr>
              <w:t>Consistency – budget</w:t>
            </w:r>
          </w:p>
        </w:tc>
        <w:tc>
          <w:tcPr>
            <w:tcW w:type="dxa" w:w="3175"/>
          </w:tcPr>
          <w:p>
            <w:pPr>
              <w:spacing w:after="20" w:before="20" w:line="240" w:lineRule="auto"/>
            </w:pPr>
            <w:r/>
            <w:r>
              <w:rPr>
                <w:rFonts w:ascii="Calibri" w:hAnsi="Calibri"/>
                <w:b w:val="0"/>
                <w:sz w:val="15"/>
              </w:rPr>
              <w:t>Every active project has a budget line for each applicable category</w:t>
            </w:r>
          </w:p>
        </w:tc>
        <w:tc>
          <w:tcPr>
            <w:tcW w:type="dxa" w:w="1361"/>
          </w:tcPr>
          <w:p>
            <w:pPr>
              <w:spacing w:after="20" w:before="20" w:line="240" w:lineRule="auto"/>
            </w:pPr>
            <w:r/>
            <w:r>
              <w:rPr>
                <w:rFonts w:ascii="Calibri" w:hAnsi="Calibri"/>
                <w:b w:val="0"/>
                <w:sz w:val="15"/>
              </w:rPr>
              <w:t>100% of active projects</w:t>
            </w:r>
          </w:p>
        </w:tc>
        <w:tc>
          <w:tcPr>
            <w:tcW w:type="dxa" w:w="2381"/>
          </w:tcPr>
          <w:p>
            <w:pPr>
              <w:spacing w:after="20" w:before="20" w:line="240" w:lineRule="auto"/>
            </w:pPr>
            <w:r/>
            <w:r>
              <w:rPr>
                <w:rFonts w:ascii="Calibri" w:hAnsi="Calibri"/>
                <w:b w:val="0"/>
                <w:sz w:val="15"/>
              </w:rPr>
              <w:t>Missing budget shown as not budgeted rather than zero</w:t>
            </w:r>
          </w:p>
        </w:tc>
      </w:tr>
      <w:tr>
        <w:tc>
          <w:tcPr>
            <w:tcW w:type="dxa" w:w="794"/>
            <w:shd w:val="clear" w:fill="F7F9FB"/>
          </w:tcPr>
          <w:p>
            <w:pPr>
              <w:spacing w:after="20" w:before="20" w:line="240" w:lineRule="auto"/>
              <w:jc w:val="center"/>
            </w:pPr>
            <w:r/>
            <w:r>
              <w:rPr>
                <w:rFonts w:ascii="Calibri" w:hAnsi="Calibri"/>
                <w:b w:val="0"/>
                <w:sz w:val="15"/>
              </w:rPr>
              <w:t>DQ-08</w:t>
            </w:r>
          </w:p>
        </w:tc>
        <w:tc>
          <w:tcPr>
            <w:tcW w:type="dxa" w:w="2041"/>
            <w:shd w:val="clear" w:fill="F7F9FB"/>
          </w:tcPr>
          <w:p>
            <w:pPr>
              <w:spacing w:after="20" w:before="20" w:line="240" w:lineRule="auto"/>
            </w:pPr>
            <w:r/>
            <w:r>
              <w:rPr>
                <w:rFonts w:ascii="Calibri" w:hAnsi="Calibri"/>
                <w:b w:val="0"/>
                <w:sz w:val="15"/>
              </w:rPr>
              <w:t>Consistency – service delivery</w:t>
            </w:r>
          </w:p>
        </w:tc>
        <w:tc>
          <w:tcPr>
            <w:tcW w:type="dxa" w:w="3175"/>
            <w:shd w:val="clear" w:fill="F7F9FB"/>
          </w:tcPr>
          <w:p>
            <w:pPr>
              <w:spacing w:after="20" w:before="20" w:line="240" w:lineRule="auto"/>
            </w:pPr>
            <w:r/>
            <w:r>
              <w:rPr>
                <w:rFonts w:ascii="Calibri" w:hAnsi="Calibri"/>
                <w:b w:val="0"/>
                <w:sz w:val="15"/>
              </w:rPr>
              <w:t>Beneficiary counts available for every active project-month</w:t>
            </w:r>
          </w:p>
        </w:tc>
        <w:tc>
          <w:tcPr>
            <w:tcW w:type="dxa" w:w="1361"/>
            <w:shd w:val="clear" w:fill="F7F9FB"/>
          </w:tcPr>
          <w:p>
            <w:pPr>
              <w:spacing w:after="20" w:before="20" w:line="240" w:lineRule="auto"/>
            </w:pPr>
            <w:r/>
            <w:r>
              <w:rPr>
                <w:rFonts w:ascii="Calibri" w:hAnsi="Calibri"/>
                <w:b w:val="0"/>
                <w:sz w:val="15"/>
              </w:rPr>
              <w:t>95%+</w:t>
            </w:r>
          </w:p>
        </w:tc>
        <w:tc>
          <w:tcPr>
            <w:tcW w:type="dxa" w:w="2381"/>
            <w:shd w:val="clear" w:fill="F7F9FB"/>
          </w:tcPr>
          <w:p>
            <w:pPr>
              <w:spacing w:after="20" w:before="20" w:line="240" w:lineRule="auto"/>
            </w:pPr>
            <w:r/>
            <w:r>
              <w:rPr>
                <w:rFonts w:ascii="Calibri" w:hAnsi="Calibri"/>
                <w:b w:val="0"/>
                <w:sz w:val="15"/>
              </w:rPr>
              <w:t>Ratios left blank where counts are missing; gaps listed</w:t>
            </w:r>
          </w:p>
        </w:tc>
      </w:tr>
      <w:tr>
        <w:tc>
          <w:tcPr>
            <w:tcW w:type="dxa" w:w="794"/>
          </w:tcPr>
          <w:p>
            <w:pPr>
              <w:spacing w:after="20" w:before="20" w:line="240" w:lineRule="auto"/>
              <w:jc w:val="center"/>
            </w:pPr>
            <w:r/>
            <w:r>
              <w:rPr>
                <w:rFonts w:ascii="Calibri" w:hAnsi="Calibri"/>
                <w:b w:val="0"/>
                <w:sz w:val="15"/>
              </w:rPr>
              <w:t>DQ-09</w:t>
            </w:r>
          </w:p>
        </w:tc>
        <w:tc>
          <w:tcPr>
            <w:tcW w:type="dxa" w:w="2041"/>
          </w:tcPr>
          <w:p>
            <w:pPr>
              <w:spacing w:after="20" w:before="20" w:line="240" w:lineRule="auto"/>
            </w:pPr>
            <w:r/>
            <w:r>
              <w:rPr>
                <w:rFonts w:ascii="Calibri" w:hAnsi="Calibri"/>
                <w:b w:val="0"/>
                <w:sz w:val="15"/>
              </w:rPr>
              <w:t>Timeliness</w:t>
            </w:r>
          </w:p>
        </w:tc>
        <w:tc>
          <w:tcPr>
            <w:tcW w:type="dxa" w:w="3175"/>
          </w:tcPr>
          <w:p>
            <w:pPr>
              <w:spacing w:after="20" w:before="20" w:line="240" w:lineRule="auto"/>
            </w:pPr>
            <w:r/>
            <w:r>
              <w:rPr>
                <w:rFonts w:ascii="Calibri" w:hAnsi="Calibri"/>
                <w:b w:val="0"/>
                <w:sz w:val="15"/>
              </w:rPr>
              <w:t>Data available within 24 hours of the transaction posting</w:t>
            </w:r>
          </w:p>
        </w:tc>
        <w:tc>
          <w:tcPr>
            <w:tcW w:type="dxa" w:w="1361"/>
          </w:tcPr>
          <w:p>
            <w:pPr>
              <w:spacing w:after="20" w:before="20" w:line="240" w:lineRule="auto"/>
            </w:pPr>
            <w:r/>
            <w:r>
              <w:rPr>
                <w:rFonts w:ascii="Calibri" w:hAnsi="Calibri"/>
                <w:b w:val="0"/>
                <w:sz w:val="15"/>
              </w:rPr>
              <w:t>95% of days</w:t>
            </w:r>
          </w:p>
        </w:tc>
        <w:tc>
          <w:tcPr>
            <w:tcW w:type="dxa" w:w="2381"/>
          </w:tcPr>
          <w:p>
            <w:pPr>
              <w:spacing w:after="20" w:before="20" w:line="240" w:lineRule="auto"/>
            </w:pPr>
            <w:r/>
            <w:r>
              <w:rPr>
                <w:rFonts w:ascii="Calibri" w:hAnsi="Calibri"/>
                <w:b w:val="0"/>
                <w:sz w:val="15"/>
              </w:rPr>
              <w:t>Load-failure alert to IT; freshness indicator on pages</w:t>
            </w:r>
          </w:p>
        </w:tc>
      </w:tr>
      <w:tr>
        <w:tc>
          <w:tcPr>
            <w:tcW w:type="dxa" w:w="794"/>
            <w:shd w:val="clear" w:fill="F7F9FB"/>
          </w:tcPr>
          <w:p>
            <w:pPr>
              <w:spacing w:after="20" w:before="20" w:line="240" w:lineRule="auto"/>
              <w:jc w:val="center"/>
            </w:pPr>
            <w:r/>
            <w:r>
              <w:rPr>
                <w:rFonts w:ascii="Calibri" w:hAnsi="Calibri"/>
                <w:b w:val="0"/>
                <w:sz w:val="15"/>
              </w:rPr>
              <w:t>DQ-10</w:t>
            </w:r>
          </w:p>
        </w:tc>
        <w:tc>
          <w:tcPr>
            <w:tcW w:type="dxa" w:w="2041"/>
            <w:shd w:val="clear" w:fill="F7F9FB"/>
          </w:tcPr>
          <w:p>
            <w:pPr>
              <w:spacing w:after="20" w:before="20" w:line="240" w:lineRule="auto"/>
            </w:pPr>
            <w:r/>
            <w:r>
              <w:rPr>
                <w:rFonts w:ascii="Calibri" w:hAnsi="Calibri"/>
                <w:b w:val="0"/>
                <w:sz w:val="15"/>
              </w:rPr>
              <w:t>Referential integrity</w:t>
            </w:r>
          </w:p>
        </w:tc>
        <w:tc>
          <w:tcPr>
            <w:tcW w:type="dxa" w:w="3175"/>
            <w:shd w:val="clear" w:fill="F7F9FB"/>
          </w:tcPr>
          <w:p>
            <w:pPr>
              <w:spacing w:after="20" w:before="20" w:line="240" w:lineRule="auto"/>
            </w:pPr>
            <w:r/>
            <w:r>
              <w:rPr>
                <w:rFonts w:ascii="Calibri" w:hAnsi="Calibri"/>
                <w:b w:val="0"/>
                <w:sz w:val="15"/>
              </w:rPr>
              <w:t>All dimension keys resolve</w:t>
            </w:r>
          </w:p>
        </w:tc>
        <w:tc>
          <w:tcPr>
            <w:tcW w:type="dxa" w:w="1361"/>
            <w:shd w:val="clear" w:fill="F7F9FB"/>
          </w:tcPr>
          <w:p>
            <w:pPr>
              <w:spacing w:after="20" w:before="20" w:line="240" w:lineRule="auto"/>
            </w:pPr>
            <w:r/>
            <w:r>
              <w:rPr>
                <w:rFonts w:ascii="Calibri" w:hAnsi="Calibri"/>
                <w:b w:val="0"/>
                <w:sz w:val="15"/>
              </w:rPr>
              <w:t>100%</w:t>
            </w:r>
          </w:p>
        </w:tc>
        <w:tc>
          <w:tcPr>
            <w:tcW w:type="dxa" w:w="2381"/>
            <w:shd w:val="clear" w:fill="F7F9FB"/>
          </w:tcPr>
          <w:p>
            <w:pPr>
              <w:spacing w:after="20" w:before="20" w:line="240" w:lineRule="auto"/>
            </w:pPr>
            <w:r/>
            <w:r>
              <w:rPr>
                <w:rFonts w:ascii="Calibri" w:hAnsi="Calibri"/>
                <w:b w:val="0"/>
                <w:sz w:val="15"/>
              </w:rPr>
              <w:t>Unresolved keys assigned to an 'unknown' member and counted</w:t>
            </w:r>
          </w:p>
        </w:tc>
      </w:tr>
      <w:tr>
        <w:tc>
          <w:tcPr>
            <w:tcW w:type="dxa" w:w="794"/>
          </w:tcPr>
          <w:p>
            <w:pPr>
              <w:spacing w:after="20" w:before="20" w:line="240" w:lineRule="auto"/>
              <w:jc w:val="center"/>
            </w:pPr>
            <w:r/>
            <w:r>
              <w:rPr>
                <w:rFonts w:ascii="Calibri" w:hAnsi="Calibri"/>
                <w:b w:val="0"/>
                <w:sz w:val="15"/>
              </w:rPr>
              <w:t>DQ-11</w:t>
            </w:r>
          </w:p>
        </w:tc>
        <w:tc>
          <w:tcPr>
            <w:tcW w:type="dxa" w:w="2041"/>
          </w:tcPr>
          <w:p>
            <w:pPr>
              <w:spacing w:after="20" w:before="20" w:line="240" w:lineRule="auto"/>
            </w:pPr>
            <w:r/>
            <w:r>
              <w:rPr>
                <w:rFonts w:ascii="Calibri" w:hAnsi="Calibri"/>
                <w:b w:val="0"/>
                <w:sz w:val="15"/>
              </w:rPr>
              <w:t>Accuracy</w:t>
            </w:r>
          </w:p>
        </w:tc>
        <w:tc>
          <w:tcPr>
            <w:tcW w:type="dxa" w:w="3175"/>
          </w:tcPr>
          <w:p>
            <w:pPr>
              <w:spacing w:after="20" w:before="20" w:line="240" w:lineRule="auto"/>
            </w:pPr>
            <w:r/>
            <w:r>
              <w:rPr>
                <w:rFonts w:ascii="Calibri" w:hAnsi="Calibri"/>
                <w:b w:val="0"/>
                <w:sz w:val="15"/>
              </w:rPr>
              <w:t>Reported figures reconcile to Oracle control totals</w:t>
            </w:r>
          </w:p>
        </w:tc>
        <w:tc>
          <w:tcPr>
            <w:tcW w:type="dxa" w:w="1361"/>
          </w:tcPr>
          <w:p>
            <w:pPr>
              <w:spacing w:after="20" w:before="20" w:line="240" w:lineRule="auto"/>
            </w:pPr>
            <w:r/>
            <w:r>
              <w:rPr>
                <w:rFonts w:ascii="Calibri" w:hAnsi="Calibri"/>
                <w:b w:val="0"/>
                <w:sz w:val="15"/>
              </w:rPr>
              <w:t>Difference under 0.1%</w:t>
            </w:r>
          </w:p>
        </w:tc>
        <w:tc>
          <w:tcPr>
            <w:tcW w:type="dxa" w:w="2381"/>
          </w:tcPr>
          <w:p>
            <w:pPr>
              <w:spacing w:after="20" w:before="20" w:line="240" w:lineRule="auto"/>
            </w:pPr>
            <w:r/>
            <w:r>
              <w:rPr>
                <w:rFonts w:ascii="Calibri" w:hAnsi="Calibri"/>
                <w:b w:val="0"/>
                <w:sz w:val="15"/>
              </w:rPr>
              <w:t>Reconciliation report produced each load; variance investigated</w:t>
            </w:r>
          </w:p>
        </w:tc>
      </w:tr>
      <w:tr>
        <w:tc>
          <w:tcPr>
            <w:tcW w:type="dxa" w:w="794"/>
            <w:shd w:val="clear" w:fill="F7F9FB"/>
          </w:tcPr>
          <w:p>
            <w:pPr>
              <w:spacing w:after="20" w:before="20" w:line="240" w:lineRule="auto"/>
              <w:jc w:val="center"/>
            </w:pPr>
            <w:r/>
            <w:r>
              <w:rPr>
                <w:rFonts w:ascii="Calibri" w:hAnsi="Calibri"/>
                <w:b w:val="0"/>
                <w:sz w:val="15"/>
              </w:rPr>
              <w:t>DQ-12</w:t>
            </w:r>
          </w:p>
        </w:tc>
        <w:tc>
          <w:tcPr>
            <w:tcW w:type="dxa" w:w="2041"/>
            <w:shd w:val="clear" w:fill="F7F9FB"/>
          </w:tcPr>
          <w:p>
            <w:pPr>
              <w:spacing w:after="20" w:before="20" w:line="240" w:lineRule="auto"/>
            </w:pPr>
            <w:r/>
            <w:r>
              <w:rPr>
                <w:rFonts w:ascii="Calibri" w:hAnsi="Calibri"/>
                <w:b w:val="0"/>
                <w:sz w:val="15"/>
              </w:rPr>
              <w:t>Auditability</w:t>
            </w:r>
          </w:p>
        </w:tc>
        <w:tc>
          <w:tcPr>
            <w:tcW w:type="dxa" w:w="3175"/>
            <w:shd w:val="clear" w:fill="F7F9FB"/>
          </w:tcPr>
          <w:p>
            <w:pPr>
              <w:spacing w:after="20" w:before="20" w:line="240" w:lineRule="auto"/>
            </w:pPr>
            <w:r/>
            <w:r>
              <w:rPr>
                <w:rFonts w:ascii="Calibri" w:hAnsi="Calibri"/>
                <w:b w:val="0"/>
                <w:sz w:val="15"/>
              </w:rPr>
              <w:t>Every reported value traceable to source documents</w:t>
            </w:r>
          </w:p>
        </w:tc>
        <w:tc>
          <w:tcPr>
            <w:tcW w:type="dxa" w:w="1361"/>
            <w:shd w:val="clear" w:fill="F7F9FB"/>
          </w:tcPr>
          <w:p>
            <w:pPr>
              <w:spacing w:after="20" w:before="20" w:line="240" w:lineRule="auto"/>
            </w:pPr>
            <w:r/>
            <w:r>
              <w:rPr>
                <w:rFonts w:ascii="Calibri" w:hAnsi="Calibri"/>
                <w:b w:val="0"/>
                <w:sz w:val="15"/>
              </w:rPr>
              <w:t>100%</w:t>
            </w:r>
          </w:p>
        </w:tc>
        <w:tc>
          <w:tcPr>
            <w:tcW w:type="dxa" w:w="2381"/>
            <w:shd w:val="clear" w:fill="F7F9FB"/>
          </w:tcPr>
          <w:p>
            <w:pPr>
              <w:spacing w:after="20" w:before="20" w:line="240" w:lineRule="auto"/>
            </w:pPr>
            <w:r/>
            <w:r>
              <w:rPr>
                <w:rFonts w:ascii="Calibri" w:hAnsi="Calibri"/>
                <w:b w:val="0"/>
                <w:sz w:val="15"/>
              </w:rPr>
              <w:t>Drill-through list with document numbers retained in exports</w:t>
            </w:r>
          </w:p>
        </w:tc>
      </w:tr>
    </w:tbl>
    <w:p>
      <w:pPr>
        <w:spacing w:after="20"/>
      </w:pPr>
    </w:p>
    <w:p>
      <w:pPr>
        <w:pStyle w:val="Heading2"/>
      </w:pPr>
      <w:r>
        <w:t>15.1 Data-quality control total reconciliation</w:t>
      </w:r>
    </w:p>
    <w:p>
      <w:pPr>
        <w:spacing w:after="100"/>
      </w:pPr>
      <w:r>
        <w:rPr>
          <w:b w:val="0"/>
          <w:i w:val="0"/>
        </w:rPr>
        <w:t>Each load must reconcile the following control totals before the dashboard is refreshed. A failure blocks the refresh and raises an alert rather than publishing suspect figures.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trPr>
        <w:tc>
          <w:tcPr>
            <w:tcW w:type="dxa" w:w="2041"/>
            <w:shd w:val="clear" w:fill="1F3B57"/>
          </w:tcPr>
          <w:p>
            <w:pPr>
              <w:spacing w:after="20" w:before="20" w:line="240" w:lineRule="auto"/>
            </w:pPr>
            <w:r/>
            <w:r>
              <w:rPr>
                <w:rFonts w:ascii="Calibri" w:hAnsi="Calibri"/>
                <w:b/>
                <w:color w:val="FFFFFF"/>
                <w:sz w:val="16"/>
              </w:rPr>
              <w:t>Control</w:t>
            </w:r>
          </w:p>
        </w:tc>
        <w:tc>
          <w:tcPr>
            <w:tcW w:type="dxa" w:w="2041"/>
            <w:shd w:val="clear" w:fill="1F3B57"/>
          </w:tcPr>
          <w:p>
            <w:pPr>
              <w:spacing w:after="20" w:before="20" w:line="240" w:lineRule="auto"/>
            </w:pPr>
            <w:r/>
            <w:r>
              <w:rPr>
                <w:rFonts w:ascii="Calibri" w:hAnsi="Calibri"/>
                <w:b/>
                <w:color w:val="FFFFFF"/>
                <w:sz w:val="16"/>
              </w:rPr>
              <w:t>Source</w:t>
            </w:r>
          </w:p>
        </w:tc>
        <w:tc>
          <w:tcPr>
            <w:tcW w:type="dxa" w:w="3175"/>
            <w:shd w:val="clear" w:fill="1F3B57"/>
          </w:tcPr>
          <w:p>
            <w:pPr>
              <w:spacing w:after="20" w:before="20" w:line="240" w:lineRule="auto"/>
            </w:pPr>
            <w:r/>
            <w:r>
              <w:rPr>
                <w:rFonts w:ascii="Calibri" w:hAnsi="Calibri"/>
                <w:b/>
                <w:color w:val="FFFFFF"/>
                <w:sz w:val="16"/>
              </w:rPr>
              <w:t>Comparison</w:t>
            </w:r>
          </w:p>
        </w:tc>
        <w:tc>
          <w:tcPr>
            <w:tcW w:type="dxa" w:w="2494"/>
            <w:shd w:val="clear" w:fill="1F3B57"/>
          </w:tcPr>
          <w:p>
            <w:pPr>
              <w:spacing w:after="20" w:before="20" w:line="240" w:lineRule="auto"/>
            </w:pPr>
            <w:r/>
            <w:r>
              <w:rPr>
                <w:rFonts w:ascii="Calibri" w:hAnsi="Calibri"/>
                <w:b/>
                <w:color w:val="FFFFFF"/>
                <w:sz w:val="16"/>
              </w:rPr>
              <w:t>Action on breach</w:t>
            </w:r>
          </w:p>
        </w:tc>
      </w:tr>
      <w:tr>
        <w:tc>
          <w:tcPr>
            <w:tcW w:type="dxa" w:w="2041"/>
          </w:tcPr>
          <w:p>
            <w:pPr>
              <w:spacing w:after="20" w:before="20" w:line="240" w:lineRule="auto"/>
            </w:pPr>
            <w:r/>
            <w:r>
              <w:rPr>
                <w:rFonts w:ascii="Calibri" w:hAnsi="Calibri"/>
                <w:b w:val="0"/>
                <w:sz w:val="16"/>
              </w:rPr>
              <w:t>Total consumption value</w:t>
            </w:r>
          </w:p>
        </w:tc>
        <w:tc>
          <w:tcPr>
            <w:tcW w:type="dxa" w:w="2041"/>
          </w:tcPr>
          <w:p>
            <w:pPr>
              <w:spacing w:after="20" w:before="20" w:line="240" w:lineRule="auto"/>
            </w:pPr>
            <w:r/>
            <w:r>
              <w:rPr>
                <w:rFonts w:ascii="Calibri" w:hAnsi="Calibri"/>
                <w:b w:val="0"/>
                <w:sz w:val="16"/>
              </w:rPr>
              <w:t>Oracle issue register</w:t>
            </w:r>
          </w:p>
        </w:tc>
        <w:tc>
          <w:tcPr>
            <w:tcW w:type="dxa" w:w="3175"/>
          </w:tcPr>
          <w:p>
            <w:pPr>
              <w:spacing w:after="20" w:before="20" w:line="240" w:lineRule="auto"/>
            </w:pPr>
            <w:r/>
            <w:r>
              <w:rPr>
                <w:rFonts w:ascii="Calibri" w:hAnsi="Calibri"/>
                <w:b w:val="0"/>
                <w:sz w:val="16"/>
              </w:rPr>
              <w:t>Sum of issue values for the loaded period</w:t>
            </w:r>
          </w:p>
        </w:tc>
        <w:tc>
          <w:tcPr>
            <w:tcW w:type="dxa" w:w="2494"/>
          </w:tcPr>
          <w:p>
            <w:pPr>
              <w:spacing w:after="20" w:before="20" w:line="240" w:lineRule="auto"/>
            </w:pPr>
            <w:r/>
            <w:r>
              <w:rPr>
                <w:rFonts w:ascii="Calibri" w:hAnsi="Calibri"/>
                <w:b w:val="0"/>
                <w:sz w:val="16"/>
              </w:rPr>
              <w:t>Block refresh; notify IT and Head of Procurement</w:t>
            </w:r>
          </w:p>
        </w:tc>
      </w:tr>
      <w:tr>
        <w:tc>
          <w:tcPr>
            <w:tcW w:type="dxa" w:w="2041"/>
            <w:shd w:val="clear" w:fill="F7F9FB"/>
          </w:tcPr>
          <w:p>
            <w:pPr>
              <w:spacing w:after="20" w:before="20" w:line="240" w:lineRule="auto"/>
            </w:pPr>
            <w:r/>
            <w:r>
              <w:rPr>
                <w:rFonts w:ascii="Calibri" w:hAnsi="Calibri"/>
                <w:b w:val="0"/>
                <w:sz w:val="16"/>
              </w:rPr>
              <w:t>Total receipts value</w:t>
            </w:r>
          </w:p>
        </w:tc>
        <w:tc>
          <w:tcPr>
            <w:tcW w:type="dxa" w:w="2041"/>
            <w:shd w:val="clear" w:fill="F7F9FB"/>
          </w:tcPr>
          <w:p>
            <w:pPr>
              <w:spacing w:after="20" w:before="20" w:line="240" w:lineRule="auto"/>
            </w:pPr>
            <w:r/>
            <w:r>
              <w:rPr>
                <w:rFonts w:ascii="Calibri" w:hAnsi="Calibri"/>
                <w:b w:val="0"/>
                <w:sz w:val="16"/>
              </w:rPr>
              <w:t>Oracle receipt register</w:t>
            </w:r>
          </w:p>
        </w:tc>
        <w:tc>
          <w:tcPr>
            <w:tcW w:type="dxa" w:w="3175"/>
            <w:shd w:val="clear" w:fill="F7F9FB"/>
          </w:tcPr>
          <w:p>
            <w:pPr>
              <w:spacing w:after="20" w:before="20" w:line="240" w:lineRule="auto"/>
            </w:pPr>
            <w:r/>
            <w:r>
              <w:rPr>
                <w:rFonts w:ascii="Calibri" w:hAnsi="Calibri"/>
                <w:b w:val="0"/>
                <w:sz w:val="16"/>
              </w:rPr>
              <w:t>Sum of GRN values</w:t>
            </w:r>
          </w:p>
        </w:tc>
        <w:tc>
          <w:tcPr>
            <w:tcW w:type="dxa" w:w="2494"/>
            <w:shd w:val="clear" w:fill="F7F9FB"/>
          </w:tcPr>
          <w:p>
            <w:pPr>
              <w:spacing w:after="20" w:before="20" w:line="240" w:lineRule="auto"/>
            </w:pPr>
            <w:r/>
            <w:r>
              <w:rPr>
                <w:rFonts w:ascii="Calibri" w:hAnsi="Calibri"/>
                <w:b w:val="0"/>
                <w:sz w:val="16"/>
              </w:rPr>
              <w:t>Block refresh; investigate missing or duplicate lines</w:t>
            </w:r>
          </w:p>
        </w:tc>
      </w:tr>
      <w:tr>
        <w:tc>
          <w:tcPr>
            <w:tcW w:type="dxa" w:w="2041"/>
          </w:tcPr>
          <w:p>
            <w:pPr>
              <w:spacing w:after="20" w:before="20" w:line="240" w:lineRule="auto"/>
            </w:pPr>
            <w:r/>
            <w:r>
              <w:rPr>
                <w:rFonts w:ascii="Calibri" w:hAnsi="Calibri"/>
                <w:b w:val="0"/>
                <w:sz w:val="16"/>
              </w:rPr>
              <w:t>Stock balance</w:t>
            </w:r>
          </w:p>
        </w:tc>
        <w:tc>
          <w:tcPr>
            <w:tcW w:type="dxa" w:w="2041"/>
          </w:tcPr>
          <w:p>
            <w:pPr>
              <w:spacing w:after="20" w:before="20" w:line="240" w:lineRule="auto"/>
            </w:pPr>
            <w:r/>
            <w:r>
              <w:rPr>
                <w:rFonts w:ascii="Calibri" w:hAnsi="Calibri"/>
                <w:b w:val="0"/>
                <w:sz w:val="16"/>
              </w:rPr>
              <w:t>Oracle inventory balance</w:t>
            </w:r>
          </w:p>
        </w:tc>
        <w:tc>
          <w:tcPr>
            <w:tcW w:type="dxa" w:w="3175"/>
          </w:tcPr>
          <w:p>
            <w:pPr>
              <w:spacing w:after="20" w:before="20" w:line="240" w:lineRule="auto"/>
            </w:pPr>
            <w:r/>
            <w:r>
              <w:rPr>
                <w:rFonts w:ascii="Calibri" w:hAnsi="Calibri"/>
                <w:b w:val="0"/>
                <w:sz w:val="16"/>
              </w:rPr>
              <w:t>Opening + receipts − issues ± adjustments</w:t>
            </w:r>
          </w:p>
        </w:tc>
        <w:tc>
          <w:tcPr>
            <w:tcW w:type="dxa" w:w="2494"/>
          </w:tcPr>
          <w:p>
            <w:pPr>
              <w:spacing w:after="20" w:before="20" w:line="240" w:lineRule="auto"/>
            </w:pPr>
            <w:r/>
            <w:r>
              <w:rPr>
                <w:rFonts w:ascii="Calibri" w:hAnsi="Calibri"/>
                <w:b w:val="0"/>
                <w:sz w:val="16"/>
              </w:rPr>
              <w:t>Report variance; do not overwrite existing snapshot</w:t>
            </w:r>
          </w:p>
        </w:tc>
      </w:tr>
      <w:tr>
        <w:tc>
          <w:tcPr>
            <w:tcW w:type="dxa" w:w="2041"/>
            <w:shd w:val="clear" w:fill="F7F9FB"/>
          </w:tcPr>
          <w:p>
            <w:pPr>
              <w:spacing w:after="20" w:before="20" w:line="240" w:lineRule="auto"/>
            </w:pPr>
            <w:r/>
            <w:r>
              <w:rPr>
                <w:rFonts w:ascii="Calibri" w:hAnsi="Calibri"/>
                <w:b w:val="0"/>
                <w:sz w:val="16"/>
              </w:rPr>
              <w:t>Item count</w:t>
            </w:r>
          </w:p>
        </w:tc>
        <w:tc>
          <w:tcPr>
            <w:tcW w:type="dxa" w:w="2041"/>
            <w:shd w:val="clear" w:fill="F7F9FB"/>
          </w:tcPr>
          <w:p>
            <w:pPr>
              <w:spacing w:after="20" w:before="20" w:line="240" w:lineRule="auto"/>
            </w:pPr>
            <w:r/>
            <w:r>
              <w:rPr>
                <w:rFonts w:ascii="Calibri" w:hAnsi="Calibri"/>
                <w:b w:val="0"/>
                <w:sz w:val="16"/>
              </w:rPr>
              <w:t>Item master</w:t>
            </w:r>
          </w:p>
        </w:tc>
        <w:tc>
          <w:tcPr>
            <w:tcW w:type="dxa" w:w="3175"/>
            <w:shd w:val="clear" w:fill="F7F9FB"/>
          </w:tcPr>
          <w:p>
            <w:pPr>
              <w:spacing w:after="20" w:before="20" w:line="240" w:lineRule="auto"/>
            </w:pPr>
            <w:r/>
            <w:r>
              <w:rPr>
                <w:rFonts w:ascii="Calibri" w:hAnsi="Calibri"/>
                <w:b w:val="0"/>
                <w:sz w:val="16"/>
              </w:rPr>
              <w:t>Distinct items in transactions versus master</w:t>
            </w:r>
          </w:p>
        </w:tc>
        <w:tc>
          <w:tcPr>
            <w:tcW w:type="dxa" w:w="2494"/>
            <w:shd w:val="clear" w:fill="F7F9FB"/>
          </w:tcPr>
          <w:p>
            <w:pPr>
              <w:spacing w:after="20" w:before="20" w:line="240" w:lineRule="auto"/>
            </w:pPr>
            <w:r/>
            <w:r>
              <w:rPr>
                <w:rFonts w:ascii="Calibri" w:hAnsi="Calibri"/>
                <w:b w:val="0"/>
                <w:sz w:val="16"/>
              </w:rPr>
              <w:t>Report unmatched items; continue with exception entry</w:t>
            </w:r>
          </w:p>
        </w:tc>
      </w:tr>
      <w:tr>
        <w:tc>
          <w:tcPr>
            <w:tcW w:type="dxa" w:w="2041"/>
          </w:tcPr>
          <w:p>
            <w:pPr>
              <w:spacing w:after="20" w:before="20" w:line="240" w:lineRule="auto"/>
            </w:pPr>
            <w:r/>
            <w:r>
              <w:rPr>
                <w:rFonts w:ascii="Calibri" w:hAnsi="Calibri"/>
                <w:b w:val="0"/>
                <w:sz w:val="16"/>
              </w:rPr>
              <w:t>Project count</w:t>
            </w:r>
          </w:p>
        </w:tc>
        <w:tc>
          <w:tcPr>
            <w:tcW w:type="dxa" w:w="2041"/>
          </w:tcPr>
          <w:p>
            <w:pPr>
              <w:spacing w:after="20" w:before="20" w:line="240" w:lineRule="auto"/>
            </w:pPr>
            <w:r/>
            <w:r>
              <w:rPr>
                <w:rFonts w:ascii="Calibri" w:hAnsi="Calibri"/>
                <w:b w:val="0"/>
                <w:sz w:val="16"/>
              </w:rPr>
              <w:t>Project master</w:t>
            </w:r>
          </w:p>
        </w:tc>
        <w:tc>
          <w:tcPr>
            <w:tcW w:type="dxa" w:w="3175"/>
          </w:tcPr>
          <w:p>
            <w:pPr>
              <w:spacing w:after="20" w:before="20" w:line="240" w:lineRule="auto"/>
            </w:pPr>
            <w:r/>
            <w:r>
              <w:rPr>
                <w:rFonts w:ascii="Calibri" w:hAnsi="Calibri"/>
                <w:b w:val="0"/>
                <w:sz w:val="16"/>
              </w:rPr>
              <w:t>Distinct projects in transactions versus master</w:t>
            </w:r>
          </w:p>
        </w:tc>
        <w:tc>
          <w:tcPr>
            <w:tcW w:type="dxa" w:w="2494"/>
          </w:tcPr>
          <w:p>
            <w:pPr>
              <w:spacing w:after="20" w:before="20" w:line="240" w:lineRule="auto"/>
            </w:pPr>
            <w:r/>
            <w:r>
              <w:rPr>
                <w:rFonts w:ascii="Calibri" w:hAnsi="Calibri"/>
                <w:b w:val="0"/>
                <w:sz w:val="16"/>
              </w:rPr>
              <w:t>Report unmatched projects; continue with exception entry</w:t>
            </w:r>
          </w:p>
        </w:tc>
      </w:tr>
    </w:tbl>
    <w:p>
      <w:pPr>
        <w:spacing w:after="20"/>
      </w:pPr>
    </w:p>
    <w:p>
      <w:r>
        <w:br w:type="page"/>
      </w:r>
    </w:p>
    <w:p>
      <w:pPr>
        <w:pStyle w:val="Heading1"/>
      </w:pPr>
      <w:r>
        <w:t>16. Non-Functional Requirements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trPr>
        <w:tc>
          <w:tcPr>
            <w:tcW w:type="dxa" w:w="850"/>
            <w:shd w:val="clear" w:fill="1F3B57"/>
          </w:tcPr>
          <w:p>
            <w:pPr>
              <w:spacing w:after="20" w:before="20" w:line="240" w:lineRule="auto"/>
            </w:pPr>
            <w:r/>
            <w:r>
              <w:rPr>
                <w:rFonts w:ascii="Calibri" w:hAnsi="Calibri"/>
                <w:b/>
                <w:color w:val="FFFFFF"/>
                <w:sz w:val="16"/>
              </w:rPr>
              <w:t>Ref</w:t>
            </w:r>
          </w:p>
        </w:tc>
        <w:tc>
          <w:tcPr>
            <w:tcW w:type="dxa" w:w="1701"/>
            <w:shd w:val="clear" w:fill="1F3B57"/>
          </w:tcPr>
          <w:p>
            <w:pPr>
              <w:spacing w:after="20" w:before="20" w:line="240" w:lineRule="auto"/>
            </w:pPr>
            <w:r/>
            <w:r>
              <w:rPr>
                <w:rFonts w:ascii="Calibri" w:hAnsi="Calibri"/>
                <w:b/>
                <w:color w:val="FFFFFF"/>
                <w:sz w:val="16"/>
              </w:rPr>
              <w:t>Area</w:t>
            </w:r>
          </w:p>
        </w:tc>
        <w:tc>
          <w:tcPr>
            <w:tcW w:type="dxa" w:w="5102"/>
            <w:shd w:val="clear" w:fill="1F3B57"/>
          </w:tcPr>
          <w:p>
            <w:pPr>
              <w:spacing w:after="20" w:before="20" w:line="240" w:lineRule="auto"/>
            </w:pPr>
            <w:r/>
            <w:r>
              <w:rPr>
                <w:rFonts w:ascii="Calibri" w:hAnsi="Calibri"/>
                <w:b/>
                <w:color w:val="FFFFFF"/>
                <w:sz w:val="16"/>
              </w:rPr>
              <w:t>Requirement</w:t>
            </w:r>
          </w:p>
        </w:tc>
        <w:tc>
          <w:tcPr>
            <w:tcW w:type="dxa" w:w="2098"/>
            <w:shd w:val="clear" w:fill="1F3B57"/>
          </w:tcPr>
          <w:p>
            <w:pPr>
              <w:spacing w:after="20" w:before="20" w:line="240" w:lineRule="auto"/>
            </w:pPr>
            <w:r/>
            <w:r>
              <w:rPr>
                <w:rFonts w:ascii="Calibri" w:hAnsi="Calibri"/>
                <w:b/>
                <w:color w:val="FFFFFF"/>
                <w:sz w:val="16"/>
              </w:rPr>
              <w:t>Verification</w:t>
            </w:r>
          </w:p>
        </w:tc>
      </w:tr>
      <w:tr>
        <w:tc>
          <w:tcPr>
            <w:tcW w:type="dxa" w:w="850"/>
          </w:tcPr>
          <w:p>
            <w:pPr>
              <w:spacing w:after="20" w:before="20" w:line="240" w:lineRule="auto"/>
              <w:jc w:val="center"/>
            </w:pPr>
            <w:r/>
            <w:r>
              <w:rPr>
                <w:rFonts w:ascii="Calibri" w:hAnsi="Calibri"/>
                <w:b w:val="0"/>
                <w:sz w:val="16"/>
              </w:rPr>
              <w:t>NFR-01</w:t>
            </w:r>
          </w:p>
        </w:tc>
        <w:tc>
          <w:tcPr>
            <w:tcW w:type="dxa" w:w="1701"/>
          </w:tcPr>
          <w:p>
            <w:pPr>
              <w:spacing w:after="20" w:before="20" w:line="240" w:lineRule="auto"/>
            </w:pPr>
            <w:r/>
            <w:r>
              <w:rPr>
                <w:rFonts w:ascii="Calibri" w:hAnsi="Calibri"/>
                <w:b w:val="0"/>
                <w:sz w:val="16"/>
              </w:rPr>
              <w:t>Performance</w:t>
            </w:r>
          </w:p>
        </w:tc>
        <w:tc>
          <w:tcPr>
            <w:tcW w:type="dxa" w:w="5102"/>
          </w:tcPr>
          <w:p>
            <w:pPr>
              <w:spacing w:after="20" w:before="20" w:line="240" w:lineRule="auto"/>
            </w:pPr>
            <w:r/>
            <w:r>
              <w:rPr>
                <w:rFonts w:ascii="Calibri" w:hAnsi="Calibri"/>
                <w:b w:val="0"/>
                <w:sz w:val="16"/>
              </w:rPr>
              <w:t>Any dashboard page renders in under 5 seconds for 90% of requests at 40 concurrent users; drill-through under 8 seconds.</w:t>
            </w:r>
          </w:p>
        </w:tc>
        <w:tc>
          <w:tcPr>
            <w:tcW w:type="dxa" w:w="2098"/>
          </w:tcPr>
          <w:p>
            <w:pPr>
              <w:spacing w:after="20" w:before="20" w:line="240" w:lineRule="auto"/>
            </w:pPr>
            <w:r/>
            <w:r>
              <w:rPr>
                <w:rFonts w:ascii="Calibri" w:hAnsi="Calibri"/>
                <w:b w:val="0"/>
                <w:sz w:val="16"/>
              </w:rPr>
              <w:t>Load testing at go-live</w:t>
            </w:r>
          </w:p>
        </w:tc>
      </w:tr>
      <w:tr>
        <w:tc>
          <w:tcPr>
            <w:tcW w:type="dxa" w:w="850"/>
            <w:shd w:val="clear" w:fill="F7F9FB"/>
          </w:tcPr>
          <w:p>
            <w:pPr>
              <w:spacing w:after="20" w:before="20" w:line="240" w:lineRule="auto"/>
              <w:jc w:val="center"/>
            </w:pPr>
            <w:r/>
            <w:r>
              <w:rPr>
                <w:rFonts w:ascii="Calibri" w:hAnsi="Calibri"/>
                <w:b w:val="0"/>
                <w:sz w:val="16"/>
              </w:rPr>
              <w:t>NFR-02</w:t>
            </w:r>
          </w:p>
        </w:tc>
        <w:tc>
          <w:tcPr>
            <w:tcW w:type="dxa" w:w="1701"/>
            <w:shd w:val="clear" w:fill="F7F9FB"/>
          </w:tcPr>
          <w:p>
            <w:pPr>
              <w:spacing w:after="20" w:before="20" w:line="240" w:lineRule="auto"/>
            </w:pPr>
            <w:r/>
            <w:r>
              <w:rPr>
                <w:rFonts w:ascii="Calibri" w:hAnsi="Calibri"/>
                <w:b w:val="0"/>
                <w:sz w:val="16"/>
              </w:rPr>
              <w:t>Refresh</w:t>
            </w:r>
          </w:p>
        </w:tc>
        <w:tc>
          <w:tcPr>
            <w:tcW w:type="dxa" w:w="5102"/>
            <w:shd w:val="clear" w:fill="F7F9FB"/>
          </w:tcPr>
          <w:p>
            <w:pPr>
              <w:spacing w:after="20" w:before="20" w:line="240" w:lineRule="auto"/>
            </w:pPr>
            <w:r/>
            <w:r>
              <w:rPr>
                <w:rFonts w:ascii="Calibri" w:hAnsi="Calibri"/>
                <w:b w:val="0"/>
                <w:sz w:val="16"/>
              </w:rPr>
              <w:t>Daily automated refresh completed before 07:00 PKT; monthly close snapshot stored and immutable.</w:t>
            </w:r>
          </w:p>
        </w:tc>
        <w:tc>
          <w:tcPr>
            <w:tcW w:type="dxa" w:w="2098"/>
            <w:shd w:val="clear" w:fill="F7F9FB"/>
          </w:tcPr>
          <w:p>
            <w:pPr>
              <w:spacing w:after="20" w:before="20" w:line="240" w:lineRule="auto"/>
            </w:pPr>
            <w:r/>
            <w:r>
              <w:rPr>
                <w:rFonts w:ascii="Calibri" w:hAnsi="Calibri"/>
                <w:b w:val="0"/>
                <w:sz w:val="16"/>
              </w:rPr>
              <w:t>Refresh log evidence for 30 consecutive days</w:t>
            </w:r>
          </w:p>
        </w:tc>
      </w:tr>
      <w:tr>
        <w:tc>
          <w:tcPr>
            <w:tcW w:type="dxa" w:w="850"/>
          </w:tcPr>
          <w:p>
            <w:pPr>
              <w:spacing w:after="20" w:before="20" w:line="240" w:lineRule="auto"/>
              <w:jc w:val="center"/>
            </w:pPr>
            <w:r/>
            <w:r>
              <w:rPr>
                <w:rFonts w:ascii="Calibri" w:hAnsi="Calibri"/>
                <w:b w:val="0"/>
                <w:sz w:val="16"/>
              </w:rPr>
              <w:t>NFR-03</w:t>
            </w:r>
          </w:p>
        </w:tc>
        <w:tc>
          <w:tcPr>
            <w:tcW w:type="dxa" w:w="1701"/>
          </w:tcPr>
          <w:p>
            <w:pPr>
              <w:spacing w:after="20" w:before="20" w:line="240" w:lineRule="auto"/>
            </w:pPr>
            <w:r/>
            <w:r>
              <w:rPr>
                <w:rFonts w:ascii="Calibri" w:hAnsi="Calibri"/>
                <w:b w:val="0"/>
                <w:sz w:val="16"/>
              </w:rPr>
              <w:t>Availability</w:t>
            </w:r>
          </w:p>
        </w:tc>
        <w:tc>
          <w:tcPr>
            <w:tcW w:type="dxa" w:w="5102"/>
          </w:tcPr>
          <w:p>
            <w:pPr>
              <w:spacing w:after="20" w:before="20" w:line="240" w:lineRule="auto"/>
            </w:pPr>
            <w:r/>
            <w:r>
              <w:rPr>
                <w:rFonts w:ascii="Calibri" w:hAnsi="Calibri"/>
                <w:b w:val="0"/>
                <w:sz w:val="16"/>
              </w:rPr>
              <w:t>Available 99% of working hours (07:00–19:00 PKT, Monday–Saturday), excluding approved maintenance.</w:t>
            </w:r>
          </w:p>
        </w:tc>
        <w:tc>
          <w:tcPr>
            <w:tcW w:type="dxa" w:w="2098"/>
          </w:tcPr>
          <w:p>
            <w:pPr>
              <w:spacing w:after="20" w:before="20" w:line="240" w:lineRule="auto"/>
            </w:pPr>
            <w:r/>
            <w:r>
              <w:rPr>
                <w:rFonts w:ascii="Calibri" w:hAnsi="Calibri"/>
                <w:b w:val="0"/>
                <w:sz w:val="16"/>
              </w:rPr>
              <w:t>Availability report</w:t>
            </w:r>
          </w:p>
        </w:tc>
      </w:tr>
      <w:tr>
        <w:tc>
          <w:tcPr>
            <w:tcW w:type="dxa" w:w="850"/>
            <w:shd w:val="clear" w:fill="F7F9FB"/>
          </w:tcPr>
          <w:p>
            <w:pPr>
              <w:spacing w:after="20" w:before="20" w:line="240" w:lineRule="auto"/>
              <w:jc w:val="center"/>
            </w:pPr>
            <w:r/>
            <w:r>
              <w:rPr>
                <w:rFonts w:ascii="Calibri" w:hAnsi="Calibri"/>
                <w:b w:val="0"/>
                <w:sz w:val="16"/>
              </w:rPr>
              <w:t>NFR-04</w:t>
            </w:r>
          </w:p>
        </w:tc>
        <w:tc>
          <w:tcPr>
            <w:tcW w:type="dxa" w:w="1701"/>
            <w:shd w:val="clear" w:fill="F7F9FB"/>
          </w:tcPr>
          <w:p>
            <w:pPr>
              <w:spacing w:after="20" w:before="20" w:line="240" w:lineRule="auto"/>
            </w:pPr>
            <w:r/>
            <w:r>
              <w:rPr>
                <w:rFonts w:ascii="Calibri" w:hAnsi="Calibri"/>
                <w:b w:val="0"/>
                <w:sz w:val="16"/>
              </w:rPr>
              <w:t>Security – authentication</w:t>
            </w:r>
          </w:p>
        </w:tc>
        <w:tc>
          <w:tcPr>
            <w:tcW w:type="dxa" w:w="5102"/>
            <w:shd w:val="clear" w:fill="F7F9FB"/>
          </w:tcPr>
          <w:p>
            <w:pPr>
              <w:spacing w:after="20" w:before="20" w:line="240" w:lineRule="auto"/>
            </w:pPr>
            <w:r/>
            <w:r>
              <w:rPr>
                <w:rFonts w:ascii="Calibri" w:hAnsi="Calibri"/>
                <w:b w:val="0"/>
                <w:sz w:val="16"/>
              </w:rPr>
              <w:t>Single sign-on using VPT directory accounts; multi-factor for remote access where policy requires.</w:t>
            </w:r>
          </w:p>
        </w:tc>
        <w:tc>
          <w:tcPr>
            <w:tcW w:type="dxa" w:w="2098"/>
            <w:shd w:val="clear" w:fill="F7F9FB"/>
          </w:tcPr>
          <w:p>
            <w:pPr>
              <w:spacing w:after="20" w:before="20" w:line="240" w:lineRule="auto"/>
            </w:pPr>
            <w:r/>
            <w:r>
              <w:rPr>
                <w:rFonts w:ascii="Calibri" w:hAnsi="Calibri"/>
                <w:b w:val="0"/>
                <w:sz w:val="16"/>
              </w:rPr>
              <w:t>Security review sign-off</w:t>
            </w:r>
          </w:p>
        </w:tc>
      </w:tr>
      <w:tr>
        <w:tc>
          <w:tcPr>
            <w:tcW w:type="dxa" w:w="850"/>
          </w:tcPr>
          <w:p>
            <w:pPr>
              <w:spacing w:after="20" w:before="20" w:line="240" w:lineRule="auto"/>
              <w:jc w:val="center"/>
            </w:pPr>
            <w:r/>
            <w:r>
              <w:rPr>
                <w:rFonts w:ascii="Calibri" w:hAnsi="Calibri"/>
                <w:b w:val="0"/>
                <w:sz w:val="16"/>
              </w:rPr>
              <w:t>NFR-05</w:t>
            </w:r>
          </w:p>
        </w:tc>
        <w:tc>
          <w:tcPr>
            <w:tcW w:type="dxa" w:w="1701"/>
          </w:tcPr>
          <w:p>
            <w:pPr>
              <w:spacing w:after="20" w:before="20" w:line="240" w:lineRule="auto"/>
            </w:pPr>
            <w:r/>
            <w:r>
              <w:rPr>
                <w:rFonts w:ascii="Calibri" w:hAnsi="Calibri"/>
                <w:b w:val="0"/>
                <w:sz w:val="16"/>
              </w:rPr>
              <w:t>Security – authorisation</w:t>
            </w:r>
          </w:p>
        </w:tc>
        <w:tc>
          <w:tcPr>
            <w:tcW w:type="dxa" w:w="5102"/>
          </w:tcPr>
          <w:p>
            <w:pPr>
              <w:spacing w:after="20" w:before="20" w:line="240" w:lineRule="auto"/>
            </w:pPr>
            <w:r/>
            <w:r>
              <w:rPr>
                <w:rFonts w:ascii="Calibri" w:hAnsi="Calibri"/>
                <w:b w:val="0"/>
                <w:sz w:val="16"/>
              </w:rPr>
              <w:t>Row-level security by project, donor and warehouse aligned to role; verified for every visual and export.</w:t>
            </w:r>
          </w:p>
        </w:tc>
        <w:tc>
          <w:tcPr>
            <w:tcW w:type="dxa" w:w="2098"/>
          </w:tcPr>
          <w:p>
            <w:pPr>
              <w:spacing w:after="20" w:before="20" w:line="240" w:lineRule="auto"/>
            </w:pPr>
            <w:r/>
            <w:r>
              <w:rPr>
                <w:rFonts w:ascii="Calibri" w:hAnsi="Calibri"/>
                <w:b w:val="0"/>
                <w:sz w:val="16"/>
              </w:rPr>
              <w:t>Negative testing in UAT</w:t>
            </w:r>
          </w:p>
        </w:tc>
      </w:tr>
      <w:tr>
        <w:tc>
          <w:tcPr>
            <w:tcW w:type="dxa" w:w="850"/>
            <w:shd w:val="clear" w:fill="F7F9FB"/>
          </w:tcPr>
          <w:p>
            <w:pPr>
              <w:spacing w:after="20" w:before="20" w:line="240" w:lineRule="auto"/>
              <w:jc w:val="center"/>
            </w:pPr>
            <w:r/>
            <w:r>
              <w:rPr>
                <w:rFonts w:ascii="Calibri" w:hAnsi="Calibri"/>
                <w:b w:val="0"/>
                <w:sz w:val="16"/>
              </w:rPr>
              <w:t>NFR-06</w:t>
            </w:r>
          </w:p>
        </w:tc>
        <w:tc>
          <w:tcPr>
            <w:tcW w:type="dxa" w:w="1701"/>
            <w:shd w:val="clear" w:fill="F7F9FB"/>
          </w:tcPr>
          <w:p>
            <w:pPr>
              <w:spacing w:after="20" w:before="20" w:line="240" w:lineRule="auto"/>
            </w:pPr>
            <w:r/>
            <w:r>
              <w:rPr>
                <w:rFonts w:ascii="Calibri" w:hAnsi="Calibri"/>
                <w:b w:val="0"/>
                <w:sz w:val="16"/>
              </w:rPr>
              <w:t>Data protection</w:t>
            </w:r>
          </w:p>
        </w:tc>
        <w:tc>
          <w:tcPr>
            <w:tcW w:type="dxa" w:w="5102"/>
            <w:shd w:val="clear" w:fill="F7F9FB"/>
          </w:tcPr>
          <w:p>
            <w:pPr>
              <w:spacing w:after="20" w:before="20" w:line="240" w:lineRule="auto"/>
            </w:pPr>
            <w:r/>
            <w:r>
              <w:rPr>
                <w:rFonts w:ascii="Calibri" w:hAnsi="Calibri"/>
                <w:b w:val="0"/>
                <w:sz w:val="16"/>
              </w:rPr>
              <w:t>No patient-level or personal data in the model; aggregation only. Data at rest encrypted; transport over TLS.</w:t>
            </w:r>
          </w:p>
        </w:tc>
        <w:tc>
          <w:tcPr>
            <w:tcW w:type="dxa" w:w="2098"/>
            <w:shd w:val="clear" w:fill="F7F9FB"/>
          </w:tcPr>
          <w:p>
            <w:pPr>
              <w:spacing w:after="20" w:before="20" w:line="240" w:lineRule="auto"/>
            </w:pPr>
            <w:r/>
            <w:r>
              <w:rPr>
                <w:rFonts w:ascii="Calibri" w:hAnsi="Calibri"/>
                <w:b w:val="0"/>
                <w:sz w:val="16"/>
              </w:rPr>
              <w:t>Security review sign-off</w:t>
            </w:r>
          </w:p>
        </w:tc>
      </w:tr>
      <w:tr>
        <w:tc>
          <w:tcPr>
            <w:tcW w:type="dxa" w:w="850"/>
          </w:tcPr>
          <w:p>
            <w:pPr>
              <w:spacing w:after="20" w:before="20" w:line="240" w:lineRule="auto"/>
              <w:jc w:val="center"/>
            </w:pPr>
            <w:r/>
            <w:r>
              <w:rPr>
                <w:rFonts w:ascii="Calibri" w:hAnsi="Calibri"/>
                <w:b w:val="0"/>
                <w:sz w:val="16"/>
              </w:rPr>
              <w:t>NFR-07</w:t>
            </w:r>
          </w:p>
        </w:tc>
        <w:tc>
          <w:tcPr>
            <w:tcW w:type="dxa" w:w="1701"/>
          </w:tcPr>
          <w:p>
            <w:pPr>
              <w:spacing w:after="20" w:before="20" w:line="240" w:lineRule="auto"/>
            </w:pPr>
            <w:r/>
            <w:r>
              <w:rPr>
                <w:rFonts w:ascii="Calibri" w:hAnsi="Calibri"/>
                <w:b w:val="0"/>
                <w:sz w:val="16"/>
              </w:rPr>
              <w:t>Auditability</w:t>
            </w:r>
          </w:p>
        </w:tc>
        <w:tc>
          <w:tcPr>
            <w:tcW w:type="dxa" w:w="5102"/>
          </w:tcPr>
          <w:p>
            <w:pPr>
              <w:spacing w:after="20" w:before="20" w:line="240" w:lineRule="auto"/>
            </w:pPr>
            <w:r/>
            <w:r>
              <w:rPr>
                <w:rFonts w:ascii="Calibri" w:hAnsi="Calibri"/>
                <w:b w:val="0"/>
                <w:sz w:val="16"/>
              </w:rPr>
              <w:t>Access, export and configuration changes logged and retained for 12 months.</w:t>
            </w:r>
          </w:p>
        </w:tc>
        <w:tc>
          <w:tcPr>
            <w:tcW w:type="dxa" w:w="2098"/>
          </w:tcPr>
          <w:p>
            <w:pPr>
              <w:spacing w:after="20" w:before="20" w:line="240" w:lineRule="auto"/>
            </w:pPr>
            <w:r/>
            <w:r>
              <w:rPr>
                <w:rFonts w:ascii="Calibri" w:hAnsi="Calibri"/>
                <w:b w:val="0"/>
                <w:sz w:val="16"/>
              </w:rPr>
              <w:t>Log extract demonstrated</w:t>
            </w:r>
          </w:p>
        </w:tc>
      </w:tr>
      <w:tr>
        <w:tc>
          <w:tcPr>
            <w:tcW w:type="dxa" w:w="850"/>
            <w:shd w:val="clear" w:fill="F7F9FB"/>
          </w:tcPr>
          <w:p>
            <w:pPr>
              <w:spacing w:after="20" w:before="20" w:line="240" w:lineRule="auto"/>
              <w:jc w:val="center"/>
            </w:pPr>
            <w:r/>
            <w:r>
              <w:rPr>
                <w:rFonts w:ascii="Calibri" w:hAnsi="Calibri"/>
                <w:b w:val="0"/>
                <w:sz w:val="16"/>
              </w:rPr>
              <w:t>NFR-08</w:t>
            </w:r>
          </w:p>
        </w:tc>
        <w:tc>
          <w:tcPr>
            <w:tcW w:type="dxa" w:w="1701"/>
            <w:shd w:val="clear" w:fill="F7F9FB"/>
          </w:tcPr>
          <w:p>
            <w:pPr>
              <w:spacing w:after="20" w:before="20" w:line="240" w:lineRule="auto"/>
            </w:pPr>
            <w:r/>
            <w:r>
              <w:rPr>
                <w:rFonts w:ascii="Calibri" w:hAnsi="Calibri"/>
                <w:b w:val="0"/>
                <w:sz w:val="16"/>
              </w:rPr>
              <w:t>Usability</w:t>
            </w:r>
          </w:p>
        </w:tc>
        <w:tc>
          <w:tcPr>
            <w:tcW w:type="dxa" w:w="5102"/>
            <w:shd w:val="clear" w:fill="F7F9FB"/>
          </w:tcPr>
          <w:p>
            <w:pPr>
              <w:spacing w:after="20" w:before="20" w:line="240" w:lineRule="auto"/>
            </w:pPr>
            <w:r/>
            <w:r>
              <w:rPr>
                <w:rFonts w:ascii="Calibri" w:hAnsi="Calibri"/>
                <w:b w:val="0"/>
                <w:sz w:val="16"/>
              </w:rPr>
              <w:t>A new project manager can locate their project's consumption-versus-investment figure without training beyond a one-page guide.</w:t>
            </w:r>
          </w:p>
        </w:tc>
        <w:tc>
          <w:tcPr>
            <w:tcW w:type="dxa" w:w="2098"/>
            <w:shd w:val="clear" w:fill="F7F9FB"/>
          </w:tcPr>
          <w:p>
            <w:pPr>
              <w:spacing w:after="20" w:before="20" w:line="240" w:lineRule="auto"/>
            </w:pPr>
            <w:r/>
            <w:r>
              <w:rPr>
                <w:rFonts w:ascii="Calibri" w:hAnsi="Calibri"/>
                <w:b w:val="0"/>
                <w:sz w:val="16"/>
              </w:rPr>
              <w:t>Usability test with five users</w:t>
            </w:r>
          </w:p>
        </w:tc>
      </w:tr>
      <w:tr>
        <w:tc>
          <w:tcPr>
            <w:tcW w:type="dxa" w:w="850"/>
          </w:tcPr>
          <w:p>
            <w:pPr>
              <w:spacing w:after="20" w:before="20" w:line="240" w:lineRule="auto"/>
              <w:jc w:val="center"/>
            </w:pPr>
            <w:r/>
            <w:r>
              <w:rPr>
                <w:rFonts w:ascii="Calibri" w:hAnsi="Calibri"/>
                <w:b w:val="0"/>
                <w:sz w:val="16"/>
              </w:rPr>
              <w:t>NFR-09</w:t>
            </w:r>
          </w:p>
        </w:tc>
        <w:tc>
          <w:tcPr>
            <w:tcW w:type="dxa" w:w="1701"/>
          </w:tcPr>
          <w:p>
            <w:pPr>
              <w:spacing w:after="20" w:before="20" w:line="240" w:lineRule="auto"/>
            </w:pPr>
            <w:r/>
            <w:r>
              <w:rPr>
                <w:rFonts w:ascii="Calibri" w:hAnsi="Calibri"/>
                <w:b w:val="0"/>
                <w:sz w:val="16"/>
              </w:rPr>
              <w:t>Accessibility</w:t>
            </w:r>
          </w:p>
        </w:tc>
        <w:tc>
          <w:tcPr>
            <w:tcW w:type="dxa" w:w="5102"/>
          </w:tcPr>
          <w:p>
            <w:pPr>
              <w:spacing w:after="20" w:before="20" w:line="240" w:lineRule="auto"/>
            </w:pPr>
            <w:r/>
            <w:r>
              <w:rPr>
                <w:rFonts w:ascii="Calibri" w:hAnsi="Calibri"/>
                <w:b w:val="0"/>
                <w:sz w:val="16"/>
              </w:rPr>
              <w:t>Colour contrast meets WCAG 2.1 AA; meaning is never conveyed by colour alone.</w:t>
            </w:r>
          </w:p>
        </w:tc>
        <w:tc>
          <w:tcPr>
            <w:tcW w:type="dxa" w:w="2098"/>
          </w:tcPr>
          <w:p>
            <w:pPr>
              <w:spacing w:after="20" w:before="20" w:line="240" w:lineRule="auto"/>
            </w:pPr>
            <w:r/>
            <w:r>
              <w:rPr>
                <w:rFonts w:ascii="Calibri" w:hAnsi="Calibri"/>
                <w:b w:val="0"/>
                <w:sz w:val="16"/>
              </w:rPr>
              <w:t>Accessibility checklist</w:t>
            </w:r>
          </w:p>
        </w:tc>
      </w:tr>
      <w:tr>
        <w:tc>
          <w:tcPr>
            <w:tcW w:type="dxa" w:w="850"/>
            <w:shd w:val="clear" w:fill="F7F9FB"/>
          </w:tcPr>
          <w:p>
            <w:pPr>
              <w:spacing w:after="20" w:before="20" w:line="240" w:lineRule="auto"/>
              <w:jc w:val="center"/>
            </w:pPr>
            <w:r/>
            <w:r>
              <w:rPr>
                <w:rFonts w:ascii="Calibri" w:hAnsi="Calibri"/>
                <w:b w:val="0"/>
                <w:sz w:val="16"/>
              </w:rPr>
              <w:t>NFR-10</w:t>
            </w:r>
          </w:p>
        </w:tc>
        <w:tc>
          <w:tcPr>
            <w:tcW w:type="dxa" w:w="1701"/>
            <w:shd w:val="clear" w:fill="F7F9FB"/>
          </w:tcPr>
          <w:p>
            <w:pPr>
              <w:spacing w:after="20" w:before="20" w:line="240" w:lineRule="auto"/>
            </w:pPr>
            <w:r/>
            <w:r>
              <w:rPr>
                <w:rFonts w:ascii="Calibri" w:hAnsi="Calibri"/>
                <w:b w:val="0"/>
                <w:sz w:val="16"/>
              </w:rPr>
              <w:t>Compatibility</w:t>
            </w:r>
          </w:p>
        </w:tc>
        <w:tc>
          <w:tcPr>
            <w:tcW w:type="dxa" w:w="5102"/>
            <w:shd w:val="clear" w:fill="F7F9FB"/>
          </w:tcPr>
          <w:p>
            <w:pPr>
              <w:spacing w:after="20" w:before="20" w:line="240" w:lineRule="auto"/>
            </w:pPr>
            <w:r/>
            <w:r>
              <w:rPr>
                <w:rFonts w:ascii="Calibri" w:hAnsi="Calibri"/>
                <w:b w:val="0"/>
                <w:sz w:val="16"/>
              </w:rPr>
              <w:t>Current versions of Microsoft Edge and Chrome; responsive down to 768 px width.</w:t>
            </w:r>
          </w:p>
        </w:tc>
        <w:tc>
          <w:tcPr>
            <w:tcW w:type="dxa" w:w="2098"/>
            <w:shd w:val="clear" w:fill="F7F9FB"/>
          </w:tcPr>
          <w:p>
            <w:pPr>
              <w:spacing w:after="20" w:before="20" w:line="240" w:lineRule="auto"/>
            </w:pPr>
            <w:r/>
            <w:r>
              <w:rPr>
                <w:rFonts w:ascii="Calibri" w:hAnsi="Calibri"/>
                <w:b w:val="0"/>
                <w:sz w:val="16"/>
              </w:rPr>
              <w:t>Browser test matrix</w:t>
            </w:r>
          </w:p>
        </w:tc>
      </w:tr>
      <w:tr>
        <w:tc>
          <w:tcPr>
            <w:tcW w:type="dxa" w:w="850"/>
          </w:tcPr>
          <w:p>
            <w:pPr>
              <w:spacing w:after="20" w:before="20" w:line="240" w:lineRule="auto"/>
              <w:jc w:val="center"/>
            </w:pPr>
            <w:r/>
            <w:r>
              <w:rPr>
                <w:rFonts w:ascii="Calibri" w:hAnsi="Calibri"/>
                <w:b w:val="0"/>
                <w:sz w:val="16"/>
              </w:rPr>
              <w:t>NFR-11</w:t>
            </w:r>
          </w:p>
        </w:tc>
        <w:tc>
          <w:tcPr>
            <w:tcW w:type="dxa" w:w="1701"/>
          </w:tcPr>
          <w:p>
            <w:pPr>
              <w:spacing w:after="20" w:before="20" w:line="240" w:lineRule="auto"/>
            </w:pPr>
            <w:r/>
            <w:r>
              <w:rPr>
                <w:rFonts w:ascii="Calibri" w:hAnsi="Calibri"/>
                <w:b w:val="0"/>
                <w:sz w:val="16"/>
              </w:rPr>
              <w:t>Maintainability</w:t>
            </w:r>
          </w:p>
        </w:tc>
        <w:tc>
          <w:tcPr>
            <w:tcW w:type="dxa" w:w="5102"/>
          </w:tcPr>
          <w:p>
            <w:pPr>
              <w:spacing w:after="20" w:before="20" w:line="240" w:lineRule="auto"/>
            </w:pPr>
            <w:r/>
            <w:r>
              <w:rPr>
                <w:rFonts w:ascii="Calibri" w:hAnsi="Calibri"/>
                <w:b w:val="0"/>
                <w:sz w:val="16"/>
              </w:rPr>
              <w:t>Documented data model, naming conventions and transformation logic; VPT staff able to add a KPI with guidance.</w:t>
            </w:r>
          </w:p>
        </w:tc>
        <w:tc>
          <w:tcPr>
            <w:tcW w:type="dxa" w:w="2098"/>
          </w:tcPr>
          <w:p>
            <w:pPr>
              <w:spacing w:after="20" w:before="20" w:line="240" w:lineRule="auto"/>
            </w:pPr>
            <w:r/>
            <w:r>
              <w:rPr>
                <w:rFonts w:ascii="Calibri" w:hAnsi="Calibri"/>
                <w:b w:val="0"/>
                <w:sz w:val="16"/>
              </w:rPr>
              <w:t>Handover acceptance</w:t>
            </w:r>
          </w:p>
        </w:tc>
      </w:tr>
      <w:tr>
        <w:tc>
          <w:tcPr>
            <w:tcW w:type="dxa" w:w="850"/>
            <w:shd w:val="clear" w:fill="F7F9FB"/>
          </w:tcPr>
          <w:p>
            <w:pPr>
              <w:spacing w:after="20" w:before="20" w:line="240" w:lineRule="auto"/>
              <w:jc w:val="center"/>
            </w:pPr>
            <w:r/>
            <w:r>
              <w:rPr>
                <w:rFonts w:ascii="Calibri" w:hAnsi="Calibri"/>
                <w:b w:val="0"/>
                <w:sz w:val="16"/>
              </w:rPr>
              <w:t>NFR-12</w:t>
            </w:r>
          </w:p>
        </w:tc>
        <w:tc>
          <w:tcPr>
            <w:tcW w:type="dxa" w:w="1701"/>
            <w:shd w:val="clear" w:fill="F7F9FB"/>
          </w:tcPr>
          <w:p>
            <w:pPr>
              <w:spacing w:after="20" w:before="20" w:line="240" w:lineRule="auto"/>
            </w:pPr>
            <w:r/>
            <w:r>
              <w:rPr>
                <w:rFonts w:ascii="Calibri" w:hAnsi="Calibri"/>
                <w:b w:val="0"/>
                <w:sz w:val="16"/>
              </w:rPr>
              <w:t>Scalability</w:t>
            </w:r>
          </w:p>
        </w:tc>
        <w:tc>
          <w:tcPr>
            <w:tcW w:type="dxa" w:w="5102"/>
            <w:shd w:val="clear" w:fill="F7F9FB"/>
          </w:tcPr>
          <w:p>
            <w:pPr>
              <w:spacing w:after="20" w:before="20" w:line="240" w:lineRule="auto"/>
            </w:pPr>
            <w:r/>
            <w:r>
              <w:rPr>
                <w:rFonts w:ascii="Calibri" w:hAnsi="Calibri"/>
                <w:b w:val="0"/>
                <w:sz w:val="16"/>
              </w:rPr>
              <w:t>Model supports doubling of transaction volume and addition of projects without redesign.</w:t>
            </w:r>
          </w:p>
        </w:tc>
        <w:tc>
          <w:tcPr>
            <w:tcW w:type="dxa" w:w="2098"/>
            <w:shd w:val="clear" w:fill="F7F9FB"/>
          </w:tcPr>
          <w:p>
            <w:pPr>
              <w:spacing w:after="20" w:before="20" w:line="240" w:lineRule="auto"/>
            </w:pPr>
            <w:r/>
            <w:r>
              <w:rPr>
                <w:rFonts w:ascii="Calibri" w:hAnsi="Calibri"/>
                <w:b w:val="0"/>
                <w:sz w:val="16"/>
              </w:rPr>
              <w:t>Design review</w:t>
            </w:r>
          </w:p>
        </w:tc>
      </w:tr>
      <w:tr>
        <w:tc>
          <w:tcPr>
            <w:tcW w:type="dxa" w:w="850"/>
          </w:tcPr>
          <w:p>
            <w:pPr>
              <w:spacing w:after="20" w:before="20" w:line="240" w:lineRule="auto"/>
              <w:jc w:val="center"/>
            </w:pPr>
            <w:r/>
            <w:r>
              <w:rPr>
                <w:rFonts w:ascii="Calibri" w:hAnsi="Calibri"/>
                <w:b w:val="0"/>
                <w:sz w:val="16"/>
              </w:rPr>
              <w:t>NFR-13</w:t>
            </w:r>
          </w:p>
        </w:tc>
        <w:tc>
          <w:tcPr>
            <w:tcW w:type="dxa" w:w="1701"/>
          </w:tcPr>
          <w:p>
            <w:pPr>
              <w:spacing w:after="20" w:before="20" w:line="240" w:lineRule="auto"/>
            </w:pPr>
            <w:r/>
            <w:r>
              <w:rPr>
                <w:rFonts w:ascii="Calibri" w:hAnsi="Calibri"/>
                <w:b w:val="0"/>
                <w:sz w:val="16"/>
              </w:rPr>
              <w:t>Licensing</w:t>
            </w:r>
          </w:p>
        </w:tc>
        <w:tc>
          <w:tcPr>
            <w:tcW w:type="dxa" w:w="5102"/>
          </w:tcPr>
          <w:p>
            <w:pPr>
              <w:spacing w:after="20" w:before="20" w:line="240" w:lineRule="auto"/>
            </w:pPr>
            <w:r/>
            <w:r>
              <w:rPr>
                <w:rFonts w:ascii="Calibri" w:hAnsi="Calibri"/>
                <w:b w:val="0"/>
                <w:sz w:val="16"/>
              </w:rPr>
              <w:t>Operates within existing Microsoft licensing; any additional licensing identified and approved before build.</w:t>
            </w:r>
          </w:p>
        </w:tc>
        <w:tc>
          <w:tcPr>
            <w:tcW w:type="dxa" w:w="2098"/>
          </w:tcPr>
          <w:p>
            <w:pPr>
              <w:spacing w:after="20" w:before="20" w:line="240" w:lineRule="auto"/>
            </w:pPr>
            <w:r/>
            <w:r>
              <w:rPr>
                <w:rFonts w:ascii="Calibri" w:hAnsi="Calibri"/>
                <w:b w:val="0"/>
                <w:sz w:val="16"/>
              </w:rPr>
              <w:t>Procurement confirmation</w:t>
            </w:r>
          </w:p>
        </w:tc>
      </w:tr>
      <w:tr>
        <w:tc>
          <w:tcPr>
            <w:tcW w:type="dxa" w:w="850"/>
            <w:shd w:val="clear" w:fill="F7F9FB"/>
          </w:tcPr>
          <w:p>
            <w:pPr>
              <w:spacing w:after="20" w:before="20" w:line="240" w:lineRule="auto"/>
              <w:jc w:val="center"/>
            </w:pPr>
            <w:r/>
            <w:r>
              <w:rPr>
                <w:rFonts w:ascii="Calibri" w:hAnsi="Calibri"/>
                <w:b w:val="0"/>
                <w:sz w:val="16"/>
              </w:rPr>
              <w:t>NFR-14</w:t>
            </w:r>
          </w:p>
        </w:tc>
        <w:tc>
          <w:tcPr>
            <w:tcW w:type="dxa" w:w="1701"/>
            <w:shd w:val="clear" w:fill="F7F9FB"/>
          </w:tcPr>
          <w:p>
            <w:pPr>
              <w:spacing w:after="20" w:before="20" w:line="240" w:lineRule="auto"/>
            </w:pPr>
            <w:r/>
            <w:r>
              <w:rPr>
                <w:rFonts w:ascii="Calibri" w:hAnsi="Calibri"/>
                <w:b w:val="0"/>
                <w:sz w:val="16"/>
              </w:rPr>
              <w:t>Localisation</w:t>
            </w:r>
          </w:p>
        </w:tc>
        <w:tc>
          <w:tcPr>
            <w:tcW w:type="dxa" w:w="5102"/>
            <w:shd w:val="clear" w:fill="F7F9FB"/>
          </w:tcPr>
          <w:p>
            <w:pPr>
              <w:spacing w:after="20" w:before="20" w:line="240" w:lineRule="auto"/>
            </w:pPr>
            <w:r/>
            <w:r>
              <w:rPr>
                <w:rFonts w:ascii="Calibri" w:hAnsi="Calibri"/>
                <w:b w:val="0"/>
                <w:sz w:val="16"/>
              </w:rPr>
              <w:t>English interface in this release; PKR currency with thousand separators; dates as dd-mmm-yyyy.</w:t>
            </w:r>
          </w:p>
        </w:tc>
        <w:tc>
          <w:tcPr>
            <w:tcW w:type="dxa" w:w="2098"/>
            <w:shd w:val="clear" w:fill="F7F9FB"/>
          </w:tcPr>
          <w:p>
            <w:pPr>
              <w:spacing w:after="20" w:before="20" w:line="240" w:lineRule="auto"/>
            </w:pPr>
            <w:r/>
            <w:r>
              <w:rPr>
                <w:rFonts w:ascii="Calibri" w:hAnsi="Calibri"/>
                <w:b w:val="0"/>
                <w:sz w:val="16"/>
              </w:rPr>
              <w:t>UAT check</w:t>
            </w:r>
          </w:p>
        </w:tc>
      </w:tr>
      <w:tr>
        <w:tc>
          <w:tcPr>
            <w:tcW w:type="dxa" w:w="850"/>
          </w:tcPr>
          <w:p>
            <w:pPr>
              <w:spacing w:after="20" w:before="20" w:line="240" w:lineRule="auto"/>
              <w:jc w:val="center"/>
            </w:pPr>
            <w:r/>
            <w:r>
              <w:rPr>
                <w:rFonts w:ascii="Calibri" w:hAnsi="Calibri"/>
                <w:b w:val="0"/>
                <w:sz w:val="16"/>
              </w:rPr>
              <w:t>NFR-15</w:t>
            </w:r>
          </w:p>
        </w:tc>
        <w:tc>
          <w:tcPr>
            <w:tcW w:type="dxa" w:w="1701"/>
          </w:tcPr>
          <w:p>
            <w:pPr>
              <w:spacing w:after="20" w:before="20" w:line="240" w:lineRule="auto"/>
            </w:pPr>
            <w:r/>
            <w:r>
              <w:rPr>
                <w:rFonts w:ascii="Calibri" w:hAnsi="Calibri"/>
                <w:b w:val="0"/>
                <w:sz w:val="16"/>
              </w:rPr>
              <w:t>Backup and recovery</w:t>
            </w:r>
          </w:p>
        </w:tc>
        <w:tc>
          <w:tcPr>
            <w:tcW w:type="dxa" w:w="5102"/>
          </w:tcPr>
          <w:p>
            <w:pPr>
              <w:spacing w:after="20" w:before="20" w:line="240" w:lineRule="auto"/>
            </w:pPr>
            <w:r/>
            <w:r>
              <w:rPr>
                <w:rFonts w:ascii="Calibri" w:hAnsi="Calibri"/>
                <w:b w:val="0"/>
                <w:sz w:val="16"/>
              </w:rPr>
              <w:t>Model and mart recoverable to the previous load within one working day.</w:t>
            </w:r>
          </w:p>
        </w:tc>
        <w:tc>
          <w:tcPr>
            <w:tcW w:type="dxa" w:w="2098"/>
          </w:tcPr>
          <w:p>
            <w:pPr>
              <w:spacing w:after="20" w:before="20" w:line="240" w:lineRule="auto"/>
            </w:pPr>
            <w:r/>
            <w:r>
              <w:rPr>
                <w:rFonts w:ascii="Calibri" w:hAnsi="Calibri"/>
                <w:b w:val="0"/>
                <w:sz w:val="16"/>
              </w:rPr>
              <w:t>Recovery test</w:t>
            </w:r>
          </w:p>
        </w:tc>
      </w:tr>
      <w:tr>
        <w:tc>
          <w:tcPr>
            <w:tcW w:type="dxa" w:w="850"/>
            <w:shd w:val="clear" w:fill="F7F9FB"/>
          </w:tcPr>
          <w:p>
            <w:pPr>
              <w:spacing w:after="20" w:before="20" w:line="240" w:lineRule="auto"/>
              <w:jc w:val="center"/>
            </w:pPr>
            <w:r/>
            <w:r>
              <w:rPr>
                <w:rFonts w:ascii="Calibri" w:hAnsi="Calibri"/>
                <w:b w:val="0"/>
                <w:sz w:val="16"/>
              </w:rPr>
              <w:t>NFR-16</w:t>
            </w:r>
          </w:p>
        </w:tc>
        <w:tc>
          <w:tcPr>
            <w:tcW w:type="dxa" w:w="1701"/>
            <w:shd w:val="clear" w:fill="F7F9FB"/>
          </w:tcPr>
          <w:p>
            <w:pPr>
              <w:spacing w:after="20" w:before="20" w:line="240" w:lineRule="auto"/>
            </w:pPr>
            <w:r/>
            <w:r>
              <w:rPr>
                <w:rFonts w:ascii="Calibri" w:hAnsi="Calibri"/>
                <w:b w:val="0"/>
                <w:sz w:val="16"/>
              </w:rPr>
              <w:t>Portability</w:t>
            </w:r>
          </w:p>
        </w:tc>
        <w:tc>
          <w:tcPr>
            <w:tcW w:type="dxa" w:w="5102"/>
            <w:shd w:val="clear" w:fill="F7F9FB"/>
          </w:tcPr>
          <w:p>
            <w:pPr>
              <w:spacing w:after="20" w:before="20" w:line="240" w:lineRule="auto"/>
            </w:pPr>
            <w:r/>
            <w:r>
              <w:rPr>
                <w:rFonts w:ascii="Calibri" w:hAnsi="Calibri"/>
                <w:b w:val="0"/>
                <w:sz w:val="16"/>
              </w:rPr>
              <w:t>Solution documented well enough to be rebuilt by another supplier.</w:t>
            </w:r>
          </w:p>
        </w:tc>
        <w:tc>
          <w:tcPr>
            <w:tcW w:type="dxa" w:w="2098"/>
            <w:shd w:val="clear" w:fill="F7F9FB"/>
          </w:tcPr>
          <w:p>
            <w:pPr>
              <w:spacing w:after="20" w:before="20" w:line="240" w:lineRule="auto"/>
            </w:pPr>
            <w:r/>
            <w:r>
              <w:rPr>
                <w:rFonts w:ascii="Calibri" w:hAnsi="Calibri"/>
                <w:b w:val="0"/>
                <w:sz w:val="16"/>
              </w:rPr>
              <w:t>Handover pack accepted</w:t>
            </w:r>
          </w:p>
        </w:tc>
      </w:tr>
    </w:tbl>
    <w:p>
      <w:pPr>
        <w:spacing w:after="20"/>
      </w:pPr>
    </w:p>
    <w:p>
      <w:pPr>
        <w:pStyle w:val="Heading1"/>
      </w:pPr>
      <w:r>
        <w:t>17. Assumptions, Constraints and Dependencies</w:t>
      </w:r>
    </w:p>
    <w:p>
      <w:pPr>
        <w:pStyle w:val="Heading2"/>
      </w:pPr>
      <w:r>
        <w:t>17.1 Assumptions</w:t>
      </w:r>
    </w:p>
    <w:p>
      <w:pPr>
        <w:pStyle w:val="ListBullet"/>
        <w:spacing w:after="50"/>
        <w:ind w:left="340"/>
      </w:pPr>
      <w:r>
        <w:t xml:space="preserve"> Oracle captures all material procurement receipts and inventory issues for every in-scope project, with document dates and project codes available.</w:t>
      </w:r>
    </w:p>
    <w:p>
      <w:pPr>
        <w:pStyle w:val="ListBullet"/>
        <w:spacing w:after="50"/>
        <w:ind w:left="340"/>
      </w:pPr>
      <w:r>
        <w:t xml:space="preserve"> Read-only access to Oracle, or an agreed extract mechanism, is granted before build starts.</w:t>
      </w:r>
    </w:p>
    <w:p>
      <w:pPr>
        <w:pStyle w:val="ListBullet"/>
        <w:spacing w:after="50"/>
        <w:ind w:left="340"/>
      </w:pPr>
      <w:r>
        <w:t xml:space="preserve"> Project codes and item codes are populated at transaction level for the large majority of records; the residual will be handled through exception reporting rather than manual allocation.</w:t>
      </w:r>
    </w:p>
    <w:p>
      <w:pPr>
        <w:pStyle w:val="ListBullet"/>
        <w:spacing w:after="50"/>
        <w:ind w:left="340"/>
      </w:pPr>
      <w:r>
        <w:t xml:space="preserve"> Programme M&amp;E can supply beneficiary and visit counts monthly in a stable format.</w:t>
      </w:r>
    </w:p>
    <w:p>
      <w:pPr>
        <w:pStyle w:val="ListBullet"/>
        <w:spacing w:after="50"/>
        <w:ind w:left="340"/>
      </w:pPr>
      <w:r>
        <w:t xml:space="preserve"> Budget data by project, fiscal year and category is available in Oracle or can be supplied monthly by Finance.</w:t>
      </w:r>
    </w:p>
    <w:p>
      <w:pPr>
        <w:pStyle w:val="ListBullet"/>
        <w:spacing w:after="50"/>
        <w:ind w:left="340"/>
      </w:pPr>
      <w:r>
        <w:t xml:space="preserve"> Business owners are available for KPI definition workshops within the Phase 0 window.</w:t>
      </w:r>
    </w:p>
    <w:p>
      <w:pPr>
        <w:pStyle w:val="ListBullet"/>
        <w:spacing w:after="50"/>
        <w:ind w:left="340"/>
      </w:pPr>
      <w:r>
        <w:t xml:space="preserve"> The dashboard will be hosted in the organisation's existing Microsoft environment with Power BI capacity available.</w:t>
      </w:r>
    </w:p>
    <w:p>
      <w:pPr>
        <w:pStyle w:val="ListBullet"/>
        <w:spacing w:after="50"/>
        <w:ind w:left="340"/>
      </w:pPr>
      <w:r>
        <w:t xml:space="preserve"> Historical data quality improves the further back the extract goes; the agreed reporting window begins July 2024.</w:t>
      </w:r>
    </w:p>
    <w:p>
      <w:pPr>
        <w:pStyle w:val="Heading2"/>
      </w:pPr>
      <w:r>
        <w:t>17.2 Constraints</w:t>
      </w:r>
    </w:p>
    <w:p>
      <w:pPr>
        <w:pStyle w:val="ListBullet"/>
        <w:spacing w:after="50"/>
        <w:ind w:left="340"/>
      </w:pPr>
      <w:r>
        <w:t xml:space="preserve"> Data confidentiality: extracts must remain within approved infrastructure; no project data may be copied to personal devices or external AI tools.</w:t>
      </w:r>
    </w:p>
    <w:p>
      <w:pPr>
        <w:pStyle w:val="ListBullet"/>
        <w:spacing w:after="50"/>
        <w:ind w:left="340"/>
      </w:pPr>
      <w:r>
        <w:t xml:space="preserve"> Licensing: additional Power BI capacity or premium features require separate approval and budget.</w:t>
      </w:r>
    </w:p>
    <w:p>
      <w:pPr>
        <w:pStyle w:val="ListBullet"/>
        <w:spacing w:after="50"/>
        <w:ind w:left="340"/>
      </w:pPr>
      <w:r>
        <w:t xml:space="preserve"> ERP stability: the reporting solution must not add material load to the production Oracle database.</w:t>
      </w:r>
    </w:p>
    <w:p>
      <w:pPr>
        <w:pStyle w:val="ListBullet"/>
        <w:spacing w:after="50"/>
        <w:ind w:left="340"/>
      </w:pPr>
      <w:r>
        <w:t xml:space="preserve"> Resource availability: the Oracle/IT team's capacity is shared with other initiatives; extract work must be scheduled early.</w:t>
      </w:r>
    </w:p>
    <w:p>
      <w:pPr>
        <w:pStyle w:val="ListBullet"/>
        <w:spacing w:after="50"/>
        <w:ind w:left="340"/>
      </w:pPr>
      <w:r>
        <w:t xml:space="preserve"> Timeline: the core release must be available before the FY2026-27 first-quarter review.</w:t>
      </w:r>
    </w:p>
    <w:p>
      <w:pPr>
        <w:pStyle w:val="Heading2"/>
      </w:pPr>
      <w:r>
        <w:t>17.3 Dependencies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trPr>
        <w:tc>
          <w:tcPr>
            <w:tcW w:type="dxa" w:w="2835"/>
            <w:shd w:val="clear" w:fill="1F3B57"/>
          </w:tcPr>
          <w:p>
            <w:pPr>
              <w:spacing w:after="20" w:before="20" w:line="240" w:lineRule="auto"/>
            </w:pPr>
            <w:r/>
            <w:r>
              <w:rPr>
                <w:rFonts w:ascii="Calibri" w:hAnsi="Calibri"/>
                <w:b/>
                <w:color w:val="FFFFFF"/>
                <w:sz w:val="16"/>
              </w:rPr>
              <w:t>Dependency</w:t>
            </w:r>
          </w:p>
        </w:tc>
        <w:tc>
          <w:tcPr>
            <w:tcW w:type="dxa" w:w="1814"/>
            <w:shd w:val="clear" w:fill="1F3B57"/>
          </w:tcPr>
          <w:p>
            <w:pPr>
              <w:spacing w:after="20" w:before="20" w:line="240" w:lineRule="auto"/>
            </w:pPr>
            <w:r/>
            <w:r>
              <w:rPr>
                <w:rFonts w:ascii="Calibri" w:hAnsi="Calibri"/>
                <w:b/>
                <w:color w:val="FFFFFF"/>
                <w:sz w:val="16"/>
              </w:rPr>
              <w:t>Owner</w:t>
            </w:r>
          </w:p>
        </w:tc>
        <w:tc>
          <w:tcPr>
            <w:tcW w:type="dxa" w:w="1587"/>
            <w:shd w:val="clear" w:fill="1F3B57"/>
          </w:tcPr>
          <w:p>
            <w:pPr>
              <w:spacing w:after="20" w:before="20" w:line="240" w:lineRule="auto"/>
            </w:pPr>
            <w:r/>
            <w:r>
              <w:rPr>
                <w:rFonts w:ascii="Calibri" w:hAnsi="Calibri"/>
                <w:b/>
                <w:color w:val="FFFFFF"/>
                <w:sz w:val="16"/>
              </w:rPr>
              <w:t>Needed by</w:t>
            </w:r>
          </w:p>
        </w:tc>
        <w:tc>
          <w:tcPr>
            <w:tcW w:type="dxa" w:w="3515"/>
            <w:shd w:val="clear" w:fill="1F3B57"/>
          </w:tcPr>
          <w:p>
            <w:pPr>
              <w:spacing w:after="20" w:before="20" w:line="240" w:lineRule="auto"/>
            </w:pPr>
            <w:r/>
            <w:r>
              <w:rPr>
                <w:rFonts w:ascii="Calibri" w:hAnsi="Calibri"/>
                <w:b/>
                <w:color w:val="FFFFFF"/>
                <w:sz w:val="16"/>
              </w:rPr>
              <w:t>Impact if late</w:t>
            </w:r>
          </w:p>
        </w:tc>
      </w:tr>
      <w:tr>
        <w:tc>
          <w:tcPr>
            <w:tcW w:type="dxa" w:w="2835"/>
          </w:tcPr>
          <w:p>
            <w:pPr>
              <w:spacing w:after="20" w:before="20" w:line="240" w:lineRule="auto"/>
            </w:pPr>
            <w:r/>
            <w:r>
              <w:rPr>
                <w:rFonts w:ascii="Calibri" w:hAnsi="Calibri"/>
                <w:b w:val="0"/>
                <w:sz w:val="16"/>
              </w:rPr>
              <w:t>Oracle extract or read-only access</w:t>
            </w:r>
          </w:p>
        </w:tc>
        <w:tc>
          <w:tcPr>
            <w:tcW w:type="dxa" w:w="1814"/>
          </w:tcPr>
          <w:p>
            <w:pPr>
              <w:spacing w:after="20" w:before="20" w:line="240" w:lineRule="auto"/>
            </w:pPr>
            <w:r/>
            <w:r>
              <w:rPr>
                <w:rFonts w:ascii="Calibri" w:hAnsi="Calibri"/>
                <w:b w:val="0"/>
                <w:sz w:val="16"/>
              </w:rPr>
              <w:t>IT / ERP team</w:t>
            </w:r>
          </w:p>
        </w:tc>
        <w:tc>
          <w:tcPr>
            <w:tcW w:type="dxa" w:w="1587"/>
          </w:tcPr>
          <w:p>
            <w:pPr>
              <w:spacing w:after="20" w:before="20" w:line="240" w:lineRule="auto"/>
            </w:pPr>
            <w:r/>
            <w:r>
              <w:rPr>
                <w:rFonts w:ascii="Calibri" w:hAnsi="Calibri"/>
                <w:b w:val="0"/>
                <w:sz w:val="16"/>
              </w:rPr>
              <w:t>Phase 1 start</w:t>
            </w:r>
          </w:p>
        </w:tc>
        <w:tc>
          <w:tcPr>
            <w:tcW w:type="dxa" w:w="3515"/>
          </w:tcPr>
          <w:p>
            <w:pPr>
              <w:spacing w:after="20" w:before="20" w:line="240" w:lineRule="auto"/>
            </w:pPr>
            <w:r/>
            <w:r>
              <w:rPr>
                <w:rFonts w:ascii="Calibri" w:hAnsi="Calibri"/>
                <w:b w:val="0"/>
                <w:sz w:val="16"/>
              </w:rPr>
              <w:t>Build cannot begin; deliverable slips one week per week of delay</w:t>
            </w:r>
          </w:p>
        </w:tc>
      </w:tr>
      <w:tr>
        <w:tc>
          <w:tcPr>
            <w:tcW w:type="dxa" w:w="2835"/>
            <w:shd w:val="clear" w:fill="F7F9FB"/>
          </w:tcPr>
          <w:p>
            <w:pPr>
              <w:spacing w:after="20" w:before="20" w:line="240" w:lineRule="auto"/>
            </w:pPr>
            <w:r/>
            <w:r>
              <w:rPr>
                <w:rFonts w:ascii="Calibri" w:hAnsi="Calibri"/>
                <w:b w:val="0"/>
                <w:sz w:val="16"/>
              </w:rPr>
              <w:t>Approved KPI definitions</w:t>
            </w:r>
          </w:p>
        </w:tc>
        <w:tc>
          <w:tcPr>
            <w:tcW w:type="dxa" w:w="1814"/>
            <w:shd w:val="clear" w:fill="F7F9FB"/>
          </w:tcPr>
          <w:p>
            <w:pPr>
              <w:spacing w:after="20" w:before="20" w:line="240" w:lineRule="auto"/>
            </w:pPr>
            <w:r/>
            <w:r>
              <w:rPr>
                <w:rFonts w:ascii="Calibri" w:hAnsi="Calibri"/>
                <w:b w:val="0"/>
                <w:sz w:val="16"/>
              </w:rPr>
              <w:t>Business owner</w:t>
            </w:r>
          </w:p>
        </w:tc>
        <w:tc>
          <w:tcPr>
            <w:tcW w:type="dxa" w:w="1587"/>
            <w:shd w:val="clear" w:fill="F7F9FB"/>
          </w:tcPr>
          <w:p>
            <w:pPr>
              <w:spacing w:after="20" w:before="20" w:line="240" w:lineRule="auto"/>
            </w:pPr>
            <w:r/>
            <w:r>
              <w:rPr>
                <w:rFonts w:ascii="Calibri" w:hAnsi="Calibri"/>
                <w:b w:val="0"/>
                <w:sz w:val="16"/>
              </w:rPr>
              <w:t>Phase 0 close</w:t>
            </w:r>
          </w:p>
        </w:tc>
        <w:tc>
          <w:tcPr>
            <w:tcW w:type="dxa" w:w="3515"/>
            <w:shd w:val="clear" w:fill="F7F9FB"/>
          </w:tcPr>
          <w:p>
            <w:pPr>
              <w:spacing w:after="20" w:before="20" w:line="240" w:lineRule="auto"/>
            </w:pPr>
            <w:r/>
            <w:r>
              <w:rPr>
                <w:rFonts w:ascii="Calibri" w:hAnsi="Calibri"/>
                <w:b w:val="0"/>
                <w:sz w:val="16"/>
              </w:rPr>
              <w:t>Rework in every visual and report</w:t>
            </w:r>
          </w:p>
        </w:tc>
      </w:tr>
      <w:tr>
        <w:tc>
          <w:tcPr>
            <w:tcW w:type="dxa" w:w="2835"/>
          </w:tcPr>
          <w:p>
            <w:pPr>
              <w:spacing w:after="20" w:before="20" w:line="240" w:lineRule="auto"/>
            </w:pPr>
            <w:r/>
            <w:r>
              <w:rPr>
                <w:rFonts w:ascii="Calibri" w:hAnsi="Calibri"/>
                <w:b w:val="0"/>
                <w:sz w:val="16"/>
              </w:rPr>
              <w:t>Historical data load and validation</w:t>
            </w:r>
          </w:p>
        </w:tc>
        <w:tc>
          <w:tcPr>
            <w:tcW w:type="dxa" w:w="1814"/>
          </w:tcPr>
          <w:p>
            <w:pPr>
              <w:spacing w:after="20" w:before="20" w:line="240" w:lineRule="auto"/>
            </w:pPr>
            <w:r/>
            <w:r>
              <w:rPr>
                <w:rFonts w:ascii="Calibri" w:hAnsi="Calibri"/>
                <w:b w:val="0"/>
                <w:sz w:val="16"/>
              </w:rPr>
              <w:t>IT + Procurement</w:t>
            </w:r>
          </w:p>
        </w:tc>
        <w:tc>
          <w:tcPr>
            <w:tcW w:type="dxa" w:w="1587"/>
          </w:tcPr>
          <w:p>
            <w:pPr>
              <w:spacing w:after="20" w:before="20" w:line="240" w:lineRule="auto"/>
            </w:pPr>
            <w:r/>
            <w:r>
              <w:rPr>
                <w:rFonts w:ascii="Calibri" w:hAnsi="Calibri"/>
                <w:b w:val="0"/>
                <w:sz w:val="16"/>
              </w:rPr>
              <w:t>Phase 1 mid-point</w:t>
            </w:r>
          </w:p>
        </w:tc>
        <w:tc>
          <w:tcPr>
            <w:tcW w:type="dxa" w:w="3515"/>
          </w:tcPr>
          <w:p>
            <w:pPr>
              <w:spacing w:after="20" w:before="20" w:line="240" w:lineRule="auto"/>
            </w:pPr>
            <w:r/>
            <w:r>
              <w:rPr>
                <w:rFonts w:ascii="Calibri" w:hAnsi="Calibri"/>
                <w:b w:val="0"/>
                <w:sz w:val="16"/>
              </w:rPr>
              <w:t>Trend and year-on-year analysis unavailable</w:t>
            </w:r>
          </w:p>
        </w:tc>
      </w:tr>
      <w:tr>
        <w:tc>
          <w:tcPr>
            <w:tcW w:type="dxa" w:w="2835"/>
            <w:shd w:val="clear" w:fill="F7F9FB"/>
          </w:tcPr>
          <w:p>
            <w:pPr>
              <w:spacing w:after="20" w:before="20" w:line="240" w:lineRule="auto"/>
            </w:pPr>
            <w:r/>
            <w:r>
              <w:rPr>
                <w:rFonts w:ascii="Calibri" w:hAnsi="Calibri"/>
                <w:b w:val="0"/>
                <w:sz w:val="16"/>
              </w:rPr>
              <w:t>Beneficiary and visit counts</w:t>
            </w:r>
          </w:p>
        </w:tc>
        <w:tc>
          <w:tcPr>
            <w:tcW w:type="dxa" w:w="1814"/>
            <w:shd w:val="clear" w:fill="F7F9FB"/>
          </w:tcPr>
          <w:p>
            <w:pPr>
              <w:spacing w:after="20" w:before="20" w:line="240" w:lineRule="auto"/>
            </w:pPr>
            <w:r/>
            <w:r>
              <w:rPr>
                <w:rFonts w:ascii="Calibri" w:hAnsi="Calibri"/>
                <w:b w:val="0"/>
                <w:sz w:val="16"/>
              </w:rPr>
              <w:t>Programme M&amp;E</w:t>
            </w:r>
          </w:p>
        </w:tc>
        <w:tc>
          <w:tcPr>
            <w:tcW w:type="dxa" w:w="1587"/>
            <w:shd w:val="clear" w:fill="F7F9FB"/>
          </w:tcPr>
          <w:p>
            <w:pPr>
              <w:spacing w:after="20" w:before="20" w:line="240" w:lineRule="auto"/>
            </w:pPr>
            <w:r/>
            <w:r>
              <w:rPr>
                <w:rFonts w:ascii="Calibri" w:hAnsi="Calibri"/>
                <w:b w:val="0"/>
                <w:sz w:val="16"/>
              </w:rPr>
              <w:t>Phase 2 start</w:t>
            </w:r>
          </w:p>
        </w:tc>
        <w:tc>
          <w:tcPr>
            <w:tcW w:type="dxa" w:w="3515"/>
            <w:shd w:val="clear" w:fill="F7F9FB"/>
          </w:tcPr>
          <w:p>
            <w:pPr>
              <w:spacing w:after="20" w:before="20" w:line="240" w:lineRule="auto"/>
            </w:pPr>
            <w:r/>
            <w:r>
              <w:rPr>
                <w:rFonts w:ascii="Calibri" w:hAnsi="Calibri"/>
                <w:b w:val="0"/>
                <w:sz w:val="16"/>
              </w:rPr>
              <w:t>Cost-per-beneficiary measures deferred</w:t>
            </w:r>
          </w:p>
        </w:tc>
      </w:tr>
      <w:tr>
        <w:tc>
          <w:tcPr>
            <w:tcW w:type="dxa" w:w="2835"/>
          </w:tcPr>
          <w:p>
            <w:pPr>
              <w:spacing w:after="20" w:before="20" w:line="240" w:lineRule="auto"/>
            </w:pPr>
            <w:r/>
            <w:r>
              <w:rPr>
                <w:rFonts w:ascii="Calibri" w:hAnsi="Calibri"/>
                <w:b w:val="0"/>
                <w:sz w:val="16"/>
              </w:rPr>
              <w:t>Budget data</w:t>
            </w:r>
          </w:p>
        </w:tc>
        <w:tc>
          <w:tcPr>
            <w:tcW w:type="dxa" w:w="1814"/>
          </w:tcPr>
          <w:p>
            <w:pPr>
              <w:spacing w:after="20" w:before="20" w:line="240" w:lineRule="auto"/>
            </w:pPr>
            <w:r/>
            <w:r>
              <w:rPr>
                <w:rFonts w:ascii="Calibri" w:hAnsi="Calibri"/>
                <w:b w:val="0"/>
                <w:sz w:val="16"/>
              </w:rPr>
              <w:t>Finance</w:t>
            </w:r>
          </w:p>
        </w:tc>
        <w:tc>
          <w:tcPr>
            <w:tcW w:type="dxa" w:w="1587"/>
          </w:tcPr>
          <w:p>
            <w:pPr>
              <w:spacing w:after="20" w:before="20" w:line="240" w:lineRule="auto"/>
            </w:pPr>
            <w:r/>
            <w:r>
              <w:rPr>
                <w:rFonts w:ascii="Calibri" w:hAnsi="Calibri"/>
                <w:b w:val="0"/>
                <w:sz w:val="16"/>
              </w:rPr>
              <w:t>Phase 1 mid-point</w:t>
            </w:r>
          </w:p>
        </w:tc>
        <w:tc>
          <w:tcPr>
            <w:tcW w:type="dxa" w:w="3515"/>
          </w:tcPr>
          <w:p>
            <w:pPr>
              <w:spacing w:after="20" w:before="20" w:line="240" w:lineRule="auto"/>
            </w:pPr>
            <w:r/>
            <w:r>
              <w:rPr>
                <w:rFonts w:ascii="Calibri" w:hAnsi="Calibri"/>
                <w:b w:val="0"/>
                <w:sz w:val="16"/>
              </w:rPr>
              <w:t>Budget variance page deferred</w:t>
            </w:r>
          </w:p>
        </w:tc>
      </w:tr>
      <w:tr>
        <w:tc>
          <w:tcPr>
            <w:tcW w:type="dxa" w:w="2835"/>
            <w:shd w:val="clear" w:fill="F7F9FB"/>
          </w:tcPr>
          <w:p>
            <w:pPr>
              <w:spacing w:after="20" w:before="20" w:line="240" w:lineRule="auto"/>
            </w:pPr>
            <w:r/>
            <w:r>
              <w:rPr>
                <w:rFonts w:ascii="Calibri" w:hAnsi="Calibri"/>
                <w:b w:val="0"/>
                <w:sz w:val="16"/>
              </w:rPr>
              <w:t>Security model approval</w:t>
            </w:r>
          </w:p>
        </w:tc>
        <w:tc>
          <w:tcPr>
            <w:tcW w:type="dxa" w:w="1814"/>
            <w:shd w:val="clear" w:fill="F7F9FB"/>
          </w:tcPr>
          <w:p>
            <w:pPr>
              <w:spacing w:after="20" w:before="20" w:line="240" w:lineRule="auto"/>
            </w:pPr>
            <w:r/>
            <w:r>
              <w:rPr>
                <w:rFonts w:ascii="Calibri" w:hAnsi="Calibri"/>
                <w:b w:val="0"/>
                <w:sz w:val="16"/>
              </w:rPr>
              <w:t>IT / data protection</w:t>
            </w:r>
          </w:p>
        </w:tc>
        <w:tc>
          <w:tcPr>
            <w:tcW w:type="dxa" w:w="1587"/>
            <w:shd w:val="clear" w:fill="F7F9FB"/>
          </w:tcPr>
          <w:p>
            <w:pPr>
              <w:spacing w:after="20" w:before="20" w:line="240" w:lineRule="auto"/>
            </w:pPr>
            <w:r/>
            <w:r>
              <w:rPr>
                <w:rFonts w:ascii="Calibri" w:hAnsi="Calibri"/>
                <w:b w:val="0"/>
                <w:sz w:val="16"/>
              </w:rPr>
              <w:t>Before UAT</w:t>
            </w:r>
          </w:p>
        </w:tc>
        <w:tc>
          <w:tcPr>
            <w:tcW w:type="dxa" w:w="3515"/>
            <w:shd w:val="clear" w:fill="F7F9FB"/>
          </w:tcPr>
          <w:p>
            <w:pPr>
              <w:spacing w:after="20" w:before="20" w:line="240" w:lineRule="auto"/>
            </w:pPr>
            <w:r/>
            <w:r>
              <w:rPr>
                <w:rFonts w:ascii="Calibri" w:hAnsi="Calibri"/>
                <w:b w:val="0"/>
                <w:sz w:val="16"/>
              </w:rPr>
              <w:t>Go-live blocked</w:t>
            </w:r>
          </w:p>
        </w:tc>
      </w:tr>
    </w:tbl>
    <w:p>
      <w:pPr>
        <w:spacing w:after="20"/>
      </w:pPr>
    </w:p>
    <w:p>
      <w:pPr>
        <w:pStyle w:val="Heading1"/>
      </w:pPr>
      <w:r>
        <w:t>18. Risks and Mitigation</w:t>
      </w:r>
    </w:p>
    <w:tbl>
      <w:tblPr>
        <w:tblStyle w:val="TableGrid"/>
        <w:tblW w:type="auto" w:w="0"/>
        <w:jc w:val="center"/>
        <w:tblLayout w:type="fixed"/>
        <w:tblLook w:firstColumn="1" w:firstRow="1" w:lastColumn="0" w:lastRow="0" w:noHBand="0" w:noVBand="1" w:val="04A0"/>
      </w:tblPr>
      <w:tblGrid>
        <w:gridCol w:w="1681"/>
        <w:gridCol w:w="1681"/>
        <w:gridCol w:w="1681"/>
        <w:gridCol w:w="1681"/>
        <w:gridCol w:w="1681"/>
        <w:gridCol w:w="1681"/>
      </w:tblGrid>
      <w:tr>
        <w:trPr>
          <w:tblHeader/>
        </w:trPr>
        <w:tc>
          <w:tcPr>
            <w:tcW w:type="dxa" w:w="680"/>
            <w:shd w:val="clear" w:fill="1F3B57"/>
          </w:tcPr>
          <w:p>
            <w:pPr>
              <w:spacing w:after="20" w:before="20" w:line="240" w:lineRule="auto"/>
            </w:pPr>
            <w:r/>
            <w:r>
              <w:rPr>
                <w:rFonts w:ascii="Calibri" w:hAnsi="Calibri"/>
                <w:b/>
                <w:color w:val="FFFFFF"/>
                <w:sz w:val="15"/>
              </w:rPr>
              <w:t>Ref</w:t>
            </w:r>
          </w:p>
        </w:tc>
        <w:tc>
          <w:tcPr>
            <w:tcW w:type="dxa" w:w="2835"/>
            <w:shd w:val="clear" w:fill="1F3B57"/>
          </w:tcPr>
          <w:p>
            <w:pPr>
              <w:spacing w:after="20" w:before="20" w:line="240" w:lineRule="auto"/>
            </w:pPr>
            <w:r/>
            <w:r>
              <w:rPr>
                <w:rFonts w:ascii="Calibri" w:hAnsi="Calibri"/>
                <w:b/>
                <w:color w:val="FFFFFF"/>
                <w:sz w:val="15"/>
              </w:rPr>
              <w:t>Risk</w:t>
            </w:r>
          </w:p>
        </w:tc>
        <w:tc>
          <w:tcPr>
            <w:tcW w:type="dxa" w:w="1020"/>
            <w:shd w:val="clear" w:fill="1F3B57"/>
          </w:tcPr>
          <w:p>
            <w:pPr>
              <w:spacing w:after="20" w:before="20" w:line="240" w:lineRule="auto"/>
            </w:pPr>
            <w:r/>
            <w:r>
              <w:rPr>
                <w:rFonts w:ascii="Calibri" w:hAnsi="Calibri"/>
                <w:b/>
                <w:color w:val="FFFFFF"/>
                <w:sz w:val="15"/>
              </w:rPr>
              <w:t>Likelihood</w:t>
            </w:r>
          </w:p>
        </w:tc>
        <w:tc>
          <w:tcPr>
            <w:tcW w:type="dxa" w:w="794"/>
            <w:shd w:val="clear" w:fill="1F3B57"/>
          </w:tcPr>
          <w:p>
            <w:pPr>
              <w:spacing w:after="20" w:before="20" w:line="240" w:lineRule="auto"/>
            </w:pPr>
            <w:r/>
            <w:r>
              <w:rPr>
                <w:rFonts w:ascii="Calibri" w:hAnsi="Calibri"/>
                <w:b/>
                <w:color w:val="FFFFFF"/>
                <w:sz w:val="15"/>
              </w:rPr>
              <w:t>Impact</w:t>
            </w:r>
          </w:p>
        </w:tc>
        <w:tc>
          <w:tcPr>
            <w:tcW w:type="dxa" w:w="3402"/>
            <w:shd w:val="clear" w:fill="1F3B57"/>
          </w:tcPr>
          <w:p>
            <w:pPr>
              <w:spacing w:after="20" w:before="20" w:line="240" w:lineRule="auto"/>
            </w:pPr>
            <w:r/>
            <w:r>
              <w:rPr>
                <w:rFonts w:ascii="Calibri" w:hAnsi="Calibri"/>
                <w:b/>
                <w:color w:val="FFFFFF"/>
                <w:sz w:val="15"/>
              </w:rPr>
              <w:t>Mitigation</w:t>
            </w:r>
          </w:p>
        </w:tc>
        <w:tc>
          <w:tcPr>
            <w:tcW w:type="dxa" w:w="1020"/>
            <w:shd w:val="clear" w:fill="1F3B57"/>
          </w:tcPr>
          <w:p>
            <w:pPr>
              <w:spacing w:after="20" w:before="20" w:line="240" w:lineRule="auto"/>
            </w:pPr>
            <w:r/>
            <w:r>
              <w:rPr>
                <w:rFonts w:ascii="Calibri" w:hAnsi="Calibri"/>
                <w:b/>
                <w:color w:val="FFFFFF"/>
                <w:sz w:val="15"/>
              </w:rPr>
              <w:t>Owner</w:t>
            </w:r>
          </w:p>
        </w:tc>
      </w:tr>
      <w:tr>
        <w:tc>
          <w:tcPr>
            <w:tcW w:type="dxa" w:w="680"/>
          </w:tcPr>
          <w:p>
            <w:pPr>
              <w:spacing w:after="20" w:before="20" w:line="240" w:lineRule="auto"/>
              <w:jc w:val="center"/>
            </w:pPr>
            <w:r/>
            <w:r>
              <w:rPr>
                <w:rFonts w:ascii="Calibri" w:hAnsi="Calibri"/>
                <w:b w:val="0"/>
                <w:sz w:val="15"/>
              </w:rPr>
              <w:t>R-01</w:t>
            </w:r>
          </w:p>
        </w:tc>
        <w:tc>
          <w:tcPr>
            <w:tcW w:type="dxa" w:w="2835"/>
          </w:tcPr>
          <w:p>
            <w:pPr>
              <w:spacing w:after="20" w:before="20" w:line="240" w:lineRule="auto"/>
            </w:pPr>
            <w:r/>
            <w:r>
              <w:rPr>
                <w:rFonts w:ascii="Calibri" w:hAnsi="Calibri"/>
                <w:b w:val="0"/>
                <w:sz w:val="15"/>
              </w:rPr>
              <w:t>Poor project coding means unattributed consumption remains high and figures are disputed</w:t>
            </w:r>
          </w:p>
        </w:tc>
        <w:tc>
          <w:tcPr>
            <w:tcW w:type="dxa" w:w="1020"/>
          </w:tcPr>
          <w:p>
            <w:pPr>
              <w:spacing w:after="20" w:before="20" w:line="240" w:lineRule="auto"/>
              <w:jc w:val="center"/>
            </w:pPr>
            <w:r/>
            <w:r>
              <w:rPr>
                <w:rFonts w:ascii="Calibri" w:hAnsi="Calibri"/>
                <w:b w:val="0"/>
                <w:sz w:val="15"/>
              </w:rPr>
              <w:t>High</w:t>
            </w:r>
          </w:p>
        </w:tc>
        <w:tc>
          <w:tcPr>
            <w:tcW w:type="dxa" w:w="794"/>
          </w:tcPr>
          <w:p>
            <w:pPr>
              <w:spacing w:after="20" w:before="20" w:line="240" w:lineRule="auto"/>
              <w:jc w:val="center"/>
            </w:pPr>
            <w:r/>
            <w:r>
              <w:rPr>
                <w:rFonts w:ascii="Calibri" w:hAnsi="Calibri"/>
                <w:b w:val="0"/>
                <w:sz w:val="15"/>
              </w:rPr>
              <w:t>High</w:t>
            </w:r>
          </w:p>
        </w:tc>
        <w:tc>
          <w:tcPr>
            <w:tcW w:type="dxa" w:w="3402"/>
          </w:tcPr>
          <w:p>
            <w:pPr>
              <w:spacing w:after="20" w:before="20" w:line="240" w:lineRule="auto"/>
            </w:pPr>
            <w:r/>
            <w:r>
              <w:rPr>
                <w:rFonts w:ascii="Calibri" w:hAnsi="Calibri"/>
                <w:b w:val="0"/>
                <w:sz w:val="15"/>
              </w:rPr>
              <w:t>Exception reporting with owners; master-data clean-up as a parallel action; make the project field mandatory at issue</w:t>
            </w:r>
          </w:p>
        </w:tc>
        <w:tc>
          <w:tcPr>
            <w:tcW w:type="dxa" w:w="1020"/>
          </w:tcPr>
          <w:p>
            <w:pPr>
              <w:spacing w:after="20" w:before="20" w:line="240" w:lineRule="auto"/>
            </w:pPr>
            <w:r/>
            <w:r>
              <w:rPr>
                <w:rFonts w:ascii="Calibri" w:hAnsi="Calibri"/>
                <w:b w:val="0"/>
                <w:sz w:val="15"/>
              </w:rPr>
              <w:t>Head of Procurement</w:t>
            </w:r>
          </w:p>
        </w:tc>
      </w:tr>
      <w:tr>
        <w:tc>
          <w:tcPr>
            <w:tcW w:type="dxa" w:w="680"/>
            <w:shd w:val="clear" w:fill="F7F9FB"/>
          </w:tcPr>
          <w:p>
            <w:pPr>
              <w:spacing w:after="20" w:before="20" w:line="240" w:lineRule="auto"/>
              <w:jc w:val="center"/>
            </w:pPr>
            <w:r/>
            <w:r>
              <w:rPr>
                <w:rFonts w:ascii="Calibri" w:hAnsi="Calibri"/>
                <w:b w:val="0"/>
                <w:sz w:val="15"/>
              </w:rPr>
              <w:t>R-02</w:t>
            </w:r>
          </w:p>
        </w:tc>
        <w:tc>
          <w:tcPr>
            <w:tcW w:type="dxa" w:w="2835"/>
            <w:shd w:val="clear" w:fill="F7F9FB"/>
          </w:tcPr>
          <w:p>
            <w:pPr>
              <w:spacing w:after="20" w:before="20" w:line="240" w:lineRule="auto"/>
            </w:pPr>
            <w:r/>
            <w:r>
              <w:rPr>
                <w:rFonts w:ascii="Calibri" w:hAnsi="Calibri"/>
                <w:b w:val="0"/>
                <w:sz w:val="15"/>
              </w:rPr>
              <w:t>Oracle access delayed by IT scheduling</w:t>
            </w:r>
          </w:p>
        </w:tc>
        <w:tc>
          <w:tcPr>
            <w:tcW w:type="dxa" w:w="1020"/>
            <w:shd w:val="clear" w:fill="F7F9FB"/>
          </w:tcPr>
          <w:p>
            <w:pPr>
              <w:spacing w:after="20" w:before="20" w:line="240" w:lineRule="auto"/>
              <w:jc w:val="center"/>
            </w:pPr>
            <w:r/>
            <w:r>
              <w:rPr>
                <w:rFonts w:ascii="Calibri" w:hAnsi="Calibri"/>
                <w:b w:val="0"/>
                <w:sz w:val="15"/>
              </w:rPr>
              <w:t>Medium</w:t>
            </w:r>
          </w:p>
        </w:tc>
        <w:tc>
          <w:tcPr>
            <w:tcW w:type="dxa" w:w="794"/>
            <w:shd w:val="clear" w:fill="F7F9FB"/>
          </w:tcPr>
          <w:p>
            <w:pPr>
              <w:spacing w:after="20" w:before="20" w:line="240" w:lineRule="auto"/>
              <w:jc w:val="center"/>
            </w:pPr>
            <w:r/>
            <w:r>
              <w:rPr>
                <w:rFonts w:ascii="Calibri" w:hAnsi="Calibri"/>
                <w:b w:val="0"/>
                <w:sz w:val="15"/>
              </w:rPr>
              <w:t>High</w:t>
            </w:r>
          </w:p>
        </w:tc>
        <w:tc>
          <w:tcPr>
            <w:tcW w:type="dxa" w:w="3402"/>
            <w:shd w:val="clear" w:fill="F7F9FB"/>
          </w:tcPr>
          <w:p>
            <w:pPr>
              <w:spacing w:after="20" w:before="20" w:line="240" w:lineRule="auto"/>
            </w:pPr>
            <w:r/>
            <w:r>
              <w:rPr>
                <w:rFonts w:ascii="Calibri" w:hAnsi="Calibri"/>
                <w:b w:val="0"/>
                <w:sz w:val="15"/>
              </w:rPr>
              <w:t>Agree mechanism in week one; interim manual extract for history if necessary</w:t>
            </w:r>
          </w:p>
        </w:tc>
        <w:tc>
          <w:tcPr>
            <w:tcW w:type="dxa" w:w="1020"/>
            <w:shd w:val="clear" w:fill="F7F9FB"/>
          </w:tcPr>
          <w:p>
            <w:pPr>
              <w:spacing w:after="20" w:before="20" w:line="240" w:lineRule="auto"/>
            </w:pPr>
            <w:r/>
            <w:r>
              <w:rPr>
                <w:rFonts w:ascii="Calibri" w:hAnsi="Calibri"/>
                <w:b w:val="0"/>
                <w:sz w:val="15"/>
              </w:rPr>
              <w:t>IT manager</w:t>
            </w:r>
          </w:p>
        </w:tc>
      </w:tr>
      <w:tr>
        <w:tc>
          <w:tcPr>
            <w:tcW w:type="dxa" w:w="680"/>
          </w:tcPr>
          <w:p>
            <w:pPr>
              <w:spacing w:after="20" w:before="20" w:line="240" w:lineRule="auto"/>
              <w:jc w:val="center"/>
            </w:pPr>
            <w:r/>
            <w:r>
              <w:rPr>
                <w:rFonts w:ascii="Calibri" w:hAnsi="Calibri"/>
                <w:b w:val="0"/>
                <w:sz w:val="15"/>
              </w:rPr>
              <w:t>R-03</w:t>
            </w:r>
          </w:p>
        </w:tc>
        <w:tc>
          <w:tcPr>
            <w:tcW w:type="dxa" w:w="2835"/>
          </w:tcPr>
          <w:p>
            <w:pPr>
              <w:spacing w:after="20" w:before="20" w:line="240" w:lineRule="auto"/>
            </w:pPr>
            <w:r/>
            <w:r>
              <w:rPr>
                <w:rFonts w:ascii="Calibri" w:hAnsi="Calibri"/>
                <w:b w:val="0"/>
                <w:sz w:val="15"/>
              </w:rPr>
              <w:t>KPI definitions not agreed, causing rework</w:t>
            </w:r>
          </w:p>
        </w:tc>
        <w:tc>
          <w:tcPr>
            <w:tcW w:type="dxa" w:w="1020"/>
          </w:tcPr>
          <w:p>
            <w:pPr>
              <w:spacing w:after="20" w:before="20" w:line="240" w:lineRule="auto"/>
              <w:jc w:val="center"/>
            </w:pPr>
            <w:r/>
            <w:r>
              <w:rPr>
                <w:rFonts w:ascii="Calibri" w:hAnsi="Calibri"/>
                <w:b w:val="0"/>
                <w:sz w:val="15"/>
              </w:rPr>
              <w:t>Medium</w:t>
            </w:r>
          </w:p>
        </w:tc>
        <w:tc>
          <w:tcPr>
            <w:tcW w:type="dxa" w:w="794"/>
          </w:tcPr>
          <w:p>
            <w:pPr>
              <w:spacing w:after="20" w:before="20" w:line="240" w:lineRule="auto"/>
              <w:jc w:val="center"/>
            </w:pPr>
            <w:r/>
            <w:r>
              <w:rPr>
                <w:rFonts w:ascii="Calibri" w:hAnsi="Calibri"/>
                <w:b w:val="0"/>
                <w:sz w:val="15"/>
              </w:rPr>
              <w:t>Medium</w:t>
            </w:r>
          </w:p>
        </w:tc>
        <w:tc>
          <w:tcPr>
            <w:tcW w:type="dxa" w:w="3402"/>
          </w:tcPr>
          <w:p>
            <w:pPr>
              <w:spacing w:after="20" w:before="20" w:line="240" w:lineRule="auto"/>
            </w:pPr>
            <w:r/>
            <w:r>
              <w:rPr>
                <w:rFonts w:ascii="Calibri" w:hAnsi="Calibri"/>
                <w:b w:val="0"/>
                <w:sz w:val="15"/>
              </w:rPr>
              <w:t>Sign-off gate at end of Phase 0; definitions embedded in the model</w:t>
            </w:r>
          </w:p>
        </w:tc>
        <w:tc>
          <w:tcPr>
            <w:tcW w:type="dxa" w:w="1020"/>
          </w:tcPr>
          <w:p>
            <w:pPr>
              <w:spacing w:after="20" w:before="20" w:line="240" w:lineRule="auto"/>
            </w:pPr>
            <w:r/>
            <w:r>
              <w:rPr>
                <w:rFonts w:ascii="Calibri" w:hAnsi="Calibri"/>
                <w:b w:val="0"/>
                <w:sz w:val="15"/>
              </w:rPr>
              <w:t>Business owner</w:t>
            </w:r>
          </w:p>
        </w:tc>
      </w:tr>
      <w:tr>
        <w:tc>
          <w:tcPr>
            <w:tcW w:type="dxa" w:w="680"/>
            <w:shd w:val="clear" w:fill="F7F9FB"/>
          </w:tcPr>
          <w:p>
            <w:pPr>
              <w:spacing w:after="20" w:before="20" w:line="240" w:lineRule="auto"/>
              <w:jc w:val="center"/>
            </w:pPr>
            <w:r/>
            <w:r>
              <w:rPr>
                <w:rFonts w:ascii="Calibri" w:hAnsi="Calibri"/>
                <w:b w:val="0"/>
                <w:sz w:val="15"/>
              </w:rPr>
              <w:t>R-04</w:t>
            </w:r>
          </w:p>
        </w:tc>
        <w:tc>
          <w:tcPr>
            <w:tcW w:type="dxa" w:w="2835"/>
            <w:shd w:val="clear" w:fill="F7F9FB"/>
          </w:tcPr>
          <w:p>
            <w:pPr>
              <w:spacing w:after="20" w:before="20" w:line="240" w:lineRule="auto"/>
            </w:pPr>
            <w:r/>
            <w:r>
              <w:rPr>
                <w:rFonts w:ascii="Calibri" w:hAnsi="Calibri"/>
                <w:b w:val="0"/>
                <w:sz w:val="15"/>
              </w:rPr>
              <w:t>Low adoption after launch</w:t>
            </w:r>
          </w:p>
        </w:tc>
        <w:tc>
          <w:tcPr>
            <w:tcW w:type="dxa" w:w="1020"/>
            <w:shd w:val="clear" w:fill="F7F9FB"/>
          </w:tcPr>
          <w:p>
            <w:pPr>
              <w:spacing w:after="20" w:before="20" w:line="240" w:lineRule="auto"/>
              <w:jc w:val="center"/>
            </w:pPr>
            <w:r/>
            <w:r>
              <w:rPr>
                <w:rFonts w:ascii="Calibri" w:hAnsi="Calibri"/>
                <w:b w:val="0"/>
                <w:sz w:val="15"/>
              </w:rPr>
              <w:t>Medium</w:t>
            </w:r>
          </w:p>
        </w:tc>
        <w:tc>
          <w:tcPr>
            <w:tcW w:type="dxa" w:w="794"/>
            <w:shd w:val="clear" w:fill="F7F9FB"/>
          </w:tcPr>
          <w:p>
            <w:pPr>
              <w:spacing w:after="20" w:before="20" w:line="240" w:lineRule="auto"/>
              <w:jc w:val="center"/>
            </w:pPr>
            <w:r/>
            <w:r>
              <w:rPr>
                <w:rFonts w:ascii="Calibri" w:hAnsi="Calibri"/>
                <w:b w:val="0"/>
                <w:sz w:val="15"/>
              </w:rPr>
              <w:t>High</w:t>
            </w:r>
          </w:p>
        </w:tc>
        <w:tc>
          <w:tcPr>
            <w:tcW w:type="dxa" w:w="3402"/>
            <w:shd w:val="clear" w:fill="F7F9FB"/>
          </w:tcPr>
          <w:p>
            <w:pPr>
              <w:spacing w:after="20" w:before="20" w:line="240" w:lineRule="auto"/>
            </w:pPr>
            <w:r/>
            <w:r>
              <w:rPr>
                <w:rFonts w:ascii="Calibri" w:hAnsi="Calibri"/>
                <w:b w:val="0"/>
                <w:sz w:val="15"/>
              </w:rPr>
              <w:t>Embed in monthly review meeting; assign exception owners; champion in each department; short training</w:t>
            </w:r>
          </w:p>
        </w:tc>
        <w:tc>
          <w:tcPr>
            <w:tcW w:type="dxa" w:w="1020"/>
            <w:shd w:val="clear" w:fill="F7F9FB"/>
          </w:tcPr>
          <w:p>
            <w:pPr>
              <w:spacing w:after="20" w:before="20" w:line="240" w:lineRule="auto"/>
            </w:pPr>
            <w:r/>
            <w:r>
              <w:rPr>
                <w:rFonts w:ascii="Calibri" w:hAnsi="Calibri"/>
                <w:b w:val="0"/>
                <w:sz w:val="15"/>
              </w:rPr>
              <w:t>Business owner</w:t>
            </w:r>
          </w:p>
        </w:tc>
      </w:tr>
      <w:tr>
        <w:tc>
          <w:tcPr>
            <w:tcW w:type="dxa" w:w="680"/>
          </w:tcPr>
          <w:p>
            <w:pPr>
              <w:spacing w:after="20" w:before="20" w:line="240" w:lineRule="auto"/>
              <w:jc w:val="center"/>
            </w:pPr>
            <w:r/>
            <w:r>
              <w:rPr>
                <w:rFonts w:ascii="Calibri" w:hAnsi="Calibri"/>
                <w:b w:val="0"/>
                <w:sz w:val="15"/>
              </w:rPr>
              <w:t>R-05</w:t>
            </w:r>
          </w:p>
        </w:tc>
        <w:tc>
          <w:tcPr>
            <w:tcW w:type="dxa" w:w="2835"/>
          </w:tcPr>
          <w:p>
            <w:pPr>
              <w:spacing w:after="20" w:before="20" w:line="240" w:lineRule="auto"/>
            </w:pPr>
            <w:r/>
            <w:r>
              <w:rPr>
                <w:rFonts w:ascii="Calibri" w:hAnsi="Calibri"/>
                <w:b w:val="0"/>
                <w:sz w:val="15"/>
              </w:rPr>
              <w:t>Data volumes degrade performance</w:t>
            </w:r>
          </w:p>
        </w:tc>
        <w:tc>
          <w:tcPr>
            <w:tcW w:type="dxa" w:w="1020"/>
          </w:tcPr>
          <w:p>
            <w:pPr>
              <w:spacing w:after="20" w:before="20" w:line="240" w:lineRule="auto"/>
              <w:jc w:val="center"/>
            </w:pPr>
            <w:r/>
            <w:r>
              <w:rPr>
                <w:rFonts w:ascii="Calibri" w:hAnsi="Calibri"/>
                <w:b w:val="0"/>
                <w:sz w:val="15"/>
              </w:rPr>
              <w:t>Low</w:t>
            </w:r>
          </w:p>
        </w:tc>
        <w:tc>
          <w:tcPr>
            <w:tcW w:type="dxa" w:w="794"/>
          </w:tcPr>
          <w:p>
            <w:pPr>
              <w:spacing w:after="20" w:before="20" w:line="240" w:lineRule="auto"/>
              <w:jc w:val="center"/>
            </w:pPr>
            <w:r/>
            <w:r>
              <w:rPr>
                <w:rFonts w:ascii="Calibri" w:hAnsi="Calibri"/>
                <w:b w:val="0"/>
                <w:sz w:val="15"/>
              </w:rPr>
              <w:t>Medium</w:t>
            </w:r>
          </w:p>
        </w:tc>
        <w:tc>
          <w:tcPr>
            <w:tcW w:type="dxa" w:w="3402"/>
          </w:tcPr>
          <w:p>
            <w:pPr>
              <w:spacing w:after="20" w:before="20" w:line="240" w:lineRule="auto"/>
            </w:pPr>
            <w:r/>
            <w:r>
              <w:rPr>
                <w:rFonts w:ascii="Calibri" w:hAnsi="Calibri"/>
                <w:b w:val="0"/>
                <w:sz w:val="15"/>
              </w:rPr>
              <w:t>Star schema with aggregation; query tests against three years of data before go-live</w:t>
            </w:r>
          </w:p>
        </w:tc>
        <w:tc>
          <w:tcPr>
            <w:tcW w:type="dxa" w:w="1020"/>
          </w:tcPr>
          <w:p>
            <w:pPr>
              <w:spacing w:after="20" w:before="20" w:line="240" w:lineRule="auto"/>
            </w:pPr>
            <w:r/>
            <w:r>
              <w:rPr>
                <w:rFonts w:ascii="Calibri" w:hAnsi="Calibri"/>
                <w:b w:val="0"/>
                <w:sz w:val="15"/>
              </w:rPr>
              <w:t>BI developer</w:t>
            </w:r>
          </w:p>
        </w:tc>
      </w:tr>
      <w:tr>
        <w:tc>
          <w:tcPr>
            <w:tcW w:type="dxa" w:w="680"/>
            <w:shd w:val="clear" w:fill="F7F9FB"/>
          </w:tcPr>
          <w:p>
            <w:pPr>
              <w:spacing w:after="20" w:before="20" w:line="240" w:lineRule="auto"/>
              <w:jc w:val="center"/>
            </w:pPr>
            <w:r/>
            <w:r>
              <w:rPr>
                <w:rFonts w:ascii="Calibri" w:hAnsi="Calibri"/>
                <w:b w:val="0"/>
                <w:sz w:val="15"/>
              </w:rPr>
              <w:t>R-06</w:t>
            </w:r>
          </w:p>
        </w:tc>
        <w:tc>
          <w:tcPr>
            <w:tcW w:type="dxa" w:w="2835"/>
            <w:shd w:val="clear" w:fill="F7F9FB"/>
          </w:tcPr>
          <w:p>
            <w:pPr>
              <w:spacing w:after="20" w:before="20" w:line="240" w:lineRule="auto"/>
            </w:pPr>
            <w:r/>
            <w:r>
              <w:rPr>
                <w:rFonts w:ascii="Calibri" w:hAnsi="Calibri"/>
                <w:b w:val="0"/>
                <w:sz w:val="15"/>
              </w:rPr>
              <w:t>Scope creep into full financial reporting</w:t>
            </w:r>
          </w:p>
        </w:tc>
        <w:tc>
          <w:tcPr>
            <w:tcW w:type="dxa" w:w="1020"/>
            <w:shd w:val="clear" w:fill="F7F9FB"/>
          </w:tcPr>
          <w:p>
            <w:pPr>
              <w:spacing w:after="20" w:before="20" w:line="240" w:lineRule="auto"/>
              <w:jc w:val="center"/>
            </w:pPr>
            <w:r/>
            <w:r>
              <w:rPr>
                <w:rFonts w:ascii="Calibri" w:hAnsi="Calibri"/>
                <w:b w:val="0"/>
                <w:sz w:val="15"/>
              </w:rPr>
              <w:t>High</w:t>
            </w:r>
          </w:p>
        </w:tc>
        <w:tc>
          <w:tcPr>
            <w:tcW w:type="dxa" w:w="794"/>
            <w:shd w:val="clear" w:fill="F7F9FB"/>
          </w:tcPr>
          <w:p>
            <w:pPr>
              <w:spacing w:after="20" w:before="20" w:line="240" w:lineRule="auto"/>
              <w:jc w:val="center"/>
            </w:pPr>
            <w:r/>
            <w:r>
              <w:rPr>
                <w:rFonts w:ascii="Calibri" w:hAnsi="Calibri"/>
                <w:b w:val="0"/>
                <w:sz w:val="15"/>
              </w:rPr>
              <w:t>Medium</w:t>
            </w:r>
          </w:p>
        </w:tc>
        <w:tc>
          <w:tcPr>
            <w:tcW w:type="dxa" w:w="3402"/>
            <w:shd w:val="clear" w:fill="F7F9FB"/>
          </w:tcPr>
          <w:p>
            <w:pPr>
              <w:spacing w:after="20" w:before="20" w:line="240" w:lineRule="auto"/>
            </w:pPr>
            <w:r/>
            <w:r>
              <w:rPr>
                <w:rFonts w:ascii="Calibri" w:hAnsi="Calibri"/>
                <w:b w:val="0"/>
                <w:sz w:val="15"/>
              </w:rPr>
              <w:t>Phasing and change control; out-of-scope list in Section 5.2</w:t>
            </w:r>
          </w:p>
        </w:tc>
        <w:tc>
          <w:tcPr>
            <w:tcW w:type="dxa" w:w="1020"/>
            <w:shd w:val="clear" w:fill="F7F9FB"/>
          </w:tcPr>
          <w:p>
            <w:pPr>
              <w:spacing w:after="20" w:before="20" w:line="240" w:lineRule="auto"/>
            </w:pPr>
            <w:r/>
            <w:r>
              <w:rPr>
                <w:rFonts w:ascii="Calibri" w:hAnsi="Calibri"/>
                <w:b w:val="0"/>
                <w:sz w:val="15"/>
              </w:rPr>
              <w:t>Project lead</w:t>
            </w:r>
          </w:p>
        </w:tc>
      </w:tr>
      <w:tr>
        <w:tc>
          <w:tcPr>
            <w:tcW w:type="dxa" w:w="680"/>
          </w:tcPr>
          <w:p>
            <w:pPr>
              <w:spacing w:after="20" w:before="20" w:line="240" w:lineRule="auto"/>
              <w:jc w:val="center"/>
            </w:pPr>
            <w:r/>
            <w:r>
              <w:rPr>
                <w:rFonts w:ascii="Calibri" w:hAnsi="Calibri"/>
                <w:b w:val="0"/>
                <w:sz w:val="15"/>
              </w:rPr>
              <w:t>R-07</w:t>
            </w:r>
          </w:p>
        </w:tc>
        <w:tc>
          <w:tcPr>
            <w:tcW w:type="dxa" w:w="2835"/>
          </w:tcPr>
          <w:p>
            <w:pPr>
              <w:spacing w:after="20" w:before="20" w:line="240" w:lineRule="auto"/>
            </w:pPr>
            <w:r/>
            <w:r>
              <w:rPr>
                <w:rFonts w:ascii="Calibri" w:hAnsi="Calibri"/>
                <w:b w:val="0"/>
                <w:sz w:val="15"/>
              </w:rPr>
              <w:t>Beneficiary data inconsistent across projects</w:t>
            </w:r>
          </w:p>
        </w:tc>
        <w:tc>
          <w:tcPr>
            <w:tcW w:type="dxa" w:w="1020"/>
          </w:tcPr>
          <w:p>
            <w:pPr>
              <w:spacing w:after="20" w:before="20" w:line="240" w:lineRule="auto"/>
              <w:jc w:val="center"/>
            </w:pPr>
            <w:r/>
            <w:r>
              <w:rPr>
                <w:rFonts w:ascii="Calibri" w:hAnsi="Calibri"/>
                <w:b w:val="0"/>
                <w:sz w:val="15"/>
              </w:rPr>
              <w:t>High</w:t>
            </w:r>
          </w:p>
        </w:tc>
        <w:tc>
          <w:tcPr>
            <w:tcW w:type="dxa" w:w="794"/>
          </w:tcPr>
          <w:p>
            <w:pPr>
              <w:spacing w:after="20" w:before="20" w:line="240" w:lineRule="auto"/>
              <w:jc w:val="center"/>
            </w:pPr>
            <w:r/>
            <w:r>
              <w:rPr>
                <w:rFonts w:ascii="Calibri" w:hAnsi="Calibri"/>
                <w:b w:val="0"/>
                <w:sz w:val="15"/>
              </w:rPr>
              <w:t>Medium</w:t>
            </w:r>
          </w:p>
        </w:tc>
        <w:tc>
          <w:tcPr>
            <w:tcW w:type="dxa" w:w="3402"/>
          </w:tcPr>
          <w:p>
            <w:pPr>
              <w:spacing w:after="20" w:before="20" w:line="240" w:lineRule="auto"/>
            </w:pPr>
            <w:r/>
            <w:r>
              <w:rPr>
                <w:rFonts w:ascii="Calibri" w:hAnsi="Calibri"/>
                <w:b w:val="0"/>
                <w:sz w:val="15"/>
              </w:rPr>
              <w:t>Publish methodology; blank rather than zero where missing; M&amp;E validation</w:t>
            </w:r>
          </w:p>
        </w:tc>
        <w:tc>
          <w:tcPr>
            <w:tcW w:type="dxa" w:w="1020"/>
          </w:tcPr>
          <w:p>
            <w:pPr>
              <w:spacing w:after="20" w:before="20" w:line="240" w:lineRule="auto"/>
            </w:pPr>
            <w:r/>
            <w:r>
              <w:rPr>
                <w:rFonts w:ascii="Calibri" w:hAnsi="Calibri"/>
                <w:b w:val="0"/>
                <w:sz w:val="15"/>
              </w:rPr>
              <w:t>Programme</w:t>
            </w:r>
          </w:p>
        </w:tc>
      </w:tr>
      <w:tr>
        <w:tc>
          <w:tcPr>
            <w:tcW w:type="dxa" w:w="680"/>
            <w:shd w:val="clear" w:fill="F7F9FB"/>
          </w:tcPr>
          <w:p>
            <w:pPr>
              <w:spacing w:after="20" w:before="20" w:line="240" w:lineRule="auto"/>
              <w:jc w:val="center"/>
            </w:pPr>
            <w:r/>
            <w:r>
              <w:rPr>
                <w:rFonts w:ascii="Calibri" w:hAnsi="Calibri"/>
                <w:b w:val="0"/>
                <w:sz w:val="15"/>
              </w:rPr>
              <w:t>R-08</w:t>
            </w:r>
          </w:p>
        </w:tc>
        <w:tc>
          <w:tcPr>
            <w:tcW w:type="dxa" w:w="2835"/>
            <w:shd w:val="clear" w:fill="F7F9FB"/>
          </w:tcPr>
          <w:p>
            <w:pPr>
              <w:spacing w:after="20" w:before="20" w:line="240" w:lineRule="auto"/>
            </w:pPr>
            <w:r/>
            <w:r>
              <w:rPr>
                <w:rFonts w:ascii="Calibri" w:hAnsi="Calibri"/>
                <w:b w:val="0"/>
                <w:sz w:val="15"/>
              </w:rPr>
              <w:t>Key-person dependency in BI build</w:t>
            </w:r>
          </w:p>
        </w:tc>
        <w:tc>
          <w:tcPr>
            <w:tcW w:type="dxa" w:w="1020"/>
            <w:shd w:val="clear" w:fill="F7F9FB"/>
          </w:tcPr>
          <w:p>
            <w:pPr>
              <w:spacing w:after="20" w:before="20" w:line="240" w:lineRule="auto"/>
              <w:jc w:val="center"/>
            </w:pPr>
            <w:r/>
            <w:r>
              <w:rPr>
                <w:rFonts w:ascii="Calibri" w:hAnsi="Calibri"/>
                <w:b w:val="0"/>
                <w:sz w:val="15"/>
              </w:rPr>
              <w:t>Medium</w:t>
            </w:r>
          </w:p>
        </w:tc>
        <w:tc>
          <w:tcPr>
            <w:tcW w:type="dxa" w:w="794"/>
            <w:shd w:val="clear" w:fill="F7F9FB"/>
          </w:tcPr>
          <w:p>
            <w:pPr>
              <w:spacing w:after="20" w:before="20" w:line="240" w:lineRule="auto"/>
              <w:jc w:val="center"/>
            </w:pPr>
            <w:r/>
            <w:r>
              <w:rPr>
                <w:rFonts w:ascii="Calibri" w:hAnsi="Calibri"/>
                <w:b w:val="0"/>
                <w:sz w:val="15"/>
              </w:rPr>
              <w:t>Medium</w:t>
            </w:r>
          </w:p>
        </w:tc>
        <w:tc>
          <w:tcPr>
            <w:tcW w:type="dxa" w:w="3402"/>
            <w:shd w:val="clear" w:fill="F7F9FB"/>
          </w:tcPr>
          <w:p>
            <w:pPr>
              <w:spacing w:after="20" w:before="20" w:line="240" w:lineRule="auto"/>
            </w:pPr>
            <w:r/>
            <w:r>
              <w:rPr>
                <w:rFonts w:ascii="Calibri" w:hAnsi="Calibri"/>
                <w:b w:val="0"/>
                <w:sz w:val="15"/>
              </w:rPr>
              <w:t>Documentation, handover sessions, code review and repository standards</w:t>
            </w:r>
          </w:p>
        </w:tc>
        <w:tc>
          <w:tcPr>
            <w:tcW w:type="dxa" w:w="1020"/>
            <w:shd w:val="clear" w:fill="F7F9FB"/>
          </w:tcPr>
          <w:p>
            <w:pPr>
              <w:spacing w:after="20" w:before="20" w:line="240" w:lineRule="auto"/>
            </w:pPr>
            <w:r/>
            <w:r>
              <w:rPr>
                <w:rFonts w:ascii="Calibri" w:hAnsi="Calibri"/>
                <w:b w:val="0"/>
                <w:sz w:val="15"/>
              </w:rPr>
              <w:t>IT manager</w:t>
            </w:r>
          </w:p>
        </w:tc>
      </w:tr>
      <w:tr>
        <w:tc>
          <w:tcPr>
            <w:tcW w:type="dxa" w:w="680"/>
          </w:tcPr>
          <w:p>
            <w:pPr>
              <w:spacing w:after="20" w:before="20" w:line="240" w:lineRule="auto"/>
              <w:jc w:val="center"/>
            </w:pPr>
            <w:r/>
            <w:r>
              <w:rPr>
                <w:rFonts w:ascii="Calibri" w:hAnsi="Calibri"/>
                <w:b w:val="0"/>
                <w:sz w:val="15"/>
              </w:rPr>
              <w:t>R-09</w:t>
            </w:r>
          </w:p>
        </w:tc>
        <w:tc>
          <w:tcPr>
            <w:tcW w:type="dxa" w:w="2835"/>
          </w:tcPr>
          <w:p>
            <w:pPr>
              <w:spacing w:after="20" w:before="20" w:line="240" w:lineRule="auto"/>
            </w:pPr>
            <w:r/>
            <w:r>
              <w:rPr>
                <w:rFonts w:ascii="Calibri" w:hAnsi="Calibri"/>
                <w:b w:val="0"/>
                <w:sz w:val="15"/>
              </w:rPr>
              <w:t>Licensing shortfall discovered late</w:t>
            </w:r>
          </w:p>
        </w:tc>
        <w:tc>
          <w:tcPr>
            <w:tcW w:type="dxa" w:w="1020"/>
          </w:tcPr>
          <w:p>
            <w:pPr>
              <w:spacing w:after="20" w:before="20" w:line="240" w:lineRule="auto"/>
              <w:jc w:val="center"/>
            </w:pPr>
            <w:r/>
            <w:r>
              <w:rPr>
                <w:rFonts w:ascii="Calibri" w:hAnsi="Calibri"/>
                <w:b w:val="0"/>
                <w:sz w:val="15"/>
              </w:rPr>
              <w:t>Low</w:t>
            </w:r>
          </w:p>
        </w:tc>
        <w:tc>
          <w:tcPr>
            <w:tcW w:type="dxa" w:w="794"/>
          </w:tcPr>
          <w:p>
            <w:pPr>
              <w:spacing w:after="20" w:before="20" w:line="240" w:lineRule="auto"/>
              <w:jc w:val="center"/>
            </w:pPr>
            <w:r/>
            <w:r>
              <w:rPr>
                <w:rFonts w:ascii="Calibri" w:hAnsi="Calibri"/>
                <w:b w:val="0"/>
                <w:sz w:val="15"/>
              </w:rPr>
              <w:t>High</w:t>
            </w:r>
          </w:p>
        </w:tc>
        <w:tc>
          <w:tcPr>
            <w:tcW w:type="dxa" w:w="3402"/>
          </w:tcPr>
          <w:p>
            <w:pPr>
              <w:spacing w:after="20" w:before="20" w:line="240" w:lineRule="auto"/>
            </w:pPr>
            <w:r/>
            <w:r>
              <w:rPr>
                <w:rFonts w:ascii="Calibri" w:hAnsi="Calibri"/>
                <w:b w:val="0"/>
                <w:sz w:val="15"/>
              </w:rPr>
              <w:t>Confirm licensing in Phase 0 before build</w:t>
            </w:r>
          </w:p>
        </w:tc>
        <w:tc>
          <w:tcPr>
            <w:tcW w:type="dxa" w:w="1020"/>
          </w:tcPr>
          <w:p>
            <w:pPr>
              <w:spacing w:after="20" w:before="20" w:line="240" w:lineRule="auto"/>
            </w:pPr>
            <w:r/>
            <w:r>
              <w:rPr>
                <w:rFonts w:ascii="Calibri" w:hAnsi="Calibri"/>
                <w:b w:val="0"/>
                <w:sz w:val="15"/>
              </w:rPr>
              <w:t>IT manager</w:t>
            </w:r>
          </w:p>
        </w:tc>
      </w:tr>
      <w:tr>
        <w:tc>
          <w:tcPr>
            <w:tcW w:type="dxa" w:w="680"/>
            <w:shd w:val="clear" w:fill="F7F9FB"/>
          </w:tcPr>
          <w:p>
            <w:pPr>
              <w:spacing w:after="20" w:before="20" w:line="240" w:lineRule="auto"/>
              <w:jc w:val="center"/>
            </w:pPr>
            <w:r/>
            <w:r>
              <w:rPr>
                <w:rFonts w:ascii="Calibri" w:hAnsi="Calibri"/>
                <w:b w:val="0"/>
                <w:sz w:val="15"/>
              </w:rPr>
              <w:t>R-10</w:t>
            </w:r>
          </w:p>
        </w:tc>
        <w:tc>
          <w:tcPr>
            <w:tcW w:type="dxa" w:w="2835"/>
            <w:shd w:val="clear" w:fill="F7F9FB"/>
          </w:tcPr>
          <w:p>
            <w:pPr>
              <w:spacing w:after="20" w:before="20" w:line="240" w:lineRule="auto"/>
            </w:pPr>
            <w:r/>
            <w:r>
              <w:rPr>
                <w:rFonts w:ascii="Calibri" w:hAnsi="Calibri"/>
                <w:b w:val="0"/>
                <w:sz w:val="15"/>
              </w:rPr>
              <w:t>Sensitive supplier pricing exposed too broadly</w:t>
            </w:r>
          </w:p>
        </w:tc>
        <w:tc>
          <w:tcPr>
            <w:tcW w:type="dxa" w:w="1020"/>
            <w:shd w:val="clear" w:fill="F7F9FB"/>
          </w:tcPr>
          <w:p>
            <w:pPr>
              <w:spacing w:after="20" w:before="20" w:line="240" w:lineRule="auto"/>
              <w:jc w:val="center"/>
            </w:pPr>
            <w:r/>
            <w:r>
              <w:rPr>
                <w:rFonts w:ascii="Calibri" w:hAnsi="Calibri"/>
                <w:b w:val="0"/>
                <w:sz w:val="15"/>
              </w:rPr>
              <w:t>Low</w:t>
            </w:r>
          </w:p>
        </w:tc>
        <w:tc>
          <w:tcPr>
            <w:tcW w:type="dxa" w:w="794"/>
            <w:shd w:val="clear" w:fill="F7F9FB"/>
          </w:tcPr>
          <w:p>
            <w:pPr>
              <w:spacing w:after="20" w:before="20" w:line="240" w:lineRule="auto"/>
              <w:jc w:val="center"/>
            </w:pPr>
            <w:r/>
            <w:r>
              <w:rPr>
                <w:rFonts w:ascii="Calibri" w:hAnsi="Calibri"/>
                <w:b w:val="0"/>
                <w:sz w:val="15"/>
              </w:rPr>
              <w:t>Medium</w:t>
            </w:r>
          </w:p>
        </w:tc>
        <w:tc>
          <w:tcPr>
            <w:tcW w:type="dxa" w:w="3402"/>
            <w:shd w:val="clear" w:fill="F7F9FB"/>
          </w:tcPr>
          <w:p>
            <w:pPr>
              <w:spacing w:after="20" w:before="20" w:line="240" w:lineRule="auto"/>
            </w:pPr>
            <w:r/>
            <w:r>
              <w:rPr>
                <w:rFonts w:ascii="Calibri" w:hAnsi="Calibri"/>
                <w:b w:val="0"/>
                <w:sz w:val="15"/>
              </w:rPr>
              <w:t>Restrict cost and supplier detail to authorised roles</w:t>
            </w:r>
          </w:p>
        </w:tc>
        <w:tc>
          <w:tcPr>
            <w:tcW w:type="dxa" w:w="1020"/>
            <w:shd w:val="clear" w:fill="F7F9FB"/>
          </w:tcPr>
          <w:p>
            <w:pPr>
              <w:spacing w:after="20" w:before="20" w:line="240" w:lineRule="auto"/>
            </w:pPr>
            <w:r/>
            <w:r>
              <w:rPr>
                <w:rFonts w:ascii="Calibri" w:hAnsi="Calibri"/>
                <w:b w:val="0"/>
                <w:sz w:val="15"/>
              </w:rPr>
              <w:t>IT / data protection</w:t>
            </w:r>
          </w:p>
        </w:tc>
      </w:tr>
    </w:tbl>
    <w:p>
      <w:pPr>
        <w:spacing w:after="20"/>
      </w:pPr>
    </w:p>
    <w:p>
      <w:pPr>
        <w:pStyle w:val="Heading1"/>
      </w:pPr>
      <w:r>
        <w:t>19. Acceptance Criteria and UAT</w:t>
      </w:r>
    </w:p>
    <w:p>
      <w:pPr>
        <w:pStyle w:val="Heading2"/>
      </w:pPr>
      <w:r>
        <w:t>19.1 Release acceptance criteria</w:t>
      </w:r>
    </w:p>
    <w:p>
      <w:pPr>
        <w:pStyle w:val="ListBullet"/>
        <w:spacing w:after="50"/>
        <w:ind w:left="340"/>
      </w:pPr>
      <w:r>
        <w:rPr>
          <w:b/>
        </w:rPr>
        <w:t xml:space="preserve">1. </w:t>
      </w:r>
      <w:r>
        <w:t xml:space="preserve"> All Must-priority functional requirements demonstrated and signed off.</w:t>
      </w:r>
    </w:p>
    <w:p>
      <w:pPr>
        <w:pStyle w:val="ListBullet"/>
        <w:spacing w:after="50"/>
        <w:ind w:left="340"/>
      </w:pPr>
      <w:r>
        <w:rPr>
          <w:b/>
        </w:rPr>
        <w:t xml:space="preserve">2. </w:t>
      </w:r>
      <w:r>
        <w:t xml:space="preserve"> Every KPI reconciles to a control total derived independently from Oracle for three test months (including one month with a known data defect and one month-end close).</w:t>
      </w:r>
    </w:p>
    <w:p>
      <w:pPr>
        <w:pStyle w:val="ListBullet"/>
        <w:spacing w:after="50"/>
        <w:ind w:left="340"/>
      </w:pPr>
      <w:r>
        <w:rPr>
          <w:b/>
        </w:rPr>
        <w:t xml:space="preserve">3. </w:t>
      </w:r>
      <w:r>
        <w:t xml:space="preserve"> Row-level security verified by negative testing for each role, including exports and drill-through.</w:t>
      </w:r>
    </w:p>
    <w:p>
      <w:pPr>
        <w:pStyle w:val="ListBullet"/>
        <w:spacing w:after="50"/>
        <w:ind w:left="340"/>
      </w:pPr>
      <w:r>
        <w:rPr>
          <w:b/>
        </w:rPr>
        <w:t xml:space="preserve">4. </w:t>
      </w:r>
      <w:r>
        <w:t xml:space="preserve"> Performance targets met with three years of data and 40 simulated users.</w:t>
      </w:r>
    </w:p>
    <w:p>
      <w:pPr>
        <w:pStyle w:val="ListBullet"/>
        <w:spacing w:after="50"/>
        <w:ind w:left="340"/>
      </w:pPr>
      <w:r>
        <w:rPr>
          <w:b/>
        </w:rPr>
        <w:t xml:space="preserve">5. </w:t>
      </w:r>
      <w:r>
        <w:t xml:space="preserve"> Data-quality checks and control-total reconciliation run successfully in three consecutive loads.</w:t>
      </w:r>
    </w:p>
    <w:p>
      <w:pPr>
        <w:pStyle w:val="ListBullet"/>
        <w:spacing w:after="50"/>
        <w:ind w:left="340"/>
      </w:pPr>
      <w:r>
        <w:rPr>
          <w:b/>
        </w:rPr>
        <w:t xml:space="preserve">6. </w:t>
      </w:r>
      <w:r>
        <w:t xml:space="preserve"> KPI dictionary and data dictionary published in the dashboard and matching the approved version.</w:t>
      </w:r>
    </w:p>
    <w:p>
      <w:pPr>
        <w:pStyle w:val="ListBullet"/>
        <w:spacing w:after="50"/>
        <w:ind w:left="340"/>
      </w:pPr>
      <w:r>
        <w:rPr>
          <w:b/>
        </w:rPr>
        <w:t xml:space="preserve">7. </w:t>
      </w:r>
      <w:r>
        <w:t xml:space="preserve"> One-page user guide for each persona published; two training sessions delivered.</w:t>
      </w:r>
    </w:p>
    <w:p>
      <w:pPr>
        <w:pStyle w:val="ListBullet"/>
        <w:spacing w:after="50"/>
        <w:ind w:left="340"/>
      </w:pPr>
      <w:r>
        <w:rPr>
          <w:b/>
        </w:rPr>
        <w:t xml:space="preserve">8. </w:t>
      </w:r>
      <w:r>
        <w:t xml:space="preserve"> Support and ownership model agreed and documented.</w:t>
      </w:r>
    </w:p>
    <w:p>
      <w:pPr>
        <w:pStyle w:val="Heading2"/>
      </w:pPr>
      <w:r>
        <w:t>19.2 UAT scenarios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trPr>
        <w:tc>
          <w:tcPr>
            <w:tcW w:type="dxa" w:w="794"/>
            <w:shd w:val="clear" w:fill="1F3B57"/>
          </w:tcPr>
          <w:p>
            <w:pPr>
              <w:spacing w:after="20" w:before="20" w:line="240" w:lineRule="auto"/>
            </w:pPr>
            <w:r/>
            <w:r>
              <w:rPr>
                <w:rFonts w:ascii="Calibri" w:hAnsi="Calibri"/>
                <w:b/>
                <w:color w:val="FFFFFF"/>
                <w:sz w:val="15"/>
              </w:rPr>
              <w:t>ID</w:t>
            </w:r>
          </w:p>
        </w:tc>
        <w:tc>
          <w:tcPr>
            <w:tcW w:type="dxa" w:w="2381"/>
            <w:shd w:val="clear" w:fill="1F3B57"/>
          </w:tcPr>
          <w:p>
            <w:pPr>
              <w:spacing w:after="20" w:before="20" w:line="240" w:lineRule="auto"/>
            </w:pPr>
            <w:r/>
            <w:r>
              <w:rPr>
                <w:rFonts w:ascii="Calibri" w:hAnsi="Calibri"/>
                <w:b/>
                <w:color w:val="FFFFFF"/>
                <w:sz w:val="15"/>
              </w:rPr>
              <w:t>Scenario</w:t>
            </w:r>
          </w:p>
        </w:tc>
        <w:tc>
          <w:tcPr>
            <w:tcW w:type="dxa" w:w="2948"/>
            <w:shd w:val="clear" w:fill="1F3B57"/>
          </w:tcPr>
          <w:p>
            <w:pPr>
              <w:spacing w:after="20" w:before="20" w:line="240" w:lineRule="auto"/>
            </w:pPr>
            <w:r/>
            <w:r>
              <w:rPr>
                <w:rFonts w:ascii="Calibri" w:hAnsi="Calibri"/>
                <w:b/>
                <w:color w:val="FFFFFF"/>
                <w:sz w:val="15"/>
              </w:rPr>
              <w:t>Steps</w:t>
            </w:r>
          </w:p>
        </w:tc>
        <w:tc>
          <w:tcPr>
            <w:tcW w:type="dxa" w:w="3628"/>
            <w:shd w:val="clear" w:fill="1F3B57"/>
          </w:tcPr>
          <w:p>
            <w:pPr>
              <w:spacing w:after="20" w:before="20" w:line="240" w:lineRule="auto"/>
            </w:pPr>
            <w:r/>
            <w:r>
              <w:rPr>
                <w:rFonts w:ascii="Calibri" w:hAnsi="Calibri"/>
                <w:b/>
                <w:color w:val="FFFFFF"/>
                <w:sz w:val="15"/>
              </w:rPr>
              <w:t>Expected result</w:t>
            </w:r>
          </w:p>
        </w:tc>
      </w:tr>
      <w:tr>
        <w:tc>
          <w:tcPr>
            <w:tcW w:type="dxa" w:w="794"/>
          </w:tcPr>
          <w:p>
            <w:pPr>
              <w:spacing w:after="20" w:before="20" w:line="240" w:lineRule="auto"/>
              <w:jc w:val="center"/>
            </w:pPr>
            <w:r/>
            <w:r>
              <w:rPr>
                <w:rFonts w:ascii="Calibri" w:hAnsi="Calibri"/>
                <w:b w:val="0"/>
                <w:sz w:val="15"/>
              </w:rPr>
              <w:t>UT-01</w:t>
            </w:r>
          </w:p>
        </w:tc>
        <w:tc>
          <w:tcPr>
            <w:tcW w:type="dxa" w:w="2381"/>
          </w:tcPr>
          <w:p>
            <w:pPr>
              <w:spacing w:after="20" w:before="20" w:line="240" w:lineRule="auto"/>
            </w:pPr>
            <w:r/>
            <w:r>
              <w:rPr>
                <w:rFonts w:ascii="Calibri" w:hAnsi="Calibri"/>
                <w:b w:val="0"/>
                <w:sz w:val="15"/>
              </w:rPr>
              <w:t>Project consumption for a period</w:t>
            </w:r>
          </w:p>
        </w:tc>
        <w:tc>
          <w:tcPr>
            <w:tcW w:type="dxa" w:w="2948"/>
          </w:tcPr>
          <w:p>
            <w:pPr>
              <w:spacing w:after="20" w:before="20" w:line="240" w:lineRule="auto"/>
            </w:pPr>
            <w:r/>
            <w:r>
              <w:rPr>
                <w:rFonts w:ascii="Calibri" w:hAnsi="Calibri"/>
                <w:b w:val="0"/>
                <w:sz w:val="15"/>
              </w:rPr>
              <w:t>Select project, select month; view page 2</w:t>
            </w:r>
          </w:p>
        </w:tc>
        <w:tc>
          <w:tcPr>
            <w:tcW w:type="dxa" w:w="3628"/>
          </w:tcPr>
          <w:p>
            <w:pPr>
              <w:spacing w:after="20" w:before="20" w:line="240" w:lineRule="auto"/>
            </w:pPr>
            <w:r/>
            <w:r>
              <w:rPr>
                <w:rFonts w:ascii="Calibri" w:hAnsi="Calibri"/>
                <w:b w:val="0"/>
                <w:sz w:val="15"/>
              </w:rPr>
              <w:t>Consumption value matches the sum of issue lines for that project and month</w:t>
            </w:r>
          </w:p>
        </w:tc>
      </w:tr>
      <w:tr>
        <w:tc>
          <w:tcPr>
            <w:tcW w:type="dxa" w:w="794"/>
            <w:shd w:val="clear" w:fill="F7F9FB"/>
          </w:tcPr>
          <w:p>
            <w:pPr>
              <w:spacing w:after="20" w:before="20" w:line="240" w:lineRule="auto"/>
              <w:jc w:val="center"/>
            </w:pPr>
            <w:r/>
            <w:r>
              <w:rPr>
                <w:rFonts w:ascii="Calibri" w:hAnsi="Calibri"/>
                <w:b w:val="0"/>
                <w:sz w:val="15"/>
              </w:rPr>
              <w:t>UT-02</w:t>
            </w:r>
          </w:p>
        </w:tc>
        <w:tc>
          <w:tcPr>
            <w:tcW w:type="dxa" w:w="2381"/>
            <w:shd w:val="clear" w:fill="F7F9FB"/>
          </w:tcPr>
          <w:p>
            <w:pPr>
              <w:spacing w:after="20" w:before="20" w:line="240" w:lineRule="auto"/>
            </w:pPr>
            <w:r/>
            <w:r>
              <w:rPr>
                <w:rFonts w:ascii="Calibri" w:hAnsi="Calibri"/>
                <w:b w:val="0"/>
                <w:sz w:val="15"/>
              </w:rPr>
              <w:t>Consumption versus investment</w:t>
            </w:r>
          </w:p>
        </w:tc>
        <w:tc>
          <w:tcPr>
            <w:tcW w:type="dxa" w:w="2948"/>
            <w:shd w:val="clear" w:fill="F7F9FB"/>
          </w:tcPr>
          <w:p>
            <w:pPr>
              <w:spacing w:after="20" w:before="20" w:line="240" w:lineRule="auto"/>
            </w:pPr>
            <w:r/>
            <w:r>
              <w:rPr>
                <w:rFonts w:ascii="Calibri" w:hAnsi="Calibri"/>
                <w:b w:val="0"/>
                <w:sz w:val="15"/>
              </w:rPr>
              <w:t>Compare period values and ratio for a project</w:t>
            </w:r>
          </w:p>
        </w:tc>
        <w:tc>
          <w:tcPr>
            <w:tcW w:type="dxa" w:w="3628"/>
            <w:shd w:val="clear" w:fill="F7F9FB"/>
          </w:tcPr>
          <w:p>
            <w:pPr>
              <w:spacing w:after="20" w:before="20" w:line="240" w:lineRule="auto"/>
            </w:pPr>
            <w:r/>
            <w:r>
              <w:rPr>
                <w:rFonts w:ascii="Calibri" w:hAnsi="Calibri"/>
                <w:b w:val="0"/>
                <w:sz w:val="15"/>
              </w:rPr>
              <w:t>Ratio and variance calculate per KPI-05 and KPI-06 and reconcile to the underlying lists</w:t>
            </w:r>
          </w:p>
        </w:tc>
      </w:tr>
      <w:tr>
        <w:tc>
          <w:tcPr>
            <w:tcW w:type="dxa" w:w="794"/>
          </w:tcPr>
          <w:p>
            <w:pPr>
              <w:spacing w:after="20" w:before="20" w:line="240" w:lineRule="auto"/>
              <w:jc w:val="center"/>
            </w:pPr>
            <w:r/>
            <w:r>
              <w:rPr>
                <w:rFonts w:ascii="Calibri" w:hAnsi="Calibri"/>
                <w:b w:val="0"/>
                <w:sz w:val="15"/>
              </w:rPr>
              <w:t>UT-03</w:t>
            </w:r>
          </w:p>
        </w:tc>
        <w:tc>
          <w:tcPr>
            <w:tcW w:type="dxa" w:w="2381"/>
          </w:tcPr>
          <w:p>
            <w:pPr>
              <w:spacing w:after="20" w:before="20" w:line="240" w:lineRule="auto"/>
            </w:pPr>
            <w:r/>
            <w:r>
              <w:rPr>
                <w:rFonts w:ascii="Calibri" w:hAnsi="Calibri"/>
                <w:b w:val="0"/>
                <w:sz w:val="15"/>
              </w:rPr>
              <w:t>Trend and growth</w:t>
            </w:r>
          </w:p>
        </w:tc>
        <w:tc>
          <w:tcPr>
            <w:tcW w:type="dxa" w:w="2948"/>
          </w:tcPr>
          <w:p>
            <w:pPr>
              <w:spacing w:after="20" w:before="20" w:line="240" w:lineRule="auto"/>
            </w:pPr>
            <w:r/>
            <w:r>
              <w:rPr>
                <w:rFonts w:ascii="Calibri" w:hAnsi="Calibri"/>
                <w:b w:val="0"/>
                <w:sz w:val="15"/>
              </w:rPr>
              <w:t>View 13-month trend and growth percentage</w:t>
            </w:r>
          </w:p>
        </w:tc>
        <w:tc>
          <w:tcPr>
            <w:tcW w:type="dxa" w:w="3628"/>
          </w:tcPr>
          <w:p>
            <w:pPr>
              <w:spacing w:after="20" w:before="20" w:line="240" w:lineRule="auto"/>
            </w:pPr>
            <w:r/>
            <w:r>
              <w:rPr>
                <w:rFonts w:ascii="Calibri" w:hAnsi="Calibri"/>
                <w:b w:val="0"/>
                <w:sz w:val="15"/>
              </w:rPr>
              <w:t>Growth equals the formula in KPI-08; blanks where prior month is zero</w:t>
            </w:r>
          </w:p>
        </w:tc>
      </w:tr>
      <w:tr>
        <w:tc>
          <w:tcPr>
            <w:tcW w:type="dxa" w:w="794"/>
            <w:shd w:val="clear" w:fill="F7F9FB"/>
          </w:tcPr>
          <w:p>
            <w:pPr>
              <w:spacing w:after="20" w:before="20" w:line="240" w:lineRule="auto"/>
              <w:jc w:val="center"/>
            </w:pPr>
            <w:r/>
            <w:r>
              <w:rPr>
                <w:rFonts w:ascii="Calibri" w:hAnsi="Calibri"/>
                <w:b w:val="0"/>
                <w:sz w:val="15"/>
              </w:rPr>
              <w:t>UT-04</w:t>
            </w:r>
          </w:p>
        </w:tc>
        <w:tc>
          <w:tcPr>
            <w:tcW w:type="dxa" w:w="2381"/>
            <w:shd w:val="clear" w:fill="F7F9FB"/>
          </w:tcPr>
          <w:p>
            <w:pPr>
              <w:spacing w:after="20" w:before="20" w:line="240" w:lineRule="auto"/>
            </w:pPr>
            <w:r/>
            <w:r>
              <w:rPr>
                <w:rFonts w:ascii="Calibri" w:hAnsi="Calibri"/>
                <w:b w:val="0"/>
                <w:sz w:val="15"/>
              </w:rPr>
              <w:t>Product drill-down</w:t>
            </w:r>
          </w:p>
        </w:tc>
        <w:tc>
          <w:tcPr>
            <w:tcW w:type="dxa" w:w="2948"/>
            <w:shd w:val="clear" w:fill="F7F9FB"/>
          </w:tcPr>
          <w:p>
            <w:pPr>
              <w:spacing w:after="20" w:before="20" w:line="240" w:lineRule="auto"/>
            </w:pPr>
            <w:r/>
            <w:r>
              <w:rPr>
                <w:rFonts w:ascii="Calibri" w:hAnsi="Calibri"/>
                <w:b w:val="0"/>
                <w:sz w:val="15"/>
              </w:rPr>
              <w:t>Drill from top product to batch and issue list</w:t>
            </w:r>
          </w:p>
        </w:tc>
        <w:tc>
          <w:tcPr>
            <w:tcW w:type="dxa" w:w="3628"/>
            <w:shd w:val="clear" w:fill="F7F9FB"/>
          </w:tcPr>
          <w:p>
            <w:pPr>
              <w:spacing w:after="20" w:before="20" w:line="240" w:lineRule="auto"/>
            </w:pPr>
            <w:r/>
            <w:r>
              <w:rPr>
                <w:rFonts w:ascii="Calibri" w:hAnsi="Calibri"/>
                <w:b w:val="0"/>
                <w:sz w:val="15"/>
              </w:rPr>
              <w:t>List sums to the selected product figure and shows document numbers</w:t>
            </w:r>
          </w:p>
        </w:tc>
      </w:tr>
      <w:tr>
        <w:tc>
          <w:tcPr>
            <w:tcW w:type="dxa" w:w="794"/>
          </w:tcPr>
          <w:p>
            <w:pPr>
              <w:spacing w:after="20" w:before="20" w:line="240" w:lineRule="auto"/>
              <w:jc w:val="center"/>
            </w:pPr>
            <w:r/>
            <w:r>
              <w:rPr>
                <w:rFonts w:ascii="Calibri" w:hAnsi="Calibri"/>
                <w:b w:val="0"/>
                <w:sz w:val="15"/>
              </w:rPr>
              <w:t>UT-05</w:t>
            </w:r>
          </w:p>
        </w:tc>
        <w:tc>
          <w:tcPr>
            <w:tcW w:type="dxa" w:w="2381"/>
          </w:tcPr>
          <w:p>
            <w:pPr>
              <w:spacing w:after="20" w:before="20" w:line="240" w:lineRule="auto"/>
            </w:pPr>
            <w:r/>
            <w:r>
              <w:rPr>
                <w:rFonts w:ascii="Calibri" w:hAnsi="Calibri"/>
                <w:b w:val="0"/>
                <w:sz w:val="15"/>
              </w:rPr>
              <w:t>Unattributed consumption</w:t>
            </w:r>
          </w:p>
        </w:tc>
        <w:tc>
          <w:tcPr>
            <w:tcW w:type="dxa" w:w="2948"/>
          </w:tcPr>
          <w:p>
            <w:pPr>
              <w:spacing w:after="20" w:before="20" w:line="240" w:lineRule="auto"/>
            </w:pPr>
            <w:r/>
            <w:r>
              <w:rPr>
                <w:rFonts w:ascii="Calibri" w:hAnsi="Calibri"/>
                <w:b w:val="0"/>
                <w:sz w:val="15"/>
              </w:rPr>
              <w:t>Open the exception panel for a month with unattributed issues</w:t>
            </w:r>
          </w:p>
        </w:tc>
        <w:tc>
          <w:tcPr>
            <w:tcW w:type="dxa" w:w="3628"/>
          </w:tcPr>
          <w:p>
            <w:pPr>
              <w:spacing w:after="20" w:before="20" w:line="240" w:lineRule="auto"/>
            </w:pPr>
            <w:r/>
            <w:r>
              <w:rPr>
                <w:rFonts w:ascii="Calibri" w:hAnsi="Calibri"/>
                <w:b w:val="0"/>
                <w:sz w:val="15"/>
              </w:rPr>
              <w:t>Value is reported separately, appears in totals, and is not allocated to any project</w:t>
            </w:r>
          </w:p>
        </w:tc>
      </w:tr>
      <w:tr>
        <w:tc>
          <w:tcPr>
            <w:tcW w:type="dxa" w:w="794"/>
            <w:shd w:val="clear" w:fill="F7F9FB"/>
          </w:tcPr>
          <w:p>
            <w:pPr>
              <w:spacing w:after="20" w:before="20" w:line="240" w:lineRule="auto"/>
              <w:jc w:val="center"/>
            </w:pPr>
            <w:r/>
            <w:r>
              <w:rPr>
                <w:rFonts w:ascii="Calibri" w:hAnsi="Calibri"/>
                <w:b w:val="0"/>
                <w:sz w:val="15"/>
              </w:rPr>
              <w:t>UT-06</w:t>
            </w:r>
          </w:p>
        </w:tc>
        <w:tc>
          <w:tcPr>
            <w:tcW w:type="dxa" w:w="2381"/>
            <w:shd w:val="clear" w:fill="F7F9FB"/>
          </w:tcPr>
          <w:p>
            <w:pPr>
              <w:spacing w:after="20" w:before="20" w:line="240" w:lineRule="auto"/>
            </w:pPr>
            <w:r/>
            <w:r>
              <w:rPr>
                <w:rFonts w:ascii="Calibri" w:hAnsi="Calibri"/>
                <w:b w:val="0"/>
                <w:sz w:val="15"/>
              </w:rPr>
              <w:t>Zero-value purchase</w:t>
            </w:r>
          </w:p>
        </w:tc>
        <w:tc>
          <w:tcPr>
            <w:tcW w:type="dxa" w:w="2948"/>
            <w:shd w:val="clear" w:fill="F7F9FB"/>
          </w:tcPr>
          <w:p>
            <w:pPr>
              <w:spacing w:after="20" w:before="20" w:line="240" w:lineRule="auto"/>
            </w:pPr>
            <w:r/>
            <w:r>
              <w:rPr>
                <w:rFonts w:ascii="Calibri" w:hAnsi="Calibri"/>
                <w:b w:val="0"/>
                <w:sz w:val="15"/>
              </w:rPr>
              <w:t>Filter purchase analysis for donated stock</w:t>
            </w:r>
          </w:p>
        </w:tc>
        <w:tc>
          <w:tcPr>
            <w:tcW w:type="dxa" w:w="3628"/>
            <w:shd w:val="clear" w:fill="F7F9FB"/>
          </w:tcPr>
          <w:p>
            <w:pPr>
              <w:spacing w:after="20" w:before="20" w:line="240" w:lineRule="auto"/>
            </w:pPr>
            <w:r/>
            <w:r>
              <w:rPr>
                <w:rFonts w:ascii="Calibri" w:hAnsi="Calibri"/>
                <w:b w:val="0"/>
                <w:sz w:val="15"/>
              </w:rPr>
              <w:t>Excluded from average price; shown separately as in-kind</w:t>
            </w:r>
          </w:p>
        </w:tc>
      </w:tr>
      <w:tr>
        <w:tc>
          <w:tcPr>
            <w:tcW w:type="dxa" w:w="794"/>
          </w:tcPr>
          <w:p>
            <w:pPr>
              <w:spacing w:after="20" w:before="20" w:line="240" w:lineRule="auto"/>
              <w:jc w:val="center"/>
            </w:pPr>
            <w:r/>
            <w:r>
              <w:rPr>
                <w:rFonts w:ascii="Calibri" w:hAnsi="Calibri"/>
                <w:b w:val="0"/>
                <w:sz w:val="15"/>
              </w:rPr>
              <w:t>UT-07</w:t>
            </w:r>
          </w:p>
        </w:tc>
        <w:tc>
          <w:tcPr>
            <w:tcW w:type="dxa" w:w="2381"/>
          </w:tcPr>
          <w:p>
            <w:pPr>
              <w:spacing w:after="20" w:before="20" w:line="240" w:lineRule="auto"/>
            </w:pPr>
            <w:r/>
            <w:r>
              <w:rPr>
                <w:rFonts w:ascii="Calibri" w:hAnsi="Calibri"/>
                <w:b w:val="0"/>
                <w:sz w:val="15"/>
              </w:rPr>
              <w:t>Duplicate receipts</w:t>
            </w:r>
          </w:p>
        </w:tc>
        <w:tc>
          <w:tcPr>
            <w:tcW w:type="dxa" w:w="2948"/>
          </w:tcPr>
          <w:p>
            <w:pPr>
              <w:spacing w:after="20" w:before="20" w:line="240" w:lineRule="auto"/>
            </w:pPr>
            <w:r/>
            <w:r>
              <w:rPr>
                <w:rFonts w:ascii="Calibri" w:hAnsi="Calibri"/>
                <w:b w:val="0"/>
                <w:sz w:val="15"/>
              </w:rPr>
              <w:t>Run the duplicate GRN check</w:t>
            </w:r>
          </w:p>
        </w:tc>
        <w:tc>
          <w:tcPr>
            <w:tcW w:type="dxa" w:w="3628"/>
          </w:tcPr>
          <w:p>
            <w:pPr>
              <w:spacing w:after="20" w:before="20" w:line="240" w:lineRule="auto"/>
            </w:pPr>
            <w:r/>
            <w:r>
              <w:rPr>
                <w:rFonts w:ascii="Calibri" w:hAnsi="Calibri"/>
                <w:b w:val="0"/>
                <w:sz w:val="15"/>
              </w:rPr>
              <w:t>Duplicate pair identified once, with value and recommended action</w:t>
            </w:r>
          </w:p>
        </w:tc>
      </w:tr>
      <w:tr>
        <w:tc>
          <w:tcPr>
            <w:tcW w:type="dxa" w:w="794"/>
            <w:shd w:val="clear" w:fill="F7F9FB"/>
          </w:tcPr>
          <w:p>
            <w:pPr>
              <w:spacing w:after="20" w:before="20" w:line="240" w:lineRule="auto"/>
              <w:jc w:val="center"/>
            </w:pPr>
            <w:r/>
            <w:r>
              <w:rPr>
                <w:rFonts w:ascii="Calibri" w:hAnsi="Calibri"/>
                <w:b w:val="0"/>
                <w:sz w:val="15"/>
              </w:rPr>
              <w:t>UT-08</w:t>
            </w:r>
          </w:p>
        </w:tc>
        <w:tc>
          <w:tcPr>
            <w:tcW w:type="dxa" w:w="2381"/>
            <w:shd w:val="clear" w:fill="F7F9FB"/>
          </w:tcPr>
          <w:p>
            <w:pPr>
              <w:spacing w:after="20" w:before="20" w:line="240" w:lineRule="auto"/>
            </w:pPr>
            <w:r/>
            <w:r>
              <w:rPr>
                <w:rFonts w:ascii="Calibri" w:hAnsi="Calibri"/>
                <w:b w:val="0"/>
                <w:sz w:val="15"/>
              </w:rPr>
              <w:t>Near-expiry report</w:t>
            </w:r>
          </w:p>
        </w:tc>
        <w:tc>
          <w:tcPr>
            <w:tcW w:type="dxa" w:w="2948"/>
            <w:shd w:val="clear" w:fill="F7F9FB"/>
          </w:tcPr>
          <w:p>
            <w:pPr>
              <w:spacing w:after="20" w:before="20" w:line="240" w:lineRule="auto"/>
            </w:pPr>
            <w:r/>
            <w:r>
              <w:rPr>
                <w:rFonts w:ascii="Calibri" w:hAnsi="Calibri"/>
                <w:b w:val="0"/>
                <w:sz w:val="15"/>
              </w:rPr>
              <w:t>Set expiry window to 60 days</w:t>
            </w:r>
          </w:p>
        </w:tc>
        <w:tc>
          <w:tcPr>
            <w:tcW w:type="dxa" w:w="3628"/>
            <w:shd w:val="clear" w:fill="F7F9FB"/>
          </w:tcPr>
          <w:p>
            <w:pPr>
              <w:spacing w:after="20" w:before="20" w:line="240" w:lineRule="auto"/>
            </w:pPr>
            <w:r/>
            <w:r>
              <w:rPr>
                <w:rFonts w:ascii="Calibri" w:hAnsi="Calibri"/>
                <w:b w:val="0"/>
                <w:sz w:val="15"/>
              </w:rPr>
              <w:t>Only batches expiring within 60 days appear; values tie to stock on hand</w:t>
            </w:r>
          </w:p>
        </w:tc>
      </w:tr>
      <w:tr>
        <w:tc>
          <w:tcPr>
            <w:tcW w:type="dxa" w:w="794"/>
          </w:tcPr>
          <w:p>
            <w:pPr>
              <w:spacing w:after="20" w:before="20" w:line="240" w:lineRule="auto"/>
              <w:jc w:val="center"/>
            </w:pPr>
            <w:r/>
            <w:r>
              <w:rPr>
                <w:rFonts w:ascii="Calibri" w:hAnsi="Calibri"/>
                <w:b w:val="0"/>
                <w:sz w:val="15"/>
              </w:rPr>
              <w:t>UT-09</w:t>
            </w:r>
          </w:p>
        </w:tc>
        <w:tc>
          <w:tcPr>
            <w:tcW w:type="dxa" w:w="2381"/>
          </w:tcPr>
          <w:p>
            <w:pPr>
              <w:spacing w:after="20" w:before="20" w:line="240" w:lineRule="auto"/>
            </w:pPr>
            <w:r/>
            <w:r>
              <w:rPr>
                <w:rFonts w:ascii="Calibri" w:hAnsi="Calibri"/>
                <w:b w:val="0"/>
                <w:sz w:val="15"/>
              </w:rPr>
              <w:t>Budget variance</w:t>
            </w:r>
          </w:p>
        </w:tc>
        <w:tc>
          <w:tcPr>
            <w:tcW w:type="dxa" w:w="2948"/>
          </w:tcPr>
          <w:p>
            <w:pPr>
              <w:spacing w:after="20" w:before="20" w:line="240" w:lineRule="auto"/>
            </w:pPr>
            <w:r/>
            <w:r>
              <w:rPr>
                <w:rFonts w:ascii="Calibri" w:hAnsi="Calibri"/>
                <w:b w:val="0"/>
                <w:sz w:val="15"/>
              </w:rPr>
              <w:t>Select a project and fiscal year on page 4</w:t>
            </w:r>
          </w:p>
        </w:tc>
        <w:tc>
          <w:tcPr>
            <w:tcW w:type="dxa" w:w="3628"/>
          </w:tcPr>
          <w:p>
            <w:pPr>
              <w:spacing w:after="20" w:before="20" w:line="240" w:lineRule="auto"/>
            </w:pPr>
            <w:r/>
            <w:r>
              <w:rPr>
                <w:rFonts w:ascii="Calibri" w:hAnsi="Calibri"/>
                <w:b w:val="0"/>
                <w:sz w:val="15"/>
              </w:rPr>
              <w:t>Budget, consumption, variance and utilisation reconcile; missing budget flagged</w:t>
            </w:r>
          </w:p>
        </w:tc>
      </w:tr>
      <w:tr>
        <w:tc>
          <w:tcPr>
            <w:tcW w:type="dxa" w:w="794"/>
            <w:shd w:val="clear" w:fill="F7F9FB"/>
          </w:tcPr>
          <w:p>
            <w:pPr>
              <w:spacing w:after="20" w:before="20" w:line="240" w:lineRule="auto"/>
              <w:jc w:val="center"/>
            </w:pPr>
            <w:r/>
            <w:r>
              <w:rPr>
                <w:rFonts w:ascii="Calibri" w:hAnsi="Calibri"/>
                <w:b w:val="0"/>
                <w:sz w:val="15"/>
              </w:rPr>
              <w:t>UT-10</w:t>
            </w:r>
          </w:p>
        </w:tc>
        <w:tc>
          <w:tcPr>
            <w:tcW w:type="dxa" w:w="2381"/>
            <w:shd w:val="clear" w:fill="F7F9FB"/>
          </w:tcPr>
          <w:p>
            <w:pPr>
              <w:spacing w:after="20" w:before="20" w:line="240" w:lineRule="auto"/>
            </w:pPr>
            <w:r/>
            <w:r>
              <w:rPr>
                <w:rFonts w:ascii="Calibri" w:hAnsi="Calibri"/>
                <w:b w:val="0"/>
                <w:sz w:val="15"/>
              </w:rPr>
              <w:t>Cost per beneficiary</w:t>
            </w:r>
          </w:p>
        </w:tc>
        <w:tc>
          <w:tcPr>
            <w:tcW w:type="dxa" w:w="2948"/>
            <w:shd w:val="clear" w:fill="F7F9FB"/>
          </w:tcPr>
          <w:p>
            <w:pPr>
              <w:spacing w:after="20" w:before="20" w:line="240" w:lineRule="auto"/>
            </w:pPr>
            <w:r/>
            <w:r>
              <w:rPr>
                <w:rFonts w:ascii="Calibri" w:hAnsi="Calibri"/>
                <w:b w:val="0"/>
                <w:sz w:val="15"/>
              </w:rPr>
              <w:t>View a project-month with known beneficiary count</w:t>
            </w:r>
          </w:p>
        </w:tc>
        <w:tc>
          <w:tcPr>
            <w:tcW w:type="dxa" w:w="3628"/>
            <w:shd w:val="clear" w:fill="F7F9FB"/>
          </w:tcPr>
          <w:p>
            <w:pPr>
              <w:spacing w:after="20" w:before="20" w:line="240" w:lineRule="auto"/>
            </w:pPr>
            <w:r/>
            <w:r>
              <w:rPr>
                <w:rFonts w:ascii="Calibri" w:hAnsi="Calibri"/>
                <w:b w:val="0"/>
                <w:sz w:val="15"/>
              </w:rPr>
              <w:t>Value equals consumption ÷ beneficiaries; blank where count missing</w:t>
            </w:r>
          </w:p>
        </w:tc>
      </w:tr>
      <w:tr>
        <w:tc>
          <w:tcPr>
            <w:tcW w:type="dxa" w:w="794"/>
          </w:tcPr>
          <w:p>
            <w:pPr>
              <w:spacing w:after="20" w:before="20" w:line="240" w:lineRule="auto"/>
              <w:jc w:val="center"/>
            </w:pPr>
            <w:r/>
            <w:r>
              <w:rPr>
                <w:rFonts w:ascii="Calibri" w:hAnsi="Calibri"/>
                <w:b w:val="0"/>
                <w:sz w:val="15"/>
              </w:rPr>
              <w:t>UT-11</w:t>
            </w:r>
          </w:p>
        </w:tc>
        <w:tc>
          <w:tcPr>
            <w:tcW w:type="dxa" w:w="2381"/>
          </w:tcPr>
          <w:p>
            <w:pPr>
              <w:spacing w:after="20" w:before="20" w:line="240" w:lineRule="auto"/>
            </w:pPr>
            <w:r/>
            <w:r>
              <w:rPr>
                <w:rFonts w:ascii="Calibri" w:hAnsi="Calibri"/>
                <w:b w:val="0"/>
                <w:sz w:val="15"/>
              </w:rPr>
              <w:t>Role-based security</w:t>
            </w:r>
          </w:p>
        </w:tc>
        <w:tc>
          <w:tcPr>
            <w:tcW w:type="dxa" w:w="2948"/>
          </w:tcPr>
          <w:p>
            <w:pPr>
              <w:spacing w:after="20" w:before="20" w:line="240" w:lineRule="auto"/>
            </w:pPr>
            <w:r/>
            <w:r>
              <w:rPr>
                <w:rFonts w:ascii="Calibri" w:hAnsi="Calibri"/>
                <w:b w:val="0"/>
                <w:sz w:val="15"/>
              </w:rPr>
              <w:t>Log in as a project-scoped user</w:t>
            </w:r>
          </w:p>
        </w:tc>
        <w:tc>
          <w:tcPr>
            <w:tcW w:type="dxa" w:w="3628"/>
          </w:tcPr>
          <w:p>
            <w:pPr>
              <w:spacing w:after="20" w:before="20" w:line="240" w:lineRule="auto"/>
            </w:pPr>
            <w:r/>
            <w:r>
              <w:rPr>
                <w:rFonts w:ascii="Calibri" w:hAnsi="Calibri"/>
                <w:b w:val="0"/>
                <w:sz w:val="15"/>
              </w:rPr>
              <w:t>No other project's data visible in visuals, filters, exports or drill-through</w:t>
            </w:r>
          </w:p>
        </w:tc>
      </w:tr>
      <w:tr>
        <w:tc>
          <w:tcPr>
            <w:tcW w:type="dxa" w:w="794"/>
            <w:shd w:val="clear" w:fill="F7F9FB"/>
          </w:tcPr>
          <w:p>
            <w:pPr>
              <w:spacing w:after="20" w:before="20" w:line="240" w:lineRule="auto"/>
              <w:jc w:val="center"/>
            </w:pPr>
            <w:r/>
            <w:r>
              <w:rPr>
                <w:rFonts w:ascii="Calibri" w:hAnsi="Calibri"/>
                <w:b w:val="0"/>
                <w:sz w:val="15"/>
              </w:rPr>
              <w:t>UT-12</w:t>
            </w:r>
          </w:p>
        </w:tc>
        <w:tc>
          <w:tcPr>
            <w:tcW w:type="dxa" w:w="2381"/>
            <w:shd w:val="clear" w:fill="F7F9FB"/>
          </w:tcPr>
          <w:p>
            <w:pPr>
              <w:spacing w:after="20" w:before="20" w:line="240" w:lineRule="auto"/>
            </w:pPr>
            <w:r/>
            <w:r>
              <w:rPr>
                <w:rFonts w:ascii="Calibri" w:hAnsi="Calibri"/>
                <w:b w:val="0"/>
                <w:sz w:val="15"/>
              </w:rPr>
              <w:t>Data quality gate</w:t>
            </w:r>
          </w:p>
        </w:tc>
        <w:tc>
          <w:tcPr>
            <w:tcW w:type="dxa" w:w="2948"/>
            <w:shd w:val="clear" w:fill="F7F9FB"/>
          </w:tcPr>
          <w:p>
            <w:pPr>
              <w:spacing w:after="20" w:before="20" w:line="240" w:lineRule="auto"/>
            </w:pPr>
            <w:r/>
            <w:r>
              <w:rPr>
                <w:rFonts w:ascii="Calibri" w:hAnsi="Calibri"/>
                <w:b w:val="0"/>
                <w:sz w:val="15"/>
              </w:rPr>
              <w:t>Simulate a failed control-total reconciliation</w:t>
            </w:r>
          </w:p>
        </w:tc>
        <w:tc>
          <w:tcPr>
            <w:tcW w:type="dxa" w:w="3628"/>
            <w:shd w:val="clear" w:fill="F7F9FB"/>
          </w:tcPr>
          <w:p>
            <w:pPr>
              <w:spacing w:after="20" w:before="20" w:line="240" w:lineRule="auto"/>
            </w:pPr>
            <w:r/>
            <w:r>
              <w:rPr>
                <w:rFonts w:ascii="Calibri" w:hAnsi="Calibri"/>
                <w:b w:val="0"/>
                <w:sz w:val="15"/>
              </w:rPr>
              <w:t>Refresh blocked, alert raised, previous figures retained and freshness indicator shows failure</w:t>
            </w:r>
          </w:p>
        </w:tc>
      </w:tr>
      <w:tr>
        <w:tc>
          <w:tcPr>
            <w:tcW w:type="dxa" w:w="794"/>
          </w:tcPr>
          <w:p>
            <w:pPr>
              <w:spacing w:after="20" w:before="20" w:line="240" w:lineRule="auto"/>
              <w:jc w:val="center"/>
            </w:pPr>
            <w:r/>
            <w:r>
              <w:rPr>
                <w:rFonts w:ascii="Calibri" w:hAnsi="Calibri"/>
                <w:b w:val="0"/>
                <w:sz w:val="15"/>
              </w:rPr>
              <w:t>UT-13</w:t>
            </w:r>
          </w:p>
        </w:tc>
        <w:tc>
          <w:tcPr>
            <w:tcW w:type="dxa" w:w="2381"/>
          </w:tcPr>
          <w:p>
            <w:pPr>
              <w:spacing w:after="20" w:before="20" w:line="240" w:lineRule="auto"/>
            </w:pPr>
            <w:r/>
            <w:r>
              <w:rPr>
                <w:rFonts w:ascii="Calibri" w:hAnsi="Calibri"/>
                <w:b w:val="0"/>
                <w:sz w:val="15"/>
              </w:rPr>
              <w:t>Export and schedule</w:t>
            </w:r>
          </w:p>
        </w:tc>
        <w:tc>
          <w:tcPr>
            <w:tcW w:type="dxa" w:w="2948"/>
          </w:tcPr>
          <w:p>
            <w:pPr>
              <w:spacing w:after="20" w:before="20" w:line="240" w:lineRule="auto"/>
            </w:pPr>
            <w:r/>
            <w:r>
              <w:rPr>
                <w:rFonts w:ascii="Calibri" w:hAnsi="Calibri"/>
                <w:b w:val="0"/>
                <w:sz w:val="15"/>
              </w:rPr>
              <w:t>Export page 2 to Excel; schedule weekly email</w:t>
            </w:r>
          </w:p>
        </w:tc>
        <w:tc>
          <w:tcPr>
            <w:tcW w:type="dxa" w:w="3628"/>
          </w:tcPr>
          <w:p>
            <w:pPr>
              <w:spacing w:after="20" w:before="20" w:line="240" w:lineRule="auto"/>
            </w:pPr>
            <w:r/>
            <w:r>
              <w:rPr>
                <w:rFonts w:ascii="Calibri" w:hAnsi="Calibri"/>
                <w:b w:val="0"/>
                <w:sz w:val="15"/>
              </w:rPr>
              <w:t>Export reflects current filters; scheduled email received with as-at date</w:t>
            </w:r>
          </w:p>
        </w:tc>
      </w:tr>
      <w:tr>
        <w:tc>
          <w:tcPr>
            <w:tcW w:type="dxa" w:w="794"/>
            <w:shd w:val="clear" w:fill="F7F9FB"/>
          </w:tcPr>
          <w:p>
            <w:pPr>
              <w:spacing w:after="20" w:before="20" w:line="240" w:lineRule="auto"/>
              <w:jc w:val="center"/>
            </w:pPr>
            <w:r/>
            <w:r>
              <w:rPr>
                <w:rFonts w:ascii="Calibri" w:hAnsi="Calibri"/>
                <w:b w:val="0"/>
                <w:sz w:val="15"/>
              </w:rPr>
              <w:t>UT-14</w:t>
            </w:r>
          </w:p>
        </w:tc>
        <w:tc>
          <w:tcPr>
            <w:tcW w:type="dxa" w:w="2381"/>
            <w:shd w:val="clear" w:fill="F7F9FB"/>
          </w:tcPr>
          <w:p>
            <w:pPr>
              <w:spacing w:after="20" w:before="20" w:line="240" w:lineRule="auto"/>
            </w:pPr>
            <w:r/>
            <w:r>
              <w:rPr>
                <w:rFonts w:ascii="Calibri" w:hAnsi="Calibri"/>
                <w:b w:val="0"/>
                <w:sz w:val="15"/>
              </w:rPr>
              <w:t>Definitions</w:t>
            </w:r>
          </w:p>
        </w:tc>
        <w:tc>
          <w:tcPr>
            <w:tcW w:type="dxa" w:w="2948"/>
            <w:shd w:val="clear" w:fill="F7F9FB"/>
          </w:tcPr>
          <w:p>
            <w:pPr>
              <w:spacing w:after="20" w:before="20" w:line="240" w:lineRule="auto"/>
            </w:pPr>
            <w:r/>
            <w:r>
              <w:rPr>
                <w:rFonts w:ascii="Calibri" w:hAnsi="Calibri"/>
                <w:b w:val="0"/>
                <w:sz w:val="15"/>
              </w:rPr>
              <w:t>Open KPI definitions from page 3</w:t>
            </w:r>
          </w:p>
        </w:tc>
        <w:tc>
          <w:tcPr>
            <w:tcW w:type="dxa" w:w="3628"/>
            <w:shd w:val="clear" w:fill="F7F9FB"/>
          </w:tcPr>
          <w:p>
            <w:pPr>
              <w:spacing w:after="20" w:before="20" w:line="240" w:lineRule="auto"/>
            </w:pPr>
            <w:r/>
            <w:r>
              <w:rPr>
                <w:rFonts w:ascii="Calibri" w:hAnsi="Calibri"/>
                <w:b w:val="0"/>
                <w:sz w:val="15"/>
              </w:rPr>
              <w:t>Definitions match the approved dictionary version</w:t>
            </w:r>
          </w:p>
        </w:tc>
      </w:tr>
    </w:tbl>
    <w:p>
      <w:pPr>
        <w:spacing w:after="20"/>
      </w:pPr>
    </w:p>
    <w:p>
      <w:r>
        <w:br w:type="page"/>
      </w:r>
    </w:p>
    <w:p>
      <w:pPr>
        <w:pStyle w:val="Heading1"/>
      </w:pPr>
      <w:r>
        <w:t>20. Delivery Approach, Phases and Timeline</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trPr>
        <w:tc>
          <w:tcPr>
            <w:tcW w:type="dxa" w:w="1814"/>
            <w:shd w:val="clear" w:fill="1F3B57"/>
          </w:tcPr>
          <w:p>
            <w:pPr>
              <w:spacing w:after="20" w:before="20" w:line="240" w:lineRule="auto"/>
            </w:pPr>
            <w:r/>
            <w:r>
              <w:rPr>
                <w:rFonts w:ascii="Calibri" w:hAnsi="Calibri"/>
                <w:b/>
                <w:color w:val="FFFFFF"/>
                <w:sz w:val="15"/>
              </w:rPr>
              <w:t>Phase</w:t>
            </w:r>
          </w:p>
        </w:tc>
        <w:tc>
          <w:tcPr>
            <w:tcW w:type="dxa" w:w="3175"/>
            <w:shd w:val="clear" w:fill="1F3B57"/>
          </w:tcPr>
          <w:p>
            <w:pPr>
              <w:spacing w:after="20" w:before="20" w:line="240" w:lineRule="auto"/>
            </w:pPr>
            <w:r/>
            <w:r>
              <w:rPr>
                <w:rFonts w:ascii="Calibri" w:hAnsi="Calibri"/>
                <w:b/>
                <w:color w:val="FFFFFF"/>
                <w:sz w:val="15"/>
              </w:rPr>
              <w:t>Key activities</w:t>
            </w:r>
          </w:p>
        </w:tc>
        <w:tc>
          <w:tcPr>
            <w:tcW w:type="dxa" w:w="2494"/>
            <w:shd w:val="clear" w:fill="1F3B57"/>
          </w:tcPr>
          <w:p>
            <w:pPr>
              <w:spacing w:after="20" w:before="20" w:line="240" w:lineRule="auto"/>
            </w:pPr>
            <w:r/>
            <w:r>
              <w:rPr>
                <w:rFonts w:ascii="Calibri" w:hAnsi="Calibri"/>
                <w:b/>
                <w:color w:val="FFFFFF"/>
                <w:sz w:val="15"/>
              </w:rPr>
              <w:t>Deliverables</w:t>
            </w:r>
          </w:p>
        </w:tc>
        <w:tc>
          <w:tcPr>
            <w:tcW w:type="dxa" w:w="907"/>
            <w:shd w:val="clear" w:fill="1F3B57"/>
          </w:tcPr>
          <w:p>
            <w:pPr>
              <w:spacing w:after="20" w:before="20" w:line="240" w:lineRule="auto"/>
            </w:pPr>
            <w:r/>
            <w:r>
              <w:rPr>
                <w:rFonts w:ascii="Calibri" w:hAnsi="Calibri"/>
                <w:b/>
                <w:color w:val="FFFFFF"/>
                <w:sz w:val="15"/>
              </w:rPr>
              <w:t>Duration</w:t>
            </w:r>
          </w:p>
        </w:tc>
        <w:tc>
          <w:tcPr>
            <w:tcW w:type="dxa" w:w="1361"/>
            <w:shd w:val="clear" w:fill="1F3B57"/>
          </w:tcPr>
          <w:p>
            <w:pPr>
              <w:spacing w:after="20" w:before="20" w:line="240" w:lineRule="auto"/>
            </w:pPr>
            <w:r/>
            <w:r>
              <w:rPr>
                <w:rFonts w:ascii="Calibri" w:hAnsi="Calibri"/>
                <w:b/>
                <w:color w:val="FFFFFF"/>
                <w:sz w:val="15"/>
              </w:rPr>
              <w:t>Exit criteria</w:t>
            </w:r>
          </w:p>
        </w:tc>
      </w:tr>
      <w:tr>
        <w:tc>
          <w:tcPr>
            <w:tcW w:type="dxa" w:w="1814"/>
          </w:tcPr>
          <w:p>
            <w:pPr>
              <w:spacing w:after="20" w:before="20" w:line="240" w:lineRule="auto"/>
            </w:pPr>
            <w:r/>
            <w:r>
              <w:rPr>
                <w:rFonts w:ascii="Calibri" w:hAnsi="Calibri"/>
                <w:b w:val="0"/>
                <w:sz w:val="15"/>
              </w:rPr>
              <w:t>Phase 0 – Discover and define</w:t>
            </w:r>
          </w:p>
        </w:tc>
        <w:tc>
          <w:tcPr>
            <w:tcW w:type="dxa" w:w="3175"/>
          </w:tcPr>
          <w:p>
            <w:pPr>
              <w:spacing w:after="20" w:before="20" w:line="240" w:lineRule="auto"/>
            </w:pPr>
            <w:r/>
            <w:r>
              <w:rPr>
                <w:rFonts w:ascii="Calibri" w:hAnsi="Calibri"/>
                <w:b w:val="0"/>
                <w:sz w:val="15"/>
              </w:rPr>
              <w:t>Requirements workshops; KPI definition sign-off; Oracle data profiling; security model; sample data validation</w:t>
            </w:r>
          </w:p>
        </w:tc>
        <w:tc>
          <w:tcPr>
            <w:tcW w:type="dxa" w:w="2494"/>
          </w:tcPr>
          <w:p>
            <w:pPr>
              <w:spacing w:after="20" w:before="20" w:line="240" w:lineRule="auto"/>
            </w:pPr>
            <w:r/>
            <w:r>
              <w:rPr>
                <w:rFonts w:ascii="Calibri" w:hAnsi="Calibri"/>
                <w:b w:val="0"/>
                <w:sz w:val="15"/>
              </w:rPr>
              <w:t>Approved BRD; KPI dictionary; data profile report; security model note</w:t>
            </w:r>
          </w:p>
        </w:tc>
        <w:tc>
          <w:tcPr>
            <w:tcW w:type="dxa" w:w="907"/>
          </w:tcPr>
          <w:p>
            <w:pPr>
              <w:spacing w:after="20" w:before="20" w:line="240" w:lineRule="auto"/>
              <w:jc w:val="center"/>
            </w:pPr>
            <w:r/>
            <w:r>
              <w:rPr>
                <w:rFonts w:ascii="Calibri" w:hAnsi="Calibri"/>
                <w:b w:val="0"/>
                <w:sz w:val="15"/>
              </w:rPr>
              <w:t>3 weeks</w:t>
            </w:r>
          </w:p>
        </w:tc>
        <w:tc>
          <w:tcPr>
            <w:tcW w:type="dxa" w:w="1361"/>
          </w:tcPr>
          <w:p>
            <w:pPr>
              <w:spacing w:after="20" w:before="20" w:line="240" w:lineRule="auto"/>
            </w:pPr>
            <w:r/>
            <w:r>
              <w:rPr>
                <w:rFonts w:ascii="Calibri" w:hAnsi="Calibri"/>
                <w:b w:val="0"/>
                <w:sz w:val="15"/>
              </w:rPr>
              <w:t>BRD and KPI dictionary signed off</w:t>
            </w:r>
          </w:p>
        </w:tc>
      </w:tr>
      <w:tr>
        <w:tc>
          <w:tcPr>
            <w:tcW w:type="dxa" w:w="1814"/>
            <w:shd w:val="clear" w:fill="F7F9FB"/>
          </w:tcPr>
          <w:p>
            <w:pPr>
              <w:spacing w:after="20" w:before="20" w:line="240" w:lineRule="auto"/>
            </w:pPr>
            <w:r/>
            <w:r>
              <w:rPr>
                <w:rFonts w:ascii="Calibri" w:hAnsi="Calibri"/>
                <w:b w:val="0"/>
                <w:sz w:val="15"/>
              </w:rPr>
              <w:t>Phase 1 – Core build</w:t>
            </w:r>
          </w:p>
        </w:tc>
        <w:tc>
          <w:tcPr>
            <w:tcW w:type="dxa" w:w="3175"/>
            <w:shd w:val="clear" w:fill="F7F9FB"/>
          </w:tcPr>
          <w:p>
            <w:pPr>
              <w:spacing w:after="20" w:before="20" w:line="240" w:lineRule="auto"/>
            </w:pPr>
            <w:r/>
            <w:r>
              <w:rPr>
                <w:rFonts w:ascii="Calibri" w:hAnsi="Calibri"/>
                <w:b w:val="0"/>
                <w:sz w:val="15"/>
              </w:rPr>
              <w:t>Extract and staging; star schema; core pages 1, 2 and 5; budget variance; exception logic</w:t>
            </w:r>
          </w:p>
        </w:tc>
        <w:tc>
          <w:tcPr>
            <w:tcW w:type="dxa" w:w="2494"/>
            <w:shd w:val="clear" w:fill="F7F9FB"/>
          </w:tcPr>
          <w:p>
            <w:pPr>
              <w:spacing w:after="20" w:before="20" w:line="240" w:lineRule="auto"/>
            </w:pPr>
            <w:r/>
            <w:r>
              <w:rPr>
                <w:rFonts w:ascii="Calibri" w:hAnsi="Calibri"/>
                <w:b w:val="0"/>
                <w:sz w:val="15"/>
              </w:rPr>
              <w:t>Working dashboard (pages 1, 2, 5); data model documentation; reconciliation report</w:t>
            </w:r>
          </w:p>
        </w:tc>
        <w:tc>
          <w:tcPr>
            <w:tcW w:type="dxa" w:w="907"/>
            <w:shd w:val="clear" w:fill="F7F9FB"/>
          </w:tcPr>
          <w:p>
            <w:pPr>
              <w:spacing w:after="20" w:before="20" w:line="240" w:lineRule="auto"/>
              <w:jc w:val="center"/>
            </w:pPr>
            <w:r/>
            <w:r>
              <w:rPr>
                <w:rFonts w:ascii="Calibri" w:hAnsi="Calibri"/>
                <w:b w:val="0"/>
                <w:sz w:val="15"/>
              </w:rPr>
              <w:t>8 weeks</w:t>
            </w:r>
          </w:p>
        </w:tc>
        <w:tc>
          <w:tcPr>
            <w:tcW w:type="dxa" w:w="1361"/>
            <w:shd w:val="clear" w:fill="F7F9FB"/>
          </w:tcPr>
          <w:p>
            <w:pPr>
              <w:spacing w:after="20" w:before="20" w:line="240" w:lineRule="auto"/>
            </w:pPr>
            <w:r/>
            <w:r>
              <w:rPr>
                <w:rFonts w:ascii="Calibri" w:hAnsi="Calibri"/>
                <w:b w:val="0"/>
                <w:sz w:val="15"/>
              </w:rPr>
              <w:t>Control totals reconcile for three months</w:t>
            </w:r>
          </w:p>
        </w:tc>
      </w:tr>
      <w:tr>
        <w:tc>
          <w:tcPr>
            <w:tcW w:type="dxa" w:w="1814"/>
          </w:tcPr>
          <w:p>
            <w:pPr>
              <w:spacing w:after="20" w:before="20" w:line="240" w:lineRule="auto"/>
            </w:pPr>
            <w:r/>
            <w:r>
              <w:rPr>
                <w:rFonts w:ascii="Calibri" w:hAnsi="Calibri"/>
                <w:b w:val="0"/>
                <w:sz w:val="15"/>
              </w:rPr>
              <w:t>Phase 2 – Extended build</w:t>
            </w:r>
          </w:p>
        </w:tc>
        <w:tc>
          <w:tcPr>
            <w:tcW w:type="dxa" w:w="3175"/>
          </w:tcPr>
          <w:p>
            <w:pPr>
              <w:spacing w:after="20" w:before="20" w:line="240" w:lineRule="auto"/>
            </w:pPr>
            <w:r/>
            <w:r>
              <w:rPr>
                <w:rFonts w:ascii="Calibri" w:hAnsi="Calibri"/>
                <w:b w:val="0"/>
                <w:sz w:val="15"/>
              </w:rPr>
              <w:t>Stock health, expiry, supplier and price analytics; page 3 and 4 completion; cost per beneficiary; subscriptions</w:t>
            </w:r>
          </w:p>
        </w:tc>
        <w:tc>
          <w:tcPr>
            <w:tcW w:type="dxa" w:w="2494"/>
          </w:tcPr>
          <w:p>
            <w:pPr>
              <w:spacing w:after="20" w:before="20" w:line="240" w:lineRule="auto"/>
            </w:pPr>
            <w:r/>
            <w:r>
              <w:rPr>
                <w:rFonts w:ascii="Calibri" w:hAnsi="Calibri"/>
                <w:b w:val="0"/>
                <w:sz w:val="15"/>
              </w:rPr>
              <w:t>Completed pages 3 and 4; scheduled distribution; exception resolution log</w:t>
            </w:r>
          </w:p>
        </w:tc>
        <w:tc>
          <w:tcPr>
            <w:tcW w:type="dxa" w:w="907"/>
          </w:tcPr>
          <w:p>
            <w:pPr>
              <w:spacing w:after="20" w:before="20" w:line="240" w:lineRule="auto"/>
              <w:jc w:val="center"/>
            </w:pPr>
            <w:r/>
            <w:r>
              <w:rPr>
                <w:rFonts w:ascii="Calibri" w:hAnsi="Calibri"/>
                <w:b w:val="0"/>
                <w:sz w:val="15"/>
              </w:rPr>
              <w:t>5 weeks</w:t>
            </w:r>
          </w:p>
        </w:tc>
        <w:tc>
          <w:tcPr>
            <w:tcW w:type="dxa" w:w="1361"/>
          </w:tcPr>
          <w:p>
            <w:pPr>
              <w:spacing w:after="20" w:before="20" w:line="240" w:lineRule="auto"/>
            </w:pPr>
            <w:r/>
            <w:r>
              <w:rPr>
                <w:rFonts w:ascii="Calibri" w:hAnsi="Calibri"/>
                <w:b w:val="0"/>
                <w:sz w:val="15"/>
              </w:rPr>
              <w:t>All Must requirements demonstrated</w:t>
            </w:r>
          </w:p>
        </w:tc>
      </w:tr>
      <w:tr>
        <w:tc>
          <w:tcPr>
            <w:tcW w:type="dxa" w:w="1814"/>
            <w:shd w:val="clear" w:fill="F7F9FB"/>
          </w:tcPr>
          <w:p>
            <w:pPr>
              <w:spacing w:after="20" w:before="20" w:line="240" w:lineRule="auto"/>
            </w:pPr>
            <w:r/>
            <w:r>
              <w:rPr>
                <w:rFonts w:ascii="Calibri" w:hAnsi="Calibri"/>
                <w:b w:val="0"/>
                <w:sz w:val="15"/>
              </w:rPr>
              <w:t>Phase 3 – UAT, training and go-live</w:t>
            </w:r>
          </w:p>
        </w:tc>
        <w:tc>
          <w:tcPr>
            <w:tcW w:type="dxa" w:w="3175"/>
            <w:shd w:val="clear" w:fill="F7F9FB"/>
          </w:tcPr>
          <w:p>
            <w:pPr>
              <w:spacing w:after="20" w:before="20" w:line="240" w:lineRule="auto"/>
            </w:pPr>
            <w:r/>
            <w:r>
              <w:rPr>
                <w:rFonts w:ascii="Calibri" w:hAnsi="Calibri"/>
                <w:b w:val="0"/>
                <w:sz w:val="15"/>
              </w:rPr>
              <w:t>UAT execution; defect resolution; training; handover; go-live and hypercare</w:t>
            </w:r>
          </w:p>
        </w:tc>
        <w:tc>
          <w:tcPr>
            <w:tcW w:type="dxa" w:w="2494"/>
            <w:shd w:val="clear" w:fill="F7F9FB"/>
          </w:tcPr>
          <w:p>
            <w:pPr>
              <w:spacing w:after="20" w:before="20" w:line="240" w:lineRule="auto"/>
            </w:pPr>
            <w:r/>
            <w:r>
              <w:rPr>
                <w:rFonts w:ascii="Calibri" w:hAnsi="Calibri"/>
                <w:b w:val="0"/>
                <w:sz w:val="15"/>
              </w:rPr>
              <w:t>UAT sign-off; user guides; handover pack; live solution</w:t>
            </w:r>
          </w:p>
        </w:tc>
        <w:tc>
          <w:tcPr>
            <w:tcW w:type="dxa" w:w="907"/>
            <w:shd w:val="clear" w:fill="F7F9FB"/>
          </w:tcPr>
          <w:p>
            <w:pPr>
              <w:spacing w:after="20" w:before="20" w:line="240" w:lineRule="auto"/>
              <w:jc w:val="center"/>
            </w:pPr>
            <w:r/>
            <w:r>
              <w:rPr>
                <w:rFonts w:ascii="Calibri" w:hAnsi="Calibri"/>
                <w:b w:val="0"/>
                <w:sz w:val="15"/>
              </w:rPr>
              <w:t>4 weeks</w:t>
            </w:r>
          </w:p>
        </w:tc>
        <w:tc>
          <w:tcPr>
            <w:tcW w:type="dxa" w:w="1361"/>
            <w:shd w:val="clear" w:fill="F7F9FB"/>
          </w:tcPr>
          <w:p>
            <w:pPr>
              <w:spacing w:after="20" w:before="20" w:line="240" w:lineRule="auto"/>
            </w:pPr>
            <w:r/>
            <w:r>
              <w:rPr>
                <w:rFonts w:ascii="Calibri" w:hAnsi="Calibri"/>
                <w:b w:val="0"/>
                <w:sz w:val="15"/>
              </w:rPr>
              <w:t>Acceptance criteria met and approved</w:t>
            </w:r>
          </w:p>
        </w:tc>
      </w:tr>
      <w:tr>
        <w:tc>
          <w:tcPr>
            <w:tcW w:type="dxa" w:w="1814"/>
          </w:tcPr>
          <w:p>
            <w:pPr>
              <w:spacing w:after="20" w:before="20" w:line="240" w:lineRule="auto"/>
            </w:pPr>
            <w:r/>
            <w:r>
              <w:rPr>
                <w:rFonts w:ascii="Calibri" w:hAnsi="Calibri"/>
                <w:b w:val="0"/>
                <w:sz w:val="15"/>
              </w:rPr>
              <w:t>Phase 4 – Adoption and optimise</w:t>
            </w:r>
          </w:p>
        </w:tc>
        <w:tc>
          <w:tcPr>
            <w:tcW w:type="dxa" w:w="3175"/>
          </w:tcPr>
          <w:p>
            <w:pPr>
              <w:spacing w:after="20" w:before="20" w:line="240" w:lineRule="auto"/>
            </w:pPr>
            <w:r/>
            <w:r>
              <w:rPr>
                <w:rFonts w:ascii="Calibri" w:hAnsi="Calibri"/>
                <w:b w:val="0"/>
                <w:sz w:val="15"/>
              </w:rPr>
              <w:t>Monthly review support; threshold tuning; benefit tracking; backlog for Phase 2 predictive features</w:t>
            </w:r>
          </w:p>
        </w:tc>
        <w:tc>
          <w:tcPr>
            <w:tcW w:type="dxa" w:w="2494"/>
          </w:tcPr>
          <w:p>
            <w:pPr>
              <w:spacing w:after="20" w:before="20" w:line="240" w:lineRule="auto"/>
            </w:pPr>
            <w:r/>
            <w:r>
              <w:rPr>
                <w:rFonts w:ascii="Calibri" w:hAnsi="Calibri"/>
                <w:b w:val="0"/>
                <w:sz w:val="15"/>
              </w:rPr>
              <w:t>Benefit report; tuned thresholds; prioritised enhancement backlog</w:t>
            </w:r>
          </w:p>
        </w:tc>
        <w:tc>
          <w:tcPr>
            <w:tcW w:type="dxa" w:w="907"/>
          </w:tcPr>
          <w:p>
            <w:pPr>
              <w:spacing w:after="20" w:before="20" w:line="240" w:lineRule="auto"/>
              <w:jc w:val="center"/>
            </w:pPr>
            <w:r/>
            <w:r>
              <w:rPr>
                <w:rFonts w:ascii="Calibri" w:hAnsi="Calibri"/>
                <w:b w:val="0"/>
                <w:sz w:val="15"/>
              </w:rPr>
              <w:t>4 weeks</w:t>
            </w:r>
          </w:p>
        </w:tc>
        <w:tc>
          <w:tcPr>
            <w:tcW w:type="dxa" w:w="1361"/>
          </w:tcPr>
          <w:p>
            <w:pPr>
              <w:spacing w:after="20" w:before="20" w:line="240" w:lineRule="auto"/>
            </w:pPr>
            <w:r/>
            <w:r>
              <w:rPr>
                <w:rFonts w:ascii="Calibri" w:hAnsi="Calibri"/>
                <w:b w:val="0"/>
                <w:sz w:val="15"/>
              </w:rPr>
              <w:t>Dashboard in routine use by all personas</w:t>
            </w:r>
          </w:p>
        </w:tc>
      </w:tr>
    </w:tbl>
    <w:p>
      <w:pPr>
        <w:spacing w:after="20"/>
      </w:pPr>
    </w:p>
    <w:p>
      <w:pPr>
        <w:spacing w:after="100"/>
      </w:pPr>
      <w:r>
        <w:rPr>
          <w:b w:val="0"/>
          <w:i/>
          <w:color w:val="595959"/>
          <w:sz w:val="17"/>
        </w:rPr>
        <w:t>Indicative end-to-end duration: 20 weeks from Phase 0 start, with the core release (pages 1, 2 and 5) available around week 11. Timelines assume dependencies in Section 17.3 are met.</w:t>
      </w:r>
    </w:p>
    <w:p>
      <w:pPr>
        <w:pStyle w:val="Heading2"/>
      </w:pPr>
      <w:r>
        <w:t>20.1 Roles in delivery</w:t>
      </w:r>
    </w:p>
    <w:tbl>
      <w:tblPr>
        <w:tblStyle w:val="TableGrid"/>
        <w:tblW w:type="auto" w:w="0"/>
        <w:jc w:val="center"/>
        <w:tblLayout w:type="fixed"/>
        <w:tblLook w:firstColumn="1" w:firstRow="1" w:lastColumn="0" w:lastRow="0" w:noHBand="0" w:noVBand="1" w:val="04A0"/>
      </w:tblPr>
      <w:tblGrid>
        <w:gridCol w:w="5043"/>
        <w:gridCol w:w="5043"/>
      </w:tblGrid>
      <w:tr>
        <w:trPr>
          <w:tblHeader/>
        </w:trPr>
        <w:tc>
          <w:tcPr>
            <w:tcW w:type="dxa" w:w="3061"/>
            <w:shd w:val="clear" w:fill="1F3B57"/>
          </w:tcPr>
          <w:p>
            <w:pPr>
              <w:spacing w:after="20" w:before="20" w:line="240" w:lineRule="auto"/>
            </w:pPr>
            <w:r/>
            <w:r>
              <w:rPr>
                <w:rFonts w:ascii="Calibri" w:hAnsi="Calibri"/>
                <w:b/>
                <w:color w:val="FFFFFF"/>
                <w:sz w:val="17"/>
              </w:rPr>
              <w:t>Role</w:t>
            </w:r>
          </w:p>
        </w:tc>
        <w:tc>
          <w:tcPr>
            <w:tcW w:type="dxa" w:w="6690"/>
            <w:shd w:val="clear" w:fill="1F3B57"/>
          </w:tcPr>
          <w:p>
            <w:pPr>
              <w:spacing w:after="20" w:before="20" w:line="240" w:lineRule="auto"/>
            </w:pPr>
            <w:r/>
            <w:r>
              <w:rPr>
                <w:rFonts w:ascii="Calibri" w:hAnsi="Calibri"/>
                <w:b/>
                <w:color w:val="FFFFFF"/>
                <w:sz w:val="17"/>
              </w:rPr>
              <w:t>Responsibility</w:t>
            </w:r>
          </w:p>
        </w:tc>
      </w:tr>
      <w:tr>
        <w:tc>
          <w:tcPr>
            <w:tcW w:type="dxa" w:w="3061"/>
          </w:tcPr>
          <w:p>
            <w:pPr>
              <w:spacing w:after="20" w:before="20" w:line="240" w:lineRule="auto"/>
            </w:pPr>
            <w:r/>
            <w:r>
              <w:rPr>
                <w:rFonts w:ascii="Calibri" w:hAnsi="Calibri"/>
                <w:b w:val="0"/>
                <w:sz w:val="17"/>
              </w:rPr>
              <w:t>Business owner (Head of Procurement)</w:t>
            </w:r>
          </w:p>
        </w:tc>
        <w:tc>
          <w:tcPr>
            <w:tcW w:type="dxa" w:w="6690"/>
          </w:tcPr>
          <w:p>
            <w:pPr>
              <w:spacing w:after="20" w:before="20" w:line="240" w:lineRule="auto"/>
            </w:pPr>
            <w:r/>
            <w:r>
              <w:rPr>
                <w:rFonts w:ascii="Calibri" w:hAnsi="Calibri"/>
                <w:b w:val="0"/>
                <w:sz w:val="17"/>
              </w:rPr>
              <w:t>Accountable for requirements, definitions, adoption and benefits</w:t>
            </w:r>
          </w:p>
        </w:tc>
      </w:tr>
      <w:tr>
        <w:tc>
          <w:tcPr>
            <w:tcW w:type="dxa" w:w="3061"/>
            <w:shd w:val="clear" w:fill="F7F9FB"/>
          </w:tcPr>
          <w:p>
            <w:pPr>
              <w:spacing w:after="20" w:before="20" w:line="240" w:lineRule="auto"/>
            </w:pPr>
            <w:r/>
            <w:r>
              <w:rPr>
                <w:rFonts w:ascii="Calibri" w:hAnsi="Calibri"/>
                <w:b w:val="0"/>
                <w:sz w:val="17"/>
              </w:rPr>
              <w:t>Business analyst</w:t>
            </w:r>
          </w:p>
        </w:tc>
        <w:tc>
          <w:tcPr>
            <w:tcW w:type="dxa" w:w="6690"/>
            <w:shd w:val="clear" w:fill="F7F9FB"/>
          </w:tcPr>
          <w:p>
            <w:pPr>
              <w:spacing w:after="20" w:before="20" w:line="240" w:lineRule="auto"/>
            </w:pPr>
            <w:r/>
            <w:r>
              <w:rPr>
                <w:rFonts w:ascii="Calibri" w:hAnsi="Calibri"/>
                <w:b w:val="0"/>
                <w:sz w:val="17"/>
              </w:rPr>
              <w:t>Elicitation, documentation, traceability, UAT coordination</w:t>
            </w:r>
          </w:p>
        </w:tc>
      </w:tr>
      <w:tr>
        <w:tc>
          <w:tcPr>
            <w:tcW w:type="dxa" w:w="3061"/>
          </w:tcPr>
          <w:p>
            <w:pPr>
              <w:spacing w:after="20" w:before="20" w:line="240" w:lineRule="auto"/>
            </w:pPr>
            <w:r/>
            <w:r>
              <w:rPr>
                <w:rFonts w:ascii="Calibri" w:hAnsi="Calibri"/>
                <w:b w:val="0"/>
                <w:sz w:val="17"/>
              </w:rPr>
              <w:t>BI developer</w:t>
            </w:r>
          </w:p>
        </w:tc>
        <w:tc>
          <w:tcPr>
            <w:tcW w:type="dxa" w:w="6690"/>
          </w:tcPr>
          <w:p>
            <w:pPr>
              <w:spacing w:after="20" w:before="20" w:line="240" w:lineRule="auto"/>
            </w:pPr>
            <w:r/>
            <w:r>
              <w:rPr>
                <w:rFonts w:ascii="Calibri" w:hAnsi="Calibri"/>
                <w:b w:val="0"/>
                <w:sz w:val="17"/>
              </w:rPr>
              <w:t>Data model, transformation logic, dashboard build</w:t>
            </w:r>
          </w:p>
        </w:tc>
      </w:tr>
      <w:tr>
        <w:tc>
          <w:tcPr>
            <w:tcW w:type="dxa" w:w="3061"/>
            <w:shd w:val="clear" w:fill="F7F9FB"/>
          </w:tcPr>
          <w:p>
            <w:pPr>
              <w:spacing w:after="20" w:before="20" w:line="240" w:lineRule="auto"/>
            </w:pPr>
            <w:r/>
            <w:r>
              <w:rPr>
                <w:rFonts w:ascii="Calibri" w:hAnsi="Calibri"/>
                <w:b w:val="0"/>
                <w:sz w:val="17"/>
              </w:rPr>
              <w:t>Oracle/ERP specialist</w:t>
            </w:r>
          </w:p>
        </w:tc>
        <w:tc>
          <w:tcPr>
            <w:tcW w:type="dxa" w:w="6690"/>
            <w:shd w:val="clear" w:fill="F7F9FB"/>
          </w:tcPr>
          <w:p>
            <w:pPr>
              <w:spacing w:after="20" w:before="20" w:line="240" w:lineRule="auto"/>
            </w:pPr>
            <w:r/>
            <w:r>
              <w:rPr>
                <w:rFonts w:ascii="Calibri" w:hAnsi="Calibri"/>
                <w:b w:val="0"/>
                <w:sz w:val="17"/>
              </w:rPr>
              <w:t>Extract design, source queries, table mapping</w:t>
            </w:r>
          </w:p>
        </w:tc>
      </w:tr>
      <w:tr>
        <w:tc>
          <w:tcPr>
            <w:tcW w:type="dxa" w:w="3061"/>
          </w:tcPr>
          <w:p>
            <w:pPr>
              <w:spacing w:after="20" w:before="20" w:line="240" w:lineRule="auto"/>
            </w:pPr>
            <w:r/>
            <w:r>
              <w:rPr>
                <w:rFonts w:ascii="Calibri" w:hAnsi="Calibri"/>
                <w:b w:val="0"/>
                <w:sz w:val="17"/>
              </w:rPr>
              <w:t>Data quality reviewer</w:t>
            </w:r>
          </w:p>
        </w:tc>
        <w:tc>
          <w:tcPr>
            <w:tcW w:type="dxa" w:w="6690"/>
          </w:tcPr>
          <w:p>
            <w:pPr>
              <w:spacing w:after="20" w:before="20" w:line="240" w:lineRule="auto"/>
            </w:pPr>
            <w:r/>
            <w:r>
              <w:rPr>
                <w:rFonts w:ascii="Calibri" w:hAnsi="Calibri"/>
                <w:b w:val="0"/>
                <w:sz w:val="17"/>
              </w:rPr>
              <w:t>Control totals, reconciliation, exception validation</w:t>
            </w:r>
          </w:p>
        </w:tc>
      </w:tr>
      <w:tr>
        <w:tc>
          <w:tcPr>
            <w:tcW w:type="dxa" w:w="3061"/>
            <w:shd w:val="clear" w:fill="F7F9FB"/>
          </w:tcPr>
          <w:p>
            <w:pPr>
              <w:spacing w:after="20" w:before="20" w:line="240" w:lineRule="auto"/>
            </w:pPr>
            <w:r/>
            <w:r>
              <w:rPr>
                <w:rFonts w:ascii="Calibri" w:hAnsi="Calibri"/>
                <w:b w:val="0"/>
                <w:sz w:val="17"/>
              </w:rPr>
              <w:t>Programme M&amp;E focal person</w:t>
            </w:r>
          </w:p>
        </w:tc>
        <w:tc>
          <w:tcPr>
            <w:tcW w:type="dxa" w:w="6690"/>
            <w:shd w:val="clear" w:fill="F7F9FB"/>
          </w:tcPr>
          <w:p>
            <w:pPr>
              <w:spacing w:after="20" w:before="20" w:line="240" w:lineRule="auto"/>
            </w:pPr>
            <w:r/>
            <w:r>
              <w:rPr>
                <w:rFonts w:ascii="Calibri" w:hAnsi="Calibri"/>
                <w:b w:val="0"/>
                <w:sz w:val="17"/>
              </w:rPr>
              <w:t>Service-delivery data and methodology</w:t>
            </w:r>
          </w:p>
        </w:tc>
      </w:tr>
      <w:tr>
        <w:tc>
          <w:tcPr>
            <w:tcW w:type="dxa" w:w="3061"/>
          </w:tcPr>
          <w:p>
            <w:pPr>
              <w:spacing w:after="20" w:before="20" w:line="240" w:lineRule="auto"/>
            </w:pPr>
            <w:r/>
            <w:r>
              <w:rPr>
                <w:rFonts w:ascii="Calibri" w:hAnsi="Calibri"/>
                <w:b w:val="0"/>
                <w:sz w:val="17"/>
              </w:rPr>
              <w:t>Finance focal person</w:t>
            </w:r>
          </w:p>
        </w:tc>
        <w:tc>
          <w:tcPr>
            <w:tcW w:type="dxa" w:w="6690"/>
          </w:tcPr>
          <w:p>
            <w:pPr>
              <w:spacing w:after="20" w:before="20" w:line="240" w:lineRule="auto"/>
            </w:pPr>
            <w:r/>
            <w:r>
              <w:rPr>
                <w:rFonts w:ascii="Calibri" w:hAnsi="Calibri"/>
                <w:b w:val="0"/>
                <w:sz w:val="17"/>
              </w:rPr>
              <w:t>Budget data and variance validation</w:t>
            </w:r>
          </w:p>
        </w:tc>
      </w:tr>
      <w:tr>
        <w:tc>
          <w:tcPr>
            <w:tcW w:type="dxa" w:w="3061"/>
            <w:shd w:val="clear" w:fill="F7F9FB"/>
          </w:tcPr>
          <w:p>
            <w:pPr>
              <w:spacing w:after="20" w:before="20" w:line="240" w:lineRule="auto"/>
            </w:pPr>
            <w:r/>
            <w:r>
              <w:rPr>
                <w:rFonts w:ascii="Calibri" w:hAnsi="Calibri"/>
                <w:b w:val="0"/>
                <w:sz w:val="17"/>
              </w:rPr>
              <w:t>Change and training lead</w:t>
            </w:r>
          </w:p>
        </w:tc>
        <w:tc>
          <w:tcPr>
            <w:tcW w:type="dxa" w:w="6690"/>
            <w:shd w:val="clear" w:fill="F7F9FB"/>
          </w:tcPr>
          <w:p>
            <w:pPr>
              <w:spacing w:after="20" w:before="20" w:line="240" w:lineRule="auto"/>
            </w:pPr>
            <w:r/>
            <w:r>
              <w:rPr>
                <w:rFonts w:ascii="Calibri" w:hAnsi="Calibri"/>
                <w:b w:val="0"/>
                <w:sz w:val="17"/>
              </w:rPr>
              <w:t>User guides, training, adoption tracking</w:t>
            </w:r>
          </w:p>
        </w:tc>
      </w:tr>
    </w:tbl>
    <w:p>
      <w:pPr>
        <w:spacing w:after="20"/>
      </w:pPr>
    </w:p>
    <w:p>
      <w:pPr>
        <w:pStyle w:val="Heading1"/>
      </w:pPr>
      <w:r>
        <w:t>21. Benefits and Success Measurement</w:t>
      </w:r>
    </w:p>
    <w:tbl>
      <w:tblPr>
        <w:tblStyle w:val="TableGrid"/>
        <w:tblW w:type="auto" w:w="0"/>
        <w:jc w:val="center"/>
        <w:tblLayout w:type="fixed"/>
        <w:tblLook w:firstColumn="1" w:firstRow="1" w:lastColumn="0" w:lastRow="0" w:noHBand="0" w:noVBand="1" w:val="04A0"/>
      </w:tblPr>
      <w:tblGrid>
        <w:gridCol w:w="1681"/>
        <w:gridCol w:w="1681"/>
        <w:gridCol w:w="1681"/>
        <w:gridCol w:w="1681"/>
        <w:gridCol w:w="1681"/>
        <w:gridCol w:w="1681"/>
      </w:tblGrid>
      <w:tr>
        <w:trPr>
          <w:tblHeader/>
        </w:trPr>
        <w:tc>
          <w:tcPr>
            <w:tcW w:type="dxa" w:w="737"/>
            <w:shd w:val="clear" w:fill="1F3B57"/>
          </w:tcPr>
          <w:p>
            <w:pPr>
              <w:spacing w:after="20" w:before="20" w:line="240" w:lineRule="auto"/>
            </w:pPr>
            <w:r/>
            <w:r>
              <w:rPr>
                <w:rFonts w:ascii="Calibri" w:hAnsi="Calibri"/>
                <w:b/>
                <w:color w:val="FFFFFF"/>
                <w:sz w:val="15"/>
              </w:rPr>
              <w:t>Ref</w:t>
            </w:r>
          </w:p>
        </w:tc>
        <w:tc>
          <w:tcPr>
            <w:tcW w:type="dxa" w:w="1871"/>
            <w:shd w:val="clear" w:fill="1F3B57"/>
          </w:tcPr>
          <w:p>
            <w:pPr>
              <w:spacing w:after="20" w:before="20" w:line="240" w:lineRule="auto"/>
            </w:pPr>
            <w:r/>
            <w:r>
              <w:rPr>
                <w:rFonts w:ascii="Calibri" w:hAnsi="Calibri"/>
                <w:b/>
                <w:color w:val="FFFFFF"/>
                <w:sz w:val="15"/>
              </w:rPr>
              <w:t>Benefit</w:t>
            </w:r>
          </w:p>
        </w:tc>
        <w:tc>
          <w:tcPr>
            <w:tcW w:type="dxa" w:w="2608"/>
            <w:shd w:val="clear" w:fill="1F3B57"/>
          </w:tcPr>
          <w:p>
            <w:pPr>
              <w:spacing w:after="20" w:before="20" w:line="240" w:lineRule="auto"/>
            </w:pPr>
            <w:r/>
            <w:r>
              <w:rPr>
                <w:rFonts w:ascii="Calibri" w:hAnsi="Calibri"/>
                <w:b/>
                <w:color w:val="FFFFFF"/>
                <w:sz w:val="15"/>
              </w:rPr>
              <w:t>Metric</w:t>
            </w:r>
          </w:p>
        </w:tc>
        <w:tc>
          <w:tcPr>
            <w:tcW w:type="dxa" w:w="1701"/>
            <w:shd w:val="clear" w:fill="1F3B57"/>
          </w:tcPr>
          <w:p>
            <w:pPr>
              <w:spacing w:after="20" w:before="20" w:line="240" w:lineRule="auto"/>
            </w:pPr>
            <w:r/>
            <w:r>
              <w:rPr>
                <w:rFonts w:ascii="Calibri" w:hAnsi="Calibri"/>
                <w:b/>
                <w:color w:val="FFFFFF"/>
                <w:sz w:val="15"/>
              </w:rPr>
              <w:t>Baseline (to confirm)</w:t>
            </w:r>
          </w:p>
        </w:tc>
        <w:tc>
          <w:tcPr>
            <w:tcW w:type="dxa" w:w="1587"/>
            <w:shd w:val="clear" w:fill="1F3B57"/>
          </w:tcPr>
          <w:p>
            <w:pPr>
              <w:spacing w:after="20" w:before="20" w:line="240" w:lineRule="auto"/>
            </w:pPr>
            <w:r/>
            <w:r>
              <w:rPr>
                <w:rFonts w:ascii="Calibri" w:hAnsi="Calibri"/>
                <w:b/>
                <w:color w:val="FFFFFF"/>
                <w:sz w:val="15"/>
              </w:rPr>
              <w:t>Target</w:t>
            </w:r>
          </w:p>
        </w:tc>
        <w:tc>
          <w:tcPr>
            <w:tcW w:type="dxa" w:w="1247"/>
            <w:shd w:val="clear" w:fill="1F3B57"/>
          </w:tcPr>
          <w:p>
            <w:pPr>
              <w:spacing w:after="20" w:before="20" w:line="240" w:lineRule="auto"/>
            </w:pPr>
            <w:r/>
            <w:r>
              <w:rPr>
                <w:rFonts w:ascii="Calibri" w:hAnsi="Calibri"/>
                <w:b/>
                <w:color w:val="FFFFFF"/>
                <w:sz w:val="15"/>
              </w:rPr>
              <w:t>Measured by</w:t>
            </w:r>
          </w:p>
        </w:tc>
      </w:tr>
      <w:tr>
        <w:tc>
          <w:tcPr>
            <w:tcW w:type="dxa" w:w="737"/>
          </w:tcPr>
          <w:p>
            <w:pPr>
              <w:spacing w:after="20" w:before="20" w:line="240" w:lineRule="auto"/>
              <w:jc w:val="center"/>
            </w:pPr>
            <w:r/>
            <w:r>
              <w:rPr>
                <w:rFonts w:ascii="Calibri" w:hAnsi="Calibri"/>
                <w:b w:val="0"/>
                <w:sz w:val="15"/>
              </w:rPr>
              <w:t>BN-01</w:t>
            </w:r>
          </w:p>
        </w:tc>
        <w:tc>
          <w:tcPr>
            <w:tcW w:type="dxa" w:w="1871"/>
          </w:tcPr>
          <w:p>
            <w:pPr>
              <w:spacing w:after="20" w:before="20" w:line="240" w:lineRule="auto"/>
            </w:pPr>
            <w:r/>
            <w:r>
              <w:rPr>
                <w:rFonts w:ascii="Calibri" w:hAnsi="Calibri"/>
                <w:b w:val="0"/>
                <w:sz w:val="15"/>
              </w:rPr>
              <w:t>Faster reporting</w:t>
            </w:r>
          </w:p>
        </w:tc>
        <w:tc>
          <w:tcPr>
            <w:tcW w:type="dxa" w:w="2608"/>
          </w:tcPr>
          <w:p>
            <w:pPr>
              <w:spacing w:after="20" w:before="20" w:line="240" w:lineRule="auto"/>
            </w:pPr>
            <w:r/>
            <w:r>
              <w:rPr>
                <w:rFonts w:ascii="Calibri" w:hAnsi="Calibri"/>
                <w:b w:val="0"/>
                <w:sz w:val="15"/>
              </w:rPr>
              <w:t>Days from month end to available consumption report</w:t>
            </w:r>
          </w:p>
        </w:tc>
        <w:tc>
          <w:tcPr>
            <w:tcW w:type="dxa" w:w="1701"/>
          </w:tcPr>
          <w:p>
            <w:pPr>
              <w:spacing w:after="20" w:before="20" w:line="240" w:lineRule="auto"/>
            </w:pPr>
            <w:r/>
            <w:r>
              <w:rPr>
                <w:rFonts w:ascii="Calibri" w:hAnsi="Calibri"/>
                <w:b w:val="0"/>
                <w:sz w:val="15"/>
              </w:rPr>
              <w:t>10–15 days</w:t>
            </w:r>
          </w:p>
        </w:tc>
        <w:tc>
          <w:tcPr>
            <w:tcW w:type="dxa" w:w="1587"/>
          </w:tcPr>
          <w:p>
            <w:pPr>
              <w:spacing w:after="20" w:before="20" w:line="240" w:lineRule="auto"/>
            </w:pPr>
            <w:r/>
            <w:r>
              <w:rPr>
                <w:rFonts w:ascii="Calibri" w:hAnsi="Calibri"/>
                <w:b w:val="0"/>
                <w:sz w:val="15"/>
              </w:rPr>
              <w:t>Same day after close; ≤ 3 days for full pack</w:t>
            </w:r>
          </w:p>
        </w:tc>
        <w:tc>
          <w:tcPr>
            <w:tcW w:type="dxa" w:w="1247"/>
          </w:tcPr>
          <w:p>
            <w:pPr>
              <w:spacing w:after="20" w:before="20" w:line="240" w:lineRule="auto"/>
            </w:pPr>
            <w:r/>
            <w:r>
              <w:rPr>
                <w:rFonts w:ascii="Calibri" w:hAnsi="Calibri"/>
                <w:b w:val="0"/>
                <w:sz w:val="15"/>
              </w:rPr>
              <w:t>Finance</w:t>
            </w:r>
          </w:p>
        </w:tc>
      </w:tr>
      <w:tr>
        <w:tc>
          <w:tcPr>
            <w:tcW w:type="dxa" w:w="737"/>
            <w:shd w:val="clear" w:fill="F7F9FB"/>
          </w:tcPr>
          <w:p>
            <w:pPr>
              <w:spacing w:after="20" w:before="20" w:line="240" w:lineRule="auto"/>
              <w:jc w:val="center"/>
            </w:pPr>
            <w:r/>
            <w:r>
              <w:rPr>
                <w:rFonts w:ascii="Calibri" w:hAnsi="Calibri"/>
                <w:b w:val="0"/>
                <w:sz w:val="15"/>
              </w:rPr>
              <w:t>BN-02</w:t>
            </w:r>
          </w:p>
        </w:tc>
        <w:tc>
          <w:tcPr>
            <w:tcW w:type="dxa" w:w="1871"/>
            <w:shd w:val="clear" w:fill="F7F9FB"/>
          </w:tcPr>
          <w:p>
            <w:pPr>
              <w:spacing w:after="20" w:before="20" w:line="240" w:lineRule="auto"/>
            </w:pPr>
            <w:r/>
            <w:r>
              <w:rPr>
                <w:rFonts w:ascii="Calibri" w:hAnsi="Calibri"/>
                <w:b w:val="0"/>
                <w:sz w:val="15"/>
              </w:rPr>
              <w:t>Reduced manual effort</w:t>
            </w:r>
          </w:p>
        </w:tc>
        <w:tc>
          <w:tcPr>
            <w:tcW w:type="dxa" w:w="2608"/>
            <w:shd w:val="clear" w:fill="F7F9FB"/>
          </w:tcPr>
          <w:p>
            <w:pPr>
              <w:spacing w:after="20" w:before="20" w:line="240" w:lineRule="auto"/>
            </w:pPr>
            <w:r/>
            <w:r>
              <w:rPr>
                <w:rFonts w:ascii="Calibri" w:hAnsi="Calibri"/>
                <w:b w:val="0"/>
                <w:sz w:val="15"/>
              </w:rPr>
              <w:t>Analyst hours per month spent compiling consumption data</w:t>
            </w:r>
          </w:p>
        </w:tc>
        <w:tc>
          <w:tcPr>
            <w:tcW w:type="dxa" w:w="1701"/>
            <w:shd w:val="clear" w:fill="F7F9FB"/>
          </w:tcPr>
          <w:p>
            <w:pPr>
              <w:spacing w:after="20" w:before="20" w:line="240" w:lineRule="auto"/>
            </w:pPr>
            <w:r/>
            <w:r>
              <w:rPr>
                <w:rFonts w:ascii="Calibri" w:hAnsi="Calibri"/>
                <w:b w:val="0"/>
                <w:sz w:val="15"/>
              </w:rPr>
              <w:t>To be baselined in Phase 0</w:t>
            </w:r>
          </w:p>
        </w:tc>
        <w:tc>
          <w:tcPr>
            <w:tcW w:type="dxa" w:w="1587"/>
            <w:shd w:val="clear" w:fill="F7F9FB"/>
          </w:tcPr>
          <w:p>
            <w:pPr>
              <w:spacing w:after="20" w:before="20" w:line="240" w:lineRule="auto"/>
            </w:pPr>
            <w:r/>
            <w:r>
              <w:rPr>
                <w:rFonts w:ascii="Calibri" w:hAnsi="Calibri"/>
                <w:b w:val="0"/>
                <w:sz w:val="15"/>
              </w:rPr>
              <w:t>70% reduction</w:t>
            </w:r>
          </w:p>
        </w:tc>
        <w:tc>
          <w:tcPr>
            <w:tcW w:type="dxa" w:w="1247"/>
            <w:shd w:val="clear" w:fill="F7F9FB"/>
          </w:tcPr>
          <w:p>
            <w:pPr>
              <w:spacing w:after="20" w:before="20" w:line="240" w:lineRule="auto"/>
            </w:pPr>
            <w:r/>
            <w:r>
              <w:rPr>
                <w:rFonts w:ascii="Calibri" w:hAnsi="Calibri"/>
                <w:b w:val="0"/>
                <w:sz w:val="15"/>
              </w:rPr>
              <w:t>Head of Procurement</w:t>
            </w:r>
          </w:p>
        </w:tc>
      </w:tr>
      <w:tr>
        <w:tc>
          <w:tcPr>
            <w:tcW w:type="dxa" w:w="737"/>
          </w:tcPr>
          <w:p>
            <w:pPr>
              <w:spacing w:after="20" w:before="20" w:line="240" w:lineRule="auto"/>
              <w:jc w:val="center"/>
            </w:pPr>
            <w:r/>
            <w:r>
              <w:rPr>
                <w:rFonts w:ascii="Calibri" w:hAnsi="Calibri"/>
                <w:b w:val="0"/>
                <w:sz w:val="15"/>
              </w:rPr>
              <w:t>BN-03</w:t>
            </w:r>
          </w:p>
        </w:tc>
        <w:tc>
          <w:tcPr>
            <w:tcW w:type="dxa" w:w="1871"/>
          </w:tcPr>
          <w:p>
            <w:pPr>
              <w:spacing w:after="20" w:before="20" w:line="240" w:lineRule="auto"/>
            </w:pPr>
            <w:r/>
            <w:r>
              <w:rPr>
                <w:rFonts w:ascii="Calibri" w:hAnsi="Calibri"/>
                <w:b w:val="0"/>
                <w:sz w:val="15"/>
              </w:rPr>
              <w:t>Better purchasing</w:t>
            </w:r>
          </w:p>
        </w:tc>
        <w:tc>
          <w:tcPr>
            <w:tcW w:type="dxa" w:w="2608"/>
          </w:tcPr>
          <w:p>
            <w:pPr>
              <w:spacing w:after="20" w:before="20" w:line="240" w:lineRule="auto"/>
            </w:pPr>
            <w:r/>
            <w:r>
              <w:rPr>
                <w:rFonts w:ascii="Calibri" w:hAnsi="Calibri"/>
                <w:b w:val="0"/>
                <w:sz w:val="15"/>
              </w:rPr>
              <w:t>Value of stock expiring or written off per year</w:t>
            </w:r>
          </w:p>
        </w:tc>
        <w:tc>
          <w:tcPr>
            <w:tcW w:type="dxa" w:w="1701"/>
          </w:tcPr>
          <w:p>
            <w:pPr>
              <w:spacing w:after="20" w:before="20" w:line="240" w:lineRule="auto"/>
            </w:pPr>
            <w:r/>
            <w:r>
              <w:rPr>
                <w:rFonts w:ascii="Calibri" w:hAnsi="Calibri"/>
                <w:b w:val="0"/>
                <w:sz w:val="15"/>
              </w:rPr>
              <w:t>To be baselined</w:t>
            </w:r>
          </w:p>
        </w:tc>
        <w:tc>
          <w:tcPr>
            <w:tcW w:type="dxa" w:w="1587"/>
          </w:tcPr>
          <w:p>
            <w:pPr>
              <w:spacing w:after="20" w:before="20" w:line="240" w:lineRule="auto"/>
            </w:pPr>
            <w:r/>
            <w:r>
              <w:rPr>
                <w:rFonts w:ascii="Calibri" w:hAnsi="Calibri"/>
                <w:b w:val="0"/>
                <w:sz w:val="15"/>
              </w:rPr>
              <w:t>30% reduction year on year</w:t>
            </w:r>
          </w:p>
        </w:tc>
        <w:tc>
          <w:tcPr>
            <w:tcW w:type="dxa" w:w="1247"/>
          </w:tcPr>
          <w:p>
            <w:pPr>
              <w:spacing w:after="20" w:before="20" w:line="240" w:lineRule="auto"/>
            </w:pPr>
            <w:r/>
            <w:r>
              <w:rPr>
                <w:rFonts w:ascii="Calibri" w:hAnsi="Calibri"/>
                <w:b w:val="0"/>
                <w:sz w:val="15"/>
              </w:rPr>
              <w:t>Stores</w:t>
            </w:r>
          </w:p>
        </w:tc>
      </w:tr>
      <w:tr>
        <w:tc>
          <w:tcPr>
            <w:tcW w:type="dxa" w:w="737"/>
            <w:shd w:val="clear" w:fill="F7F9FB"/>
          </w:tcPr>
          <w:p>
            <w:pPr>
              <w:spacing w:after="20" w:before="20" w:line="240" w:lineRule="auto"/>
              <w:jc w:val="center"/>
            </w:pPr>
            <w:r/>
            <w:r>
              <w:rPr>
                <w:rFonts w:ascii="Calibri" w:hAnsi="Calibri"/>
                <w:b w:val="0"/>
                <w:sz w:val="15"/>
              </w:rPr>
              <w:t>BN-04</w:t>
            </w:r>
          </w:p>
        </w:tc>
        <w:tc>
          <w:tcPr>
            <w:tcW w:type="dxa" w:w="1871"/>
            <w:shd w:val="clear" w:fill="F7F9FB"/>
          </w:tcPr>
          <w:p>
            <w:pPr>
              <w:spacing w:after="20" w:before="20" w:line="240" w:lineRule="auto"/>
            </w:pPr>
            <w:r/>
            <w:r>
              <w:rPr>
                <w:rFonts w:ascii="Calibri" w:hAnsi="Calibri"/>
                <w:b w:val="0"/>
                <w:sz w:val="15"/>
              </w:rPr>
              <w:t>Improved stock availability</w:t>
            </w:r>
          </w:p>
        </w:tc>
        <w:tc>
          <w:tcPr>
            <w:tcW w:type="dxa" w:w="2608"/>
            <w:shd w:val="clear" w:fill="F7F9FB"/>
          </w:tcPr>
          <w:p>
            <w:pPr>
              <w:spacing w:after="20" w:before="20" w:line="240" w:lineRule="auto"/>
            </w:pPr>
            <w:r/>
            <w:r>
              <w:rPr>
                <w:rFonts w:ascii="Calibri" w:hAnsi="Calibri"/>
                <w:b w:val="0"/>
                <w:sz w:val="15"/>
              </w:rPr>
              <w:t>Item-project-months out of stock</w:t>
            </w:r>
          </w:p>
        </w:tc>
        <w:tc>
          <w:tcPr>
            <w:tcW w:type="dxa" w:w="1701"/>
            <w:shd w:val="clear" w:fill="F7F9FB"/>
          </w:tcPr>
          <w:p>
            <w:pPr>
              <w:spacing w:after="20" w:before="20" w:line="240" w:lineRule="auto"/>
            </w:pPr>
            <w:r/>
            <w:r>
              <w:rPr>
                <w:rFonts w:ascii="Calibri" w:hAnsi="Calibri"/>
                <w:b w:val="0"/>
                <w:sz w:val="15"/>
              </w:rPr>
              <w:t>To be baselined</w:t>
            </w:r>
          </w:p>
        </w:tc>
        <w:tc>
          <w:tcPr>
            <w:tcW w:type="dxa" w:w="1587"/>
            <w:shd w:val="clear" w:fill="F7F9FB"/>
          </w:tcPr>
          <w:p>
            <w:pPr>
              <w:spacing w:after="20" w:before="20" w:line="240" w:lineRule="auto"/>
            </w:pPr>
            <w:r/>
            <w:r>
              <w:rPr>
                <w:rFonts w:ascii="Calibri" w:hAnsi="Calibri"/>
                <w:b w:val="0"/>
                <w:sz w:val="15"/>
              </w:rPr>
              <w:t>50% reduction</w:t>
            </w:r>
          </w:p>
        </w:tc>
        <w:tc>
          <w:tcPr>
            <w:tcW w:type="dxa" w:w="1247"/>
            <w:shd w:val="clear" w:fill="F7F9FB"/>
          </w:tcPr>
          <w:p>
            <w:pPr>
              <w:spacing w:after="20" w:before="20" w:line="240" w:lineRule="auto"/>
            </w:pPr>
            <w:r/>
            <w:r>
              <w:rPr>
                <w:rFonts w:ascii="Calibri" w:hAnsi="Calibri"/>
                <w:b w:val="0"/>
                <w:sz w:val="15"/>
              </w:rPr>
              <w:t>Stores / Programme</w:t>
            </w:r>
          </w:p>
        </w:tc>
      </w:tr>
      <w:tr>
        <w:tc>
          <w:tcPr>
            <w:tcW w:type="dxa" w:w="737"/>
          </w:tcPr>
          <w:p>
            <w:pPr>
              <w:spacing w:after="20" w:before="20" w:line="240" w:lineRule="auto"/>
              <w:jc w:val="center"/>
            </w:pPr>
            <w:r/>
            <w:r>
              <w:rPr>
                <w:rFonts w:ascii="Calibri" w:hAnsi="Calibri"/>
                <w:b w:val="0"/>
                <w:sz w:val="15"/>
              </w:rPr>
              <w:t>BN-05</w:t>
            </w:r>
          </w:p>
        </w:tc>
        <w:tc>
          <w:tcPr>
            <w:tcW w:type="dxa" w:w="1871"/>
          </w:tcPr>
          <w:p>
            <w:pPr>
              <w:spacing w:after="20" w:before="20" w:line="240" w:lineRule="auto"/>
            </w:pPr>
            <w:r/>
            <w:r>
              <w:rPr>
                <w:rFonts w:ascii="Calibri" w:hAnsi="Calibri"/>
                <w:b w:val="0"/>
                <w:sz w:val="15"/>
              </w:rPr>
              <w:t>Value for money</w:t>
            </w:r>
          </w:p>
        </w:tc>
        <w:tc>
          <w:tcPr>
            <w:tcW w:type="dxa" w:w="2608"/>
          </w:tcPr>
          <w:p>
            <w:pPr>
              <w:spacing w:after="20" w:before="20" w:line="240" w:lineRule="auto"/>
            </w:pPr>
            <w:r/>
            <w:r>
              <w:rPr>
                <w:rFonts w:ascii="Calibri" w:hAnsi="Calibri"/>
                <w:b w:val="0"/>
                <w:sz w:val="15"/>
              </w:rPr>
              <w:t>Cost per beneficiary, compared across projects</w:t>
            </w:r>
          </w:p>
        </w:tc>
        <w:tc>
          <w:tcPr>
            <w:tcW w:type="dxa" w:w="1701"/>
          </w:tcPr>
          <w:p>
            <w:pPr>
              <w:spacing w:after="20" w:before="20" w:line="240" w:lineRule="auto"/>
            </w:pPr>
            <w:r/>
            <w:r>
              <w:rPr>
                <w:rFonts w:ascii="Calibri" w:hAnsi="Calibri"/>
                <w:b w:val="0"/>
                <w:sz w:val="15"/>
              </w:rPr>
              <w:t>Not currently measured</w:t>
            </w:r>
          </w:p>
        </w:tc>
        <w:tc>
          <w:tcPr>
            <w:tcW w:type="dxa" w:w="1587"/>
          </w:tcPr>
          <w:p>
            <w:pPr>
              <w:spacing w:after="20" w:before="20" w:line="240" w:lineRule="auto"/>
            </w:pPr>
            <w:r/>
            <w:r>
              <w:rPr>
                <w:rFonts w:ascii="Calibri" w:hAnsi="Calibri"/>
                <w:b w:val="0"/>
                <w:sz w:val="15"/>
              </w:rPr>
              <w:t>Published monthly for all projects</w:t>
            </w:r>
          </w:p>
        </w:tc>
        <w:tc>
          <w:tcPr>
            <w:tcW w:type="dxa" w:w="1247"/>
          </w:tcPr>
          <w:p>
            <w:pPr>
              <w:spacing w:after="20" w:before="20" w:line="240" w:lineRule="auto"/>
            </w:pPr>
            <w:r/>
            <w:r>
              <w:rPr>
                <w:rFonts w:ascii="Calibri" w:hAnsi="Calibri"/>
                <w:b w:val="0"/>
                <w:sz w:val="15"/>
              </w:rPr>
              <w:t>Finance / Programme</w:t>
            </w:r>
          </w:p>
        </w:tc>
      </w:tr>
      <w:tr>
        <w:tc>
          <w:tcPr>
            <w:tcW w:type="dxa" w:w="737"/>
            <w:shd w:val="clear" w:fill="F7F9FB"/>
          </w:tcPr>
          <w:p>
            <w:pPr>
              <w:spacing w:after="20" w:before="20" w:line="240" w:lineRule="auto"/>
              <w:jc w:val="center"/>
            </w:pPr>
            <w:r/>
            <w:r>
              <w:rPr>
                <w:rFonts w:ascii="Calibri" w:hAnsi="Calibri"/>
                <w:b w:val="0"/>
                <w:sz w:val="15"/>
              </w:rPr>
              <w:t>BN-06</w:t>
            </w:r>
          </w:p>
        </w:tc>
        <w:tc>
          <w:tcPr>
            <w:tcW w:type="dxa" w:w="1871"/>
            <w:shd w:val="clear" w:fill="F7F9FB"/>
          </w:tcPr>
          <w:p>
            <w:pPr>
              <w:spacing w:after="20" w:before="20" w:line="240" w:lineRule="auto"/>
            </w:pPr>
            <w:r/>
            <w:r>
              <w:rPr>
                <w:rFonts w:ascii="Calibri" w:hAnsi="Calibri"/>
                <w:b w:val="0"/>
                <w:sz w:val="15"/>
              </w:rPr>
              <w:t>Cleaner attribution</w:t>
            </w:r>
          </w:p>
        </w:tc>
        <w:tc>
          <w:tcPr>
            <w:tcW w:type="dxa" w:w="2608"/>
            <w:shd w:val="clear" w:fill="F7F9FB"/>
          </w:tcPr>
          <w:p>
            <w:pPr>
              <w:spacing w:after="20" w:before="20" w:line="240" w:lineRule="auto"/>
            </w:pPr>
            <w:r/>
            <w:r>
              <w:rPr>
                <w:rFonts w:ascii="Calibri" w:hAnsi="Calibri"/>
                <w:b w:val="0"/>
                <w:sz w:val="15"/>
              </w:rPr>
              <w:t>Unattributed consumption as a percentage of total</w:t>
            </w:r>
          </w:p>
        </w:tc>
        <w:tc>
          <w:tcPr>
            <w:tcW w:type="dxa" w:w="1701"/>
            <w:shd w:val="clear" w:fill="F7F9FB"/>
          </w:tcPr>
          <w:p>
            <w:pPr>
              <w:spacing w:after="20" w:before="20" w:line="240" w:lineRule="auto"/>
            </w:pPr>
            <w:r/>
            <w:r>
              <w:rPr>
                <w:rFonts w:ascii="Calibri" w:hAnsi="Calibri"/>
                <w:b w:val="0"/>
                <w:sz w:val="15"/>
              </w:rPr>
              <w:t>2–4%</w:t>
            </w:r>
          </w:p>
        </w:tc>
        <w:tc>
          <w:tcPr>
            <w:tcW w:type="dxa" w:w="1587"/>
            <w:shd w:val="clear" w:fill="F7F9FB"/>
          </w:tcPr>
          <w:p>
            <w:pPr>
              <w:spacing w:after="20" w:before="20" w:line="240" w:lineRule="auto"/>
            </w:pPr>
            <w:r/>
            <w:r>
              <w:rPr>
                <w:rFonts w:ascii="Calibri" w:hAnsi="Calibri"/>
                <w:b w:val="0"/>
                <w:sz w:val="15"/>
              </w:rPr>
              <w:t>Under 1%</w:t>
            </w:r>
          </w:p>
        </w:tc>
        <w:tc>
          <w:tcPr>
            <w:tcW w:type="dxa" w:w="1247"/>
            <w:shd w:val="clear" w:fill="F7F9FB"/>
          </w:tcPr>
          <w:p>
            <w:pPr>
              <w:spacing w:after="20" w:before="20" w:line="240" w:lineRule="auto"/>
            </w:pPr>
            <w:r/>
            <w:r>
              <w:rPr>
                <w:rFonts w:ascii="Calibri" w:hAnsi="Calibri"/>
                <w:b w:val="0"/>
                <w:sz w:val="15"/>
              </w:rPr>
              <w:t>Procurement</w:t>
            </w:r>
          </w:p>
        </w:tc>
      </w:tr>
      <w:tr>
        <w:tc>
          <w:tcPr>
            <w:tcW w:type="dxa" w:w="737"/>
          </w:tcPr>
          <w:p>
            <w:pPr>
              <w:spacing w:after="20" w:before="20" w:line="240" w:lineRule="auto"/>
              <w:jc w:val="center"/>
            </w:pPr>
            <w:r/>
            <w:r>
              <w:rPr>
                <w:rFonts w:ascii="Calibri" w:hAnsi="Calibri"/>
                <w:b w:val="0"/>
                <w:sz w:val="15"/>
              </w:rPr>
              <w:t>BN-07</w:t>
            </w:r>
          </w:p>
        </w:tc>
        <w:tc>
          <w:tcPr>
            <w:tcW w:type="dxa" w:w="1871"/>
          </w:tcPr>
          <w:p>
            <w:pPr>
              <w:spacing w:after="20" w:before="20" w:line="240" w:lineRule="auto"/>
            </w:pPr>
            <w:r/>
            <w:r>
              <w:rPr>
                <w:rFonts w:ascii="Calibri" w:hAnsi="Calibri"/>
                <w:b w:val="0"/>
                <w:sz w:val="15"/>
              </w:rPr>
              <w:t>Audit readiness</w:t>
            </w:r>
          </w:p>
        </w:tc>
        <w:tc>
          <w:tcPr>
            <w:tcW w:type="dxa" w:w="2608"/>
          </w:tcPr>
          <w:p>
            <w:pPr>
              <w:spacing w:after="20" w:before="20" w:line="240" w:lineRule="auto"/>
            </w:pPr>
            <w:r/>
            <w:r>
              <w:rPr>
                <w:rFonts w:ascii="Calibri" w:hAnsi="Calibri"/>
                <w:b w:val="0"/>
                <w:sz w:val="15"/>
              </w:rPr>
              <w:t>Time to respond to an audit query on commodity end-use</w:t>
            </w:r>
          </w:p>
        </w:tc>
        <w:tc>
          <w:tcPr>
            <w:tcW w:type="dxa" w:w="1701"/>
          </w:tcPr>
          <w:p>
            <w:pPr>
              <w:spacing w:after="20" w:before="20" w:line="240" w:lineRule="auto"/>
            </w:pPr>
            <w:r/>
            <w:r>
              <w:rPr>
                <w:rFonts w:ascii="Calibri" w:hAnsi="Calibri"/>
                <w:b w:val="0"/>
                <w:sz w:val="15"/>
              </w:rPr>
              <w:t>1–3 days</w:t>
            </w:r>
          </w:p>
        </w:tc>
        <w:tc>
          <w:tcPr>
            <w:tcW w:type="dxa" w:w="1587"/>
          </w:tcPr>
          <w:p>
            <w:pPr>
              <w:spacing w:after="20" w:before="20" w:line="240" w:lineRule="auto"/>
            </w:pPr>
            <w:r/>
            <w:r>
              <w:rPr>
                <w:rFonts w:ascii="Calibri" w:hAnsi="Calibri"/>
                <w:b w:val="0"/>
                <w:sz w:val="15"/>
              </w:rPr>
              <w:t>Under 2 hours</w:t>
            </w:r>
          </w:p>
        </w:tc>
        <w:tc>
          <w:tcPr>
            <w:tcW w:type="dxa" w:w="1247"/>
          </w:tcPr>
          <w:p>
            <w:pPr>
              <w:spacing w:after="20" w:before="20" w:line="240" w:lineRule="auto"/>
            </w:pPr>
            <w:r/>
            <w:r>
              <w:rPr>
                <w:rFonts w:ascii="Calibri" w:hAnsi="Calibri"/>
                <w:b w:val="0"/>
                <w:sz w:val="15"/>
              </w:rPr>
              <w:t>Internal audit</w:t>
            </w:r>
          </w:p>
        </w:tc>
      </w:tr>
      <w:tr>
        <w:tc>
          <w:tcPr>
            <w:tcW w:type="dxa" w:w="737"/>
            <w:shd w:val="clear" w:fill="F7F9FB"/>
          </w:tcPr>
          <w:p>
            <w:pPr>
              <w:spacing w:after="20" w:before="20" w:line="240" w:lineRule="auto"/>
              <w:jc w:val="center"/>
            </w:pPr>
            <w:r/>
            <w:r>
              <w:rPr>
                <w:rFonts w:ascii="Calibri" w:hAnsi="Calibri"/>
                <w:b w:val="0"/>
                <w:sz w:val="15"/>
              </w:rPr>
              <w:t>BN-08</w:t>
            </w:r>
          </w:p>
        </w:tc>
        <w:tc>
          <w:tcPr>
            <w:tcW w:type="dxa" w:w="1871"/>
            <w:shd w:val="clear" w:fill="F7F9FB"/>
          </w:tcPr>
          <w:p>
            <w:pPr>
              <w:spacing w:after="20" w:before="20" w:line="240" w:lineRule="auto"/>
            </w:pPr>
            <w:r/>
            <w:r>
              <w:rPr>
                <w:rFonts w:ascii="Calibri" w:hAnsi="Calibri"/>
                <w:b w:val="0"/>
                <w:sz w:val="15"/>
              </w:rPr>
              <w:t>Adoption</w:t>
            </w:r>
          </w:p>
        </w:tc>
        <w:tc>
          <w:tcPr>
            <w:tcW w:type="dxa" w:w="2608"/>
            <w:shd w:val="clear" w:fill="F7F9FB"/>
          </w:tcPr>
          <w:p>
            <w:pPr>
              <w:spacing w:after="20" w:before="20" w:line="240" w:lineRule="auto"/>
            </w:pPr>
            <w:r/>
            <w:r>
              <w:rPr>
                <w:rFonts w:ascii="Calibri" w:hAnsi="Calibri"/>
                <w:b w:val="0"/>
                <w:sz w:val="15"/>
              </w:rPr>
              <w:t>Active users per month; projects using the dashboard in review meetings</w:t>
            </w:r>
          </w:p>
        </w:tc>
        <w:tc>
          <w:tcPr>
            <w:tcW w:type="dxa" w:w="1701"/>
            <w:shd w:val="clear" w:fill="F7F9FB"/>
          </w:tcPr>
          <w:p>
            <w:pPr>
              <w:spacing w:after="20" w:before="20" w:line="240" w:lineRule="auto"/>
            </w:pPr>
            <w:r/>
            <w:r>
              <w:rPr>
                <w:rFonts w:ascii="Calibri" w:hAnsi="Calibri"/>
                <w:b w:val="0"/>
                <w:sz w:val="15"/>
              </w:rPr>
              <w:t>0</w:t>
            </w:r>
          </w:p>
        </w:tc>
        <w:tc>
          <w:tcPr>
            <w:tcW w:type="dxa" w:w="1587"/>
            <w:shd w:val="clear" w:fill="F7F9FB"/>
          </w:tcPr>
          <w:p>
            <w:pPr>
              <w:spacing w:after="20" w:before="20" w:line="240" w:lineRule="auto"/>
            </w:pPr>
            <w:r/>
            <w:r>
              <w:rPr>
                <w:rFonts w:ascii="Calibri" w:hAnsi="Calibri"/>
                <w:b w:val="0"/>
                <w:sz w:val="15"/>
              </w:rPr>
              <w:t>All project managers; 100% of projects</w:t>
            </w:r>
          </w:p>
        </w:tc>
        <w:tc>
          <w:tcPr>
            <w:tcW w:type="dxa" w:w="1247"/>
            <w:shd w:val="clear" w:fill="F7F9FB"/>
          </w:tcPr>
          <w:p>
            <w:pPr>
              <w:spacing w:after="20" w:before="20" w:line="240" w:lineRule="auto"/>
            </w:pPr>
            <w:r/>
            <w:r>
              <w:rPr>
                <w:rFonts w:ascii="Calibri" w:hAnsi="Calibri"/>
                <w:b w:val="0"/>
                <w:sz w:val="15"/>
              </w:rPr>
              <w:t>BI usage log / minutes</w:t>
            </w:r>
          </w:p>
        </w:tc>
      </w:tr>
    </w:tbl>
    <w:p>
      <w:pPr>
        <w:spacing w:after="20"/>
      </w:pPr>
    </w:p>
    <w:p>
      <w:pPr>
        <w:spacing w:after="100"/>
      </w:pPr>
      <w:r>
        <w:rPr>
          <w:b w:val="0"/>
          <w:i w:val="0"/>
        </w:rPr>
        <w:t>Benefits will be reviewed quarterly by the business owner, using the dashboard's own usage log and the metrics above. Any benefit not realised within two quarters triggers a review of process adoption rather than of the tool.</w:t>
      </w:r>
    </w:p>
    <w:p>
      <w:pPr>
        <w:pStyle w:val="Heading1"/>
      </w:pPr>
      <w:r>
        <w:t>22. Governance, Change Control and Support</w:t>
      </w:r>
    </w:p>
    <w:p>
      <w:pPr>
        <w:pStyle w:val="Heading2"/>
      </w:pPr>
      <w:r>
        <w:t>22.1 Governance</w:t>
      </w:r>
    </w:p>
    <w:p>
      <w:pPr>
        <w:pStyle w:val="ListBullet"/>
        <w:spacing w:after="50"/>
        <w:ind w:left="340"/>
      </w:pPr>
      <w:r>
        <w:t>A steering group chaired by the Director Finance &amp; Operations meets fortnightly during delivery and quarterly thereafter.</w:t>
      </w:r>
    </w:p>
    <w:p>
      <w:pPr>
        <w:pStyle w:val="ListBullet"/>
        <w:spacing w:after="50"/>
        <w:ind w:left="340"/>
      </w:pPr>
      <w:r>
        <w:t>The business owner is accountable for content and adoption; IT is accountable for platform, security and refresh.</w:t>
      </w:r>
    </w:p>
    <w:p>
      <w:pPr>
        <w:pStyle w:val="ListBullet"/>
        <w:spacing w:after="50"/>
        <w:ind w:left="340"/>
      </w:pPr>
      <w:r>
        <w:t>Requirements are baselined on approval of this BRD; changes follow the process below.</w:t>
      </w:r>
    </w:p>
    <w:p>
      <w:pPr>
        <w:pStyle w:val="Heading2"/>
      </w:pPr>
      <w:r>
        <w:t>22.2 Change control</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trPr>
        <w:tc>
          <w:tcPr>
            <w:tcW w:type="dxa" w:w="2041"/>
            <w:shd w:val="clear" w:fill="1F3B57"/>
          </w:tcPr>
          <w:p>
            <w:pPr>
              <w:spacing w:after="20" w:before="20" w:line="240" w:lineRule="auto"/>
            </w:pPr>
            <w:r/>
            <w:r>
              <w:rPr>
                <w:rFonts w:ascii="Calibri" w:hAnsi="Calibri"/>
                <w:b/>
                <w:color w:val="FFFFFF"/>
                <w:sz w:val="17"/>
              </w:rPr>
              <w:t>Change type</w:t>
            </w:r>
          </w:p>
        </w:tc>
        <w:tc>
          <w:tcPr>
            <w:tcW w:type="dxa" w:w="5329"/>
            <w:shd w:val="clear" w:fill="1F3B57"/>
          </w:tcPr>
          <w:p>
            <w:pPr>
              <w:spacing w:after="20" w:before="20" w:line="240" w:lineRule="auto"/>
            </w:pPr>
            <w:r/>
            <w:r>
              <w:rPr>
                <w:rFonts w:ascii="Calibri" w:hAnsi="Calibri"/>
                <w:b/>
                <w:color w:val="FFFFFF"/>
                <w:sz w:val="17"/>
              </w:rPr>
              <w:t>Example</w:t>
            </w:r>
          </w:p>
        </w:tc>
        <w:tc>
          <w:tcPr>
            <w:tcW w:type="dxa" w:w="2381"/>
            <w:shd w:val="clear" w:fill="1F3B57"/>
          </w:tcPr>
          <w:p>
            <w:pPr>
              <w:spacing w:after="20" w:before="20" w:line="240" w:lineRule="auto"/>
            </w:pPr>
            <w:r/>
            <w:r>
              <w:rPr>
                <w:rFonts w:ascii="Calibri" w:hAnsi="Calibri"/>
                <w:b/>
                <w:color w:val="FFFFFF"/>
                <w:sz w:val="17"/>
              </w:rPr>
              <w:t>Approval</w:t>
            </w:r>
          </w:p>
        </w:tc>
      </w:tr>
      <w:tr>
        <w:tc>
          <w:tcPr>
            <w:tcW w:type="dxa" w:w="2041"/>
          </w:tcPr>
          <w:p>
            <w:pPr>
              <w:spacing w:after="20" w:before="20" w:line="240" w:lineRule="auto"/>
            </w:pPr>
            <w:r/>
            <w:r>
              <w:rPr>
                <w:rFonts w:ascii="Calibri" w:hAnsi="Calibri"/>
                <w:b w:val="0"/>
                <w:sz w:val="17"/>
              </w:rPr>
              <w:t>Minor (no scope change)</w:t>
            </w:r>
          </w:p>
        </w:tc>
        <w:tc>
          <w:tcPr>
            <w:tcW w:type="dxa" w:w="5329"/>
          </w:tcPr>
          <w:p>
            <w:pPr>
              <w:spacing w:after="20" w:before="20" w:line="240" w:lineRule="auto"/>
            </w:pPr>
            <w:r/>
            <w:r>
              <w:rPr>
                <w:rFonts w:ascii="Calibri" w:hAnsi="Calibri"/>
                <w:b w:val="0"/>
                <w:sz w:val="17"/>
              </w:rPr>
              <w:t>Label change, colour, threshold default</w:t>
            </w:r>
          </w:p>
        </w:tc>
        <w:tc>
          <w:tcPr>
            <w:tcW w:type="dxa" w:w="2381"/>
          </w:tcPr>
          <w:p>
            <w:pPr>
              <w:spacing w:after="20" w:before="20" w:line="240" w:lineRule="auto"/>
            </w:pPr>
            <w:r/>
            <w:r>
              <w:rPr>
                <w:rFonts w:ascii="Calibri" w:hAnsi="Calibri"/>
                <w:b w:val="0"/>
                <w:sz w:val="17"/>
              </w:rPr>
              <w:t>Business owner</w:t>
            </w:r>
          </w:p>
        </w:tc>
      </w:tr>
      <w:tr>
        <w:tc>
          <w:tcPr>
            <w:tcW w:type="dxa" w:w="2041"/>
            <w:shd w:val="clear" w:fill="F7F9FB"/>
          </w:tcPr>
          <w:p>
            <w:pPr>
              <w:spacing w:after="20" w:before="20" w:line="240" w:lineRule="auto"/>
            </w:pPr>
            <w:r/>
            <w:r>
              <w:rPr>
                <w:rFonts w:ascii="Calibri" w:hAnsi="Calibri"/>
                <w:b w:val="0"/>
                <w:sz w:val="17"/>
              </w:rPr>
              <w:t>Moderate</w:t>
            </w:r>
          </w:p>
        </w:tc>
        <w:tc>
          <w:tcPr>
            <w:tcW w:type="dxa" w:w="5329"/>
            <w:shd w:val="clear" w:fill="F7F9FB"/>
          </w:tcPr>
          <w:p>
            <w:pPr>
              <w:spacing w:after="20" w:before="20" w:line="240" w:lineRule="auto"/>
            </w:pPr>
            <w:r/>
            <w:r>
              <w:rPr>
                <w:rFonts w:ascii="Calibri" w:hAnsi="Calibri"/>
                <w:b w:val="0"/>
                <w:sz w:val="17"/>
              </w:rPr>
              <w:t>New visual on an existing page, additional filter, new exception type</w:t>
            </w:r>
          </w:p>
        </w:tc>
        <w:tc>
          <w:tcPr>
            <w:tcW w:type="dxa" w:w="2381"/>
            <w:shd w:val="clear" w:fill="F7F9FB"/>
          </w:tcPr>
          <w:p>
            <w:pPr>
              <w:spacing w:after="20" w:before="20" w:line="240" w:lineRule="auto"/>
            </w:pPr>
            <w:r/>
            <w:r>
              <w:rPr>
                <w:rFonts w:ascii="Calibri" w:hAnsi="Calibri"/>
                <w:b w:val="0"/>
                <w:sz w:val="17"/>
              </w:rPr>
              <w:t>Business owner + IT</w:t>
            </w:r>
          </w:p>
        </w:tc>
      </w:tr>
      <w:tr>
        <w:tc>
          <w:tcPr>
            <w:tcW w:type="dxa" w:w="2041"/>
          </w:tcPr>
          <w:p>
            <w:pPr>
              <w:spacing w:after="20" w:before="20" w:line="240" w:lineRule="auto"/>
            </w:pPr>
            <w:r/>
            <w:r>
              <w:rPr>
                <w:rFonts w:ascii="Calibri" w:hAnsi="Calibri"/>
                <w:b w:val="0"/>
                <w:sz w:val="17"/>
              </w:rPr>
              <w:t>Major</w:t>
            </w:r>
          </w:p>
        </w:tc>
        <w:tc>
          <w:tcPr>
            <w:tcW w:type="dxa" w:w="5329"/>
          </w:tcPr>
          <w:p>
            <w:pPr>
              <w:spacing w:after="20" w:before="20" w:line="240" w:lineRule="auto"/>
            </w:pPr>
            <w:r/>
            <w:r>
              <w:rPr>
                <w:rFonts w:ascii="Calibri" w:hAnsi="Calibri"/>
                <w:b w:val="0"/>
                <w:sz w:val="17"/>
              </w:rPr>
              <w:t>New data source, new page, change to a KPI definition after go-live, additional user group</w:t>
            </w:r>
          </w:p>
        </w:tc>
        <w:tc>
          <w:tcPr>
            <w:tcW w:type="dxa" w:w="2381"/>
          </w:tcPr>
          <w:p>
            <w:pPr>
              <w:spacing w:after="20" w:before="20" w:line="240" w:lineRule="auto"/>
            </w:pPr>
            <w:r/>
            <w:r>
              <w:rPr>
                <w:rFonts w:ascii="Calibri" w:hAnsi="Calibri"/>
                <w:b w:val="0"/>
                <w:sz w:val="17"/>
              </w:rPr>
              <w:t>Steering group</w:t>
            </w:r>
          </w:p>
        </w:tc>
      </w:tr>
      <w:tr>
        <w:tc>
          <w:tcPr>
            <w:tcW w:type="dxa" w:w="2041"/>
            <w:shd w:val="clear" w:fill="F7F9FB"/>
          </w:tcPr>
          <w:p>
            <w:pPr>
              <w:spacing w:after="20" w:before="20" w:line="240" w:lineRule="auto"/>
            </w:pPr>
            <w:r/>
            <w:r>
              <w:rPr>
                <w:rFonts w:ascii="Calibri" w:hAnsi="Calibri"/>
                <w:b w:val="0"/>
                <w:sz w:val="17"/>
              </w:rPr>
              <w:t>Emergency</w:t>
            </w:r>
          </w:p>
        </w:tc>
        <w:tc>
          <w:tcPr>
            <w:tcW w:type="dxa" w:w="5329"/>
            <w:shd w:val="clear" w:fill="F7F9FB"/>
          </w:tcPr>
          <w:p>
            <w:pPr>
              <w:spacing w:after="20" w:before="20" w:line="240" w:lineRule="auto"/>
            </w:pPr>
            <w:r/>
            <w:r>
              <w:rPr>
                <w:rFonts w:ascii="Calibri" w:hAnsi="Calibri"/>
                <w:b w:val="0"/>
                <w:sz w:val="17"/>
              </w:rPr>
              <w:t>Fix to an incorrect figure in production</w:t>
            </w:r>
          </w:p>
        </w:tc>
        <w:tc>
          <w:tcPr>
            <w:tcW w:type="dxa" w:w="2381"/>
            <w:shd w:val="clear" w:fill="F7F9FB"/>
          </w:tcPr>
          <w:p>
            <w:pPr>
              <w:spacing w:after="20" w:before="20" w:line="240" w:lineRule="auto"/>
            </w:pPr>
            <w:r/>
            <w:r>
              <w:rPr>
                <w:rFonts w:ascii="Calibri" w:hAnsi="Calibri"/>
                <w:b w:val="0"/>
                <w:sz w:val="17"/>
              </w:rPr>
              <w:t>Business owner, notified to steering group at next meeting</w:t>
            </w:r>
          </w:p>
        </w:tc>
      </w:tr>
    </w:tbl>
    <w:p>
      <w:pPr>
        <w:spacing w:after="20"/>
      </w:pPr>
    </w:p>
    <w:p>
      <w:pPr>
        <w:pStyle w:val="Heading2"/>
      </w:pPr>
      <w:r>
        <w:t>22.3 Support model after handover</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trPr>
        <w:tc>
          <w:tcPr>
            <w:tcW w:type="dxa" w:w="1361"/>
            <w:shd w:val="clear" w:fill="1F3B57"/>
          </w:tcPr>
          <w:p>
            <w:pPr>
              <w:spacing w:after="20" w:before="20" w:line="240" w:lineRule="auto"/>
            </w:pPr>
            <w:r/>
            <w:r>
              <w:rPr>
                <w:rFonts w:ascii="Calibri" w:hAnsi="Calibri"/>
                <w:b/>
                <w:color w:val="FFFFFF"/>
                <w:sz w:val="17"/>
              </w:rPr>
              <w:t>Level</w:t>
            </w:r>
          </w:p>
        </w:tc>
        <w:tc>
          <w:tcPr>
            <w:tcW w:type="dxa" w:w="4309"/>
            <w:shd w:val="clear" w:fill="1F3B57"/>
          </w:tcPr>
          <w:p>
            <w:pPr>
              <w:spacing w:after="20" w:before="20" w:line="240" w:lineRule="auto"/>
            </w:pPr>
            <w:r/>
            <w:r>
              <w:rPr>
                <w:rFonts w:ascii="Calibri" w:hAnsi="Calibri"/>
                <w:b/>
                <w:color w:val="FFFFFF"/>
                <w:sz w:val="17"/>
              </w:rPr>
              <w:t>Scope</w:t>
            </w:r>
          </w:p>
        </w:tc>
        <w:tc>
          <w:tcPr>
            <w:tcW w:type="dxa" w:w="2381"/>
            <w:shd w:val="clear" w:fill="1F3B57"/>
          </w:tcPr>
          <w:p>
            <w:pPr>
              <w:spacing w:after="20" w:before="20" w:line="240" w:lineRule="auto"/>
            </w:pPr>
            <w:r/>
            <w:r>
              <w:rPr>
                <w:rFonts w:ascii="Calibri" w:hAnsi="Calibri"/>
                <w:b/>
                <w:color w:val="FFFFFF"/>
                <w:sz w:val="17"/>
              </w:rPr>
              <w:t>Owner</w:t>
            </w:r>
          </w:p>
        </w:tc>
        <w:tc>
          <w:tcPr>
            <w:tcW w:type="dxa" w:w="1701"/>
            <w:shd w:val="clear" w:fill="1F3B57"/>
          </w:tcPr>
          <w:p>
            <w:pPr>
              <w:spacing w:after="20" w:before="20" w:line="240" w:lineRule="auto"/>
            </w:pPr>
            <w:r/>
            <w:r>
              <w:rPr>
                <w:rFonts w:ascii="Calibri" w:hAnsi="Calibri"/>
                <w:b/>
                <w:color w:val="FFFFFF"/>
                <w:sz w:val="17"/>
              </w:rPr>
              <w:t>Target response</w:t>
            </w:r>
          </w:p>
        </w:tc>
      </w:tr>
      <w:tr>
        <w:tc>
          <w:tcPr>
            <w:tcW w:type="dxa" w:w="1361"/>
          </w:tcPr>
          <w:p>
            <w:pPr>
              <w:spacing w:after="20" w:before="20" w:line="240" w:lineRule="auto"/>
            </w:pPr>
            <w:r/>
            <w:r>
              <w:rPr>
                <w:rFonts w:ascii="Calibri" w:hAnsi="Calibri"/>
                <w:b w:val="0"/>
                <w:sz w:val="17"/>
              </w:rPr>
              <w:t>Level 1</w:t>
            </w:r>
          </w:p>
        </w:tc>
        <w:tc>
          <w:tcPr>
            <w:tcW w:type="dxa" w:w="4309"/>
          </w:tcPr>
          <w:p>
            <w:pPr>
              <w:spacing w:after="20" w:before="20" w:line="240" w:lineRule="auto"/>
            </w:pPr>
            <w:r/>
            <w:r>
              <w:rPr>
                <w:rFonts w:ascii="Calibri" w:hAnsi="Calibri"/>
                <w:b w:val="0"/>
                <w:sz w:val="17"/>
              </w:rPr>
              <w:t>Access issues, how-to questions, refresh status enquiry</w:t>
            </w:r>
          </w:p>
        </w:tc>
        <w:tc>
          <w:tcPr>
            <w:tcW w:type="dxa" w:w="2381"/>
          </w:tcPr>
          <w:p>
            <w:pPr>
              <w:spacing w:after="20" w:before="20" w:line="240" w:lineRule="auto"/>
            </w:pPr>
            <w:r/>
            <w:r>
              <w:rPr>
                <w:rFonts w:ascii="Calibri" w:hAnsi="Calibri"/>
                <w:b w:val="0"/>
                <w:sz w:val="17"/>
              </w:rPr>
              <w:t>IT service desk</w:t>
            </w:r>
          </w:p>
        </w:tc>
        <w:tc>
          <w:tcPr>
            <w:tcW w:type="dxa" w:w="1701"/>
          </w:tcPr>
          <w:p>
            <w:pPr>
              <w:spacing w:after="20" w:before="20" w:line="240" w:lineRule="auto"/>
            </w:pPr>
            <w:r/>
            <w:r>
              <w:rPr>
                <w:rFonts w:ascii="Calibri" w:hAnsi="Calibri"/>
                <w:b w:val="0"/>
                <w:sz w:val="17"/>
              </w:rPr>
              <w:t>4 working hours</w:t>
            </w:r>
          </w:p>
        </w:tc>
      </w:tr>
      <w:tr>
        <w:tc>
          <w:tcPr>
            <w:tcW w:type="dxa" w:w="1361"/>
            <w:shd w:val="clear" w:fill="F7F9FB"/>
          </w:tcPr>
          <w:p>
            <w:pPr>
              <w:spacing w:after="20" w:before="20" w:line="240" w:lineRule="auto"/>
            </w:pPr>
            <w:r/>
            <w:r>
              <w:rPr>
                <w:rFonts w:ascii="Calibri" w:hAnsi="Calibri"/>
                <w:b w:val="0"/>
                <w:sz w:val="17"/>
              </w:rPr>
              <w:t>Level 2</w:t>
            </w:r>
          </w:p>
        </w:tc>
        <w:tc>
          <w:tcPr>
            <w:tcW w:type="dxa" w:w="4309"/>
            <w:shd w:val="clear" w:fill="F7F9FB"/>
          </w:tcPr>
          <w:p>
            <w:pPr>
              <w:spacing w:after="20" w:before="20" w:line="240" w:lineRule="auto"/>
            </w:pPr>
            <w:r/>
            <w:r>
              <w:rPr>
                <w:rFonts w:ascii="Calibri" w:hAnsi="Calibri"/>
                <w:b w:val="0"/>
                <w:sz w:val="17"/>
              </w:rPr>
              <w:t>Data discrepancies, failed loads, security exceptions</w:t>
            </w:r>
          </w:p>
        </w:tc>
        <w:tc>
          <w:tcPr>
            <w:tcW w:type="dxa" w:w="2381"/>
            <w:shd w:val="clear" w:fill="F7F9FB"/>
          </w:tcPr>
          <w:p>
            <w:pPr>
              <w:spacing w:after="20" w:before="20" w:line="240" w:lineRule="auto"/>
            </w:pPr>
            <w:r/>
            <w:r>
              <w:rPr>
                <w:rFonts w:ascii="Calibri" w:hAnsi="Calibri"/>
                <w:b w:val="0"/>
                <w:sz w:val="17"/>
              </w:rPr>
              <w:t>IT / BI support</w:t>
            </w:r>
          </w:p>
        </w:tc>
        <w:tc>
          <w:tcPr>
            <w:tcW w:type="dxa" w:w="1701"/>
            <w:shd w:val="clear" w:fill="F7F9FB"/>
          </w:tcPr>
          <w:p>
            <w:pPr>
              <w:spacing w:after="20" w:before="20" w:line="240" w:lineRule="auto"/>
            </w:pPr>
            <w:r/>
            <w:r>
              <w:rPr>
                <w:rFonts w:ascii="Calibri" w:hAnsi="Calibri"/>
                <w:b w:val="0"/>
                <w:sz w:val="17"/>
              </w:rPr>
              <w:t>1 working day</w:t>
            </w:r>
          </w:p>
        </w:tc>
      </w:tr>
      <w:tr>
        <w:tc>
          <w:tcPr>
            <w:tcW w:type="dxa" w:w="1361"/>
          </w:tcPr>
          <w:p>
            <w:pPr>
              <w:spacing w:after="20" w:before="20" w:line="240" w:lineRule="auto"/>
            </w:pPr>
            <w:r/>
            <w:r>
              <w:rPr>
                <w:rFonts w:ascii="Calibri" w:hAnsi="Calibri"/>
                <w:b w:val="0"/>
                <w:sz w:val="17"/>
              </w:rPr>
              <w:t>Level 3</w:t>
            </w:r>
          </w:p>
        </w:tc>
        <w:tc>
          <w:tcPr>
            <w:tcW w:type="dxa" w:w="4309"/>
          </w:tcPr>
          <w:p>
            <w:pPr>
              <w:spacing w:after="20" w:before="20" w:line="240" w:lineRule="auto"/>
            </w:pPr>
            <w:r/>
            <w:r>
              <w:rPr>
                <w:rFonts w:ascii="Calibri" w:hAnsi="Calibri"/>
                <w:b w:val="0"/>
                <w:sz w:val="17"/>
              </w:rPr>
              <w:t>Model changes, new requirements, performance tuning</w:t>
            </w:r>
          </w:p>
        </w:tc>
        <w:tc>
          <w:tcPr>
            <w:tcW w:type="dxa" w:w="2381"/>
          </w:tcPr>
          <w:p>
            <w:pPr>
              <w:spacing w:after="20" w:before="20" w:line="240" w:lineRule="auto"/>
            </w:pPr>
            <w:r/>
            <w:r>
              <w:rPr>
                <w:rFonts w:ascii="Calibri" w:hAnsi="Calibri"/>
                <w:b w:val="0"/>
                <w:sz w:val="17"/>
              </w:rPr>
              <w:t>BI developer / supplier</w:t>
            </w:r>
          </w:p>
        </w:tc>
        <w:tc>
          <w:tcPr>
            <w:tcW w:type="dxa" w:w="1701"/>
          </w:tcPr>
          <w:p>
            <w:pPr>
              <w:spacing w:after="20" w:before="20" w:line="240" w:lineRule="auto"/>
            </w:pPr>
            <w:r/>
            <w:r>
              <w:rPr>
                <w:rFonts w:ascii="Calibri" w:hAnsi="Calibri"/>
                <w:b w:val="0"/>
                <w:sz w:val="17"/>
              </w:rPr>
              <w:t>Next change cycle</w:t>
            </w:r>
          </w:p>
        </w:tc>
      </w:tr>
    </w:tbl>
    <w:p>
      <w:pPr>
        <w:spacing w:after="20"/>
      </w:pPr>
    </w:p>
    <w:p>
      <w:pPr>
        <w:pStyle w:val="Heading2"/>
      </w:pPr>
      <w:r>
        <w:t>22.4 Documentation and knowledge transfer</w:t>
      </w:r>
    </w:p>
    <w:p>
      <w:pPr>
        <w:pStyle w:val="ListBullet"/>
        <w:spacing w:after="50"/>
        <w:ind w:left="340"/>
      </w:pPr>
      <w:r>
        <w:t>Data model, transformation rules, KPI dictionary, security design and refresh schedule held in a controlled repository.</w:t>
      </w:r>
    </w:p>
    <w:p>
      <w:pPr>
        <w:pStyle w:val="ListBullet"/>
        <w:spacing w:after="50"/>
        <w:ind w:left="340"/>
      </w:pPr>
      <w:r>
        <w:t>Two handover sessions with IT and one with business super-users, recorded and minuted.</w:t>
      </w:r>
    </w:p>
    <w:p>
      <w:pPr>
        <w:pStyle w:val="ListBullet"/>
        <w:spacing w:after="50"/>
        <w:ind w:left="340"/>
      </w:pPr>
      <w:r>
        <w:t>A named business super-user per department trained to answer first-line content questions.</w:t>
      </w:r>
    </w:p>
    <w:p>
      <w:pPr>
        <w:pStyle w:val="Heading1"/>
      </w:pPr>
      <w:r>
        <w:t>23. Glossary</w:t>
      </w:r>
    </w:p>
    <w:tbl>
      <w:tblPr>
        <w:tblStyle w:val="TableGrid"/>
        <w:tblW w:type="auto" w:w="0"/>
        <w:jc w:val="center"/>
        <w:tblLayout w:type="fixed"/>
        <w:tblLook w:firstColumn="1" w:firstRow="1" w:lastColumn="0" w:lastRow="0" w:noHBand="0" w:noVBand="1" w:val="04A0"/>
      </w:tblPr>
      <w:tblGrid>
        <w:gridCol w:w="5043"/>
        <w:gridCol w:w="5043"/>
      </w:tblGrid>
      <w:tr>
        <w:trPr>
          <w:tblHeader/>
        </w:trPr>
        <w:tc>
          <w:tcPr>
            <w:tcW w:type="dxa" w:w="2381"/>
            <w:shd w:val="clear" w:fill="1F3B57"/>
          </w:tcPr>
          <w:p>
            <w:pPr>
              <w:spacing w:after="20" w:before="20" w:line="240" w:lineRule="auto"/>
            </w:pPr>
            <w:r/>
            <w:r>
              <w:rPr>
                <w:rFonts w:ascii="Calibri" w:hAnsi="Calibri"/>
                <w:b/>
                <w:color w:val="FFFFFF"/>
                <w:sz w:val="16"/>
              </w:rPr>
              <w:t>Term</w:t>
            </w:r>
          </w:p>
        </w:tc>
        <w:tc>
          <w:tcPr>
            <w:tcW w:type="dxa" w:w="7370"/>
            <w:shd w:val="clear" w:fill="1F3B57"/>
          </w:tcPr>
          <w:p>
            <w:pPr>
              <w:spacing w:after="20" w:before="20" w:line="240" w:lineRule="auto"/>
            </w:pPr>
            <w:r/>
            <w:r>
              <w:rPr>
                <w:rFonts w:ascii="Calibri" w:hAnsi="Calibri"/>
                <w:b/>
                <w:color w:val="FFFFFF"/>
                <w:sz w:val="16"/>
              </w:rPr>
              <w:t>Definition</w:t>
            </w:r>
          </w:p>
        </w:tc>
      </w:tr>
      <w:tr>
        <w:tc>
          <w:tcPr>
            <w:tcW w:type="dxa" w:w="2381"/>
          </w:tcPr>
          <w:p>
            <w:pPr>
              <w:spacing w:after="20" w:before="20" w:line="240" w:lineRule="auto"/>
            </w:pPr>
            <w:r/>
            <w:r>
              <w:rPr>
                <w:rFonts w:ascii="Calibri" w:hAnsi="Calibri"/>
                <w:b w:val="0"/>
                <w:sz w:val="16"/>
              </w:rPr>
              <w:t>Allocation</w:t>
            </w:r>
          </w:p>
        </w:tc>
        <w:tc>
          <w:tcPr>
            <w:tcW w:type="dxa" w:w="7370"/>
          </w:tcPr>
          <w:p>
            <w:pPr>
              <w:spacing w:after="20" w:before="20" w:line="240" w:lineRule="auto"/>
            </w:pPr>
            <w:r/>
            <w:r>
              <w:rPr>
                <w:rFonts w:ascii="Calibri" w:hAnsi="Calibri"/>
                <w:b w:val="0"/>
                <w:sz w:val="16"/>
              </w:rPr>
              <w:t>Distribution of shared consumption across projects. Not performed in this release; unattributed value is reported instead.</w:t>
            </w:r>
          </w:p>
        </w:tc>
      </w:tr>
      <w:tr>
        <w:tc>
          <w:tcPr>
            <w:tcW w:type="dxa" w:w="2381"/>
            <w:shd w:val="clear" w:fill="F7F9FB"/>
          </w:tcPr>
          <w:p>
            <w:pPr>
              <w:spacing w:after="20" w:before="20" w:line="240" w:lineRule="auto"/>
            </w:pPr>
            <w:r/>
            <w:r>
              <w:rPr>
                <w:rFonts w:ascii="Calibri" w:hAnsi="Calibri"/>
                <w:b w:val="0"/>
                <w:sz w:val="16"/>
              </w:rPr>
              <w:t>Batch / lot</w:t>
            </w:r>
          </w:p>
        </w:tc>
        <w:tc>
          <w:tcPr>
            <w:tcW w:type="dxa" w:w="7370"/>
            <w:shd w:val="clear" w:fill="F7F9FB"/>
          </w:tcPr>
          <w:p>
            <w:pPr>
              <w:spacing w:after="20" w:before="20" w:line="240" w:lineRule="auto"/>
            </w:pPr>
            <w:r/>
            <w:r>
              <w:rPr>
                <w:rFonts w:ascii="Calibri" w:hAnsi="Calibri"/>
                <w:b w:val="0"/>
                <w:sz w:val="16"/>
              </w:rPr>
              <w:t>A quantity of an item produced or received together, carrying a common expiry date.</w:t>
            </w:r>
          </w:p>
        </w:tc>
      </w:tr>
      <w:tr>
        <w:tc>
          <w:tcPr>
            <w:tcW w:type="dxa" w:w="2381"/>
          </w:tcPr>
          <w:p>
            <w:pPr>
              <w:spacing w:after="20" w:before="20" w:line="240" w:lineRule="auto"/>
            </w:pPr>
            <w:r/>
            <w:r>
              <w:rPr>
                <w:rFonts w:ascii="Calibri" w:hAnsi="Calibri"/>
                <w:b w:val="0"/>
                <w:sz w:val="16"/>
              </w:rPr>
              <w:t>Burn rate</w:t>
            </w:r>
          </w:p>
        </w:tc>
        <w:tc>
          <w:tcPr>
            <w:tcW w:type="dxa" w:w="7370"/>
          </w:tcPr>
          <w:p>
            <w:pPr>
              <w:spacing w:after="20" w:before="20" w:line="240" w:lineRule="auto"/>
            </w:pPr>
            <w:r/>
            <w:r>
              <w:rPr>
                <w:rFonts w:ascii="Calibri" w:hAnsi="Calibri"/>
                <w:b w:val="0"/>
                <w:sz w:val="16"/>
              </w:rPr>
              <w:t>Average monthly consumption value used to project the full-year position.</w:t>
            </w:r>
          </w:p>
        </w:tc>
      </w:tr>
      <w:tr>
        <w:tc>
          <w:tcPr>
            <w:tcW w:type="dxa" w:w="2381"/>
            <w:shd w:val="clear" w:fill="F7F9FB"/>
          </w:tcPr>
          <w:p>
            <w:pPr>
              <w:spacing w:after="20" w:before="20" w:line="240" w:lineRule="auto"/>
            </w:pPr>
            <w:r/>
            <w:r>
              <w:rPr>
                <w:rFonts w:ascii="Calibri" w:hAnsi="Calibri"/>
                <w:b w:val="0"/>
                <w:sz w:val="16"/>
              </w:rPr>
              <w:t>Consumption</w:t>
            </w:r>
          </w:p>
        </w:tc>
        <w:tc>
          <w:tcPr>
            <w:tcW w:type="dxa" w:w="7370"/>
            <w:shd w:val="clear" w:fill="F7F9FB"/>
          </w:tcPr>
          <w:p>
            <w:pPr>
              <w:spacing w:after="20" w:before="20" w:line="240" w:lineRule="auto"/>
            </w:pPr>
            <w:r/>
            <w:r>
              <w:rPr>
                <w:rFonts w:ascii="Calibri" w:hAnsi="Calibri"/>
                <w:b w:val="0"/>
                <w:sz w:val="16"/>
              </w:rPr>
              <w:t>Value and quantity of items issued from store and charged to a project, department or service point.</w:t>
            </w:r>
          </w:p>
        </w:tc>
      </w:tr>
      <w:tr>
        <w:tc>
          <w:tcPr>
            <w:tcW w:type="dxa" w:w="2381"/>
          </w:tcPr>
          <w:p>
            <w:pPr>
              <w:spacing w:after="20" w:before="20" w:line="240" w:lineRule="auto"/>
            </w:pPr>
            <w:r/>
            <w:r>
              <w:rPr>
                <w:rFonts w:ascii="Calibri" w:hAnsi="Calibri"/>
                <w:b w:val="0"/>
                <w:sz w:val="16"/>
              </w:rPr>
              <w:t>Consumption-to-investment ratio</w:t>
            </w:r>
          </w:p>
        </w:tc>
        <w:tc>
          <w:tcPr>
            <w:tcW w:type="dxa" w:w="7370"/>
          </w:tcPr>
          <w:p>
            <w:pPr>
              <w:spacing w:after="20" w:before="20" w:line="240" w:lineRule="auto"/>
            </w:pPr>
            <w:r/>
            <w:r>
              <w:rPr>
                <w:rFonts w:ascii="Calibri" w:hAnsi="Calibri"/>
                <w:b w:val="0"/>
                <w:sz w:val="16"/>
              </w:rPr>
              <w:t>Consumption value divided by procurement investment for the same scope and period.</w:t>
            </w:r>
          </w:p>
        </w:tc>
      </w:tr>
      <w:tr>
        <w:tc>
          <w:tcPr>
            <w:tcW w:type="dxa" w:w="2381"/>
            <w:shd w:val="clear" w:fill="F7F9FB"/>
          </w:tcPr>
          <w:p>
            <w:pPr>
              <w:spacing w:after="20" w:before="20" w:line="240" w:lineRule="auto"/>
            </w:pPr>
            <w:r/>
            <w:r>
              <w:rPr>
                <w:rFonts w:ascii="Calibri" w:hAnsi="Calibri"/>
                <w:b w:val="0"/>
                <w:sz w:val="16"/>
              </w:rPr>
              <w:t>Days of cover</w:t>
            </w:r>
          </w:p>
        </w:tc>
        <w:tc>
          <w:tcPr>
            <w:tcW w:type="dxa" w:w="7370"/>
            <w:shd w:val="clear" w:fill="F7F9FB"/>
          </w:tcPr>
          <w:p>
            <w:pPr>
              <w:spacing w:after="20" w:before="20" w:line="240" w:lineRule="auto"/>
            </w:pPr>
            <w:r/>
            <w:r>
              <w:rPr>
                <w:rFonts w:ascii="Calibri" w:hAnsi="Calibri"/>
                <w:b w:val="0"/>
                <w:sz w:val="16"/>
              </w:rPr>
              <w:t>Stock on hand divided by average daily consumption; indicates how long stock will last.</w:t>
            </w:r>
          </w:p>
        </w:tc>
      </w:tr>
      <w:tr>
        <w:tc>
          <w:tcPr>
            <w:tcW w:type="dxa" w:w="2381"/>
          </w:tcPr>
          <w:p>
            <w:pPr>
              <w:spacing w:after="20" w:before="20" w:line="240" w:lineRule="auto"/>
            </w:pPr>
            <w:r/>
            <w:r>
              <w:rPr>
                <w:rFonts w:ascii="Calibri" w:hAnsi="Calibri"/>
                <w:b w:val="0"/>
                <w:sz w:val="16"/>
              </w:rPr>
              <w:t>Dimension</w:t>
            </w:r>
          </w:p>
        </w:tc>
        <w:tc>
          <w:tcPr>
            <w:tcW w:type="dxa" w:w="7370"/>
          </w:tcPr>
          <w:p>
            <w:pPr>
              <w:spacing w:after="20" w:before="20" w:line="240" w:lineRule="auto"/>
            </w:pPr>
            <w:r/>
            <w:r>
              <w:rPr>
                <w:rFonts w:ascii="Calibri" w:hAnsi="Calibri"/>
                <w:b w:val="0"/>
                <w:sz w:val="16"/>
              </w:rPr>
              <w:t>A business attribute used to slice data, such as project, item, donor, warehouse or period.</w:t>
            </w:r>
          </w:p>
        </w:tc>
      </w:tr>
      <w:tr>
        <w:tc>
          <w:tcPr>
            <w:tcW w:type="dxa" w:w="2381"/>
            <w:shd w:val="clear" w:fill="F7F9FB"/>
          </w:tcPr>
          <w:p>
            <w:pPr>
              <w:spacing w:after="20" w:before="20" w:line="240" w:lineRule="auto"/>
            </w:pPr>
            <w:r/>
            <w:r>
              <w:rPr>
                <w:rFonts w:ascii="Calibri" w:hAnsi="Calibri"/>
                <w:b w:val="0"/>
                <w:sz w:val="16"/>
              </w:rPr>
              <w:t>FEFO</w:t>
            </w:r>
          </w:p>
        </w:tc>
        <w:tc>
          <w:tcPr>
            <w:tcW w:type="dxa" w:w="7370"/>
            <w:shd w:val="clear" w:fill="F7F9FB"/>
          </w:tcPr>
          <w:p>
            <w:pPr>
              <w:spacing w:after="20" w:before="20" w:line="240" w:lineRule="auto"/>
            </w:pPr>
            <w:r/>
            <w:r>
              <w:rPr>
                <w:rFonts w:ascii="Calibri" w:hAnsi="Calibri"/>
                <w:b w:val="0"/>
                <w:sz w:val="16"/>
              </w:rPr>
              <w:t>First expiry, first out — the issue method that releases the earliest-expiring batch first.</w:t>
            </w:r>
          </w:p>
        </w:tc>
      </w:tr>
      <w:tr>
        <w:tc>
          <w:tcPr>
            <w:tcW w:type="dxa" w:w="2381"/>
          </w:tcPr>
          <w:p>
            <w:pPr>
              <w:spacing w:after="20" w:before="20" w:line="240" w:lineRule="auto"/>
            </w:pPr>
            <w:r/>
            <w:r>
              <w:rPr>
                <w:rFonts w:ascii="Calibri" w:hAnsi="Calibri"/>
                <w:b w:val="0"/>
                <w:sz w:val="16"/>
              </w:rPr>
              <w:t>Fact table</w:t>
            </w:r>
          </w:p>
        </w:tc>
        <w:tc>
          <w:tcPr>
            <w:tcW w:type="dxa" w:w="7370"/>
          </w:tcPr>
          <w:p>
            <w:pPr>
              <w:spacing w:after="20" w:before="20" w:line="240" w:lineRule="auto"/>
            </w:pPr>
            <w:r/>
            <w:r>
              <w:rPr>
                <w:rFonts w:ascii="Calibri" w:hAnsi="Calibri"/>
                <w:b w:val="0"/>
                <w:sz w:val="16"/>
              </w:rPr>
              <w:t>The table holding transactional measures at a defined grain, such as one issue line.</w:t>
            </w:r>
          </w:p>
        </w:tc>
      </w:tr>
      <w:tr>
        <w:tc>
          <w:tcPr>
            <w:tcW w:type="dxa" w:w="2381"/>
            <w:shd w:val="clear" w:fill="F7F9FB"/>
          </w:tcPr>
          <w:p>
            <w:pPr>
              <w:spacing w:after="20" w:before="20" w:line="240" w:lineRule="auto"/>
            </w:pPr>
            <w:r/>
            <w:r>
              <w:rPr>
                <w:rFonts w:ascii="Calibri" w:hAnsi="Calibri"/>
                <w:b w:val="0"/>
                <w:sz w:val="16"/>
              </w:rPr>
              <w:t>Fiscal year</w:t>
            </w:r>
          </w:p>
        </w:tc>
        <w:tc>
          <w:tcPr>
            <w:tcW w:type="dxa" w:w="7370"/>
            <w:shd w:val="clear" w:fill="F7F9FB"/>
          </w:tcPr>
          <w:p>
            <w:pPr>
              <w:spacing w:after="20" w:before="20" w:line="240" w:lineRule="auto"/>
            </w:pPr>
            <w:r/>
            <w:r>
              <w:rPr>
                <w:rFonts w:ascii="Calibri" w:hAnsi="Calibri"/>
                <w:b w:val="0"/>
                <w:sz w:val="16"/>
              </w:rPr>
              <w:t>VPT's financial year, 1 July to 30 June.</w:t>
            </w:r>
          </w:p>
        </w:tc>
      </w:tr>
      <w:tr>
        <w:tc>
          <w:tcPr>
            <w:tcW w:type="dxa" w:w="2381"/>
          </w:tcPr>
          <w:p>
            <w:pPr>
              <w:spacing w:after="20" w:before="20" w:line="240" w:lineRule="auto"/>
            </w:pPr>
            <w:r/>
            <w:r>
              <w:rPr>
                <w:rFonts w:ascii="Calibri" w:hAnsi="Calibri"/>
                <w:b w:val="0"/>
                <w:sz w:val="16"/>
              </w:rPr>
              <w:t>Grain</w:t>
            </w:r>
          </w:p>
        </w:tc>
        <w:tc>
          <w:tcPr>
            <w:tcW w:type="dxa" w:w="7370"/>
          </w:tcPr>
          <w:p>
            <w:pPr>
              <w:spacing w:after="20" w:before="20" w:line="240" w:lineRule="auto"/>
            </w:pPr>
            <w:r/>
            <w:r>
              <w:rPr>
                <w:rFonts w:ascii="Calibri" w:hAnsi="Calibri"/>
                <w:b w:val="0"/>
                <w:sz w:val="16"/>
              </w:rPr>
              <w:t>The level of detail at which a fact is recorded.</w:t>
            </w:r>
          </w:p>
        </w:tc>
      </w:tr>
      <w:tr>
        <w:tc>
          <w:tcPr>
            <w:tcW w:type="dxa" w:w="2381"/>
            <w:shd w:val="clear" w:fill="F7F9FB"/>
          </w:tcPr>
          <w:p>
            <w:pPr>
              <w:spacing w:after="20" w:before="20" w:line="240" w:lineRule="auto"/>
            </w:pPr>
            <w:r/>
            <w:r>
              <w:rPr>
                <w:rFonts w:ascii="Calibri" w:hAnsi="Calibri"/>
                <w:b w:val="0"/>
                <w:sz w:val="16"/>
              </w:rPr>
              <w:t>GRN</w:t>
            </w:r>
          </w:p>
        </w:tc>
        <w:tc>
          <w:tcPr>
            <w:tcW w:type="dxa" w:w="7370"/>
            <w:shd w:val="clear" w:fill="F7F9FB"/>
          </w:tcPr>
          <w:p>
            <w:pPr>
              <w:spacing w:after="20" w:before="20" w:line="240" w:lineRule="auto"/>
            </w:pPr>
            <w:r/>
            <w:r>
              <w:rPr>
                <w:rFonts w:ascii="Calibri" w:hAnsi="Calibri"/>
                <w:b w:val="0"/>
                <w:sz w:val="16"/>
              </w:rPr>
              <w:t>Goods receipt note; the document recording receipt of purchased items into store.</w:t>
            </w:r>
          </w:p>
        </w:tc>
      </w:tr>
      <w:tr>
        <w:tc>
          <w:tcPr>
            <w:tcW w:type="dxa" w:w="2381"/>
          </w:tcPr>
          <w:p>
            <w:pPr>
              <w:spacing w:after="20" w:before="20" w:line="240" w:lineRule="auto"/>
            </w:pPr>
            <w:r/>
            <w:r>
              <w:rPr>
                <w:rFonts w:ascii="Calibri" w:hAnsi="Calibri"/>
                <w:b w:val="0"/>
                <w:sz w:val="16"/>
              </w:rPr>
              <w:t>Investment (procurement)</w:t>
            </w:r>
          </w:p>
        </w:tc>
        <w:tc>
          <w:tcPr>
            <w:tcW w:type="dxa" w:w="7370"/>
          </w:tcPr>
          <w:p>
            <w:pPr>
              <w:spacing w:after="20" w:before="20" w:line="240" w:lineRule="auto"/>
            </w:pPr>
            <w:r/>
            <w:r>
              <w:rPr>
                <w:rFonts w:ascii="Calibri" w:hAnsi="Calibri"/>
                <w:b w:val="0"/>
                <w:sz w:val="16"/>
              </w:rPr>
              <w:t>Committed value of products purchased, recognised at purchase order value.</w:t>
            </w:r>
          </w:p>
        </w:tc>
      </w:tr>
      <w:tr>
        <w:tc>
          <w:tcPr>
            <w:tcW w:type="dxa" w:w="2381"/>
            <w:shd w:val="clear" w:fill="F7F9FB"/>
          </w:tcPr>
          <w:p>
            <w:pPr>
              <w:spacing w:after="20" w:before="20" w:line="240" w:lineRule="auto"/>
            </w:pPr>
            <w:r/>
            <w:r>
              <w:rPr>
                <w:rFonts w:ascii="Calibri" w:hAnsi="Calibri"/>
                <w:b w:val="0"/>
                <w:sz w:val="16"/>
              </w:rPr>
              <w:t>KPI</w:t>
            </w:r>
          </w:p>
        </w:tc>
        <w:tc>
          <w:tcPr>
            <w:tcW w:type="dxa" w:w="7370"/>
            <w:shd w:val="clear" w:fill="F7F9FB"/>
          </w:tcPr>
          <w:p>
            <w:pPr>
              <w:spacing w:after="20" w:before="20" w:line="240" w:lineRule="auto"/>
            </w:pPr>
            <w:r/>
            <w:r>
              <w:rPr>
                <w:rFonts w:ascii="Calibri" w:hAnsi="Calibri"/>
                <w:b w:val="0"/>
                <w:sz w:val="16"/>
              </w:rPr>
              <w:t>Key performance indicator; a defined measure with an owner and a target.</w:t>
            </w:r>
          </w:p>
        </w:tc>
      </w:tr>
      <w:tr>
        <w:tc>
          <w:tcPr>
            <w:tcW w:type="dxa" w:w="2381"/>
          </w:tcPr>
          <w:p>
            <w:pPr>
              <w:spacing w:after="20" w:before="20" w:line="240" w:lineRule="auto"/>
            </w:pPr>
            <w:r/>
            <w:r>
              <w:rPr>
                <w:rFonts w:ascii="Calibri" w:hAnsi="Calibri"/>
                <w:b w:val="0"/>
                <w:sz w:val="16"/>
              </w:rPr>
              <w:t>Open commitment</w:t>
            </w:r>
          </w:p>
        </w:tc>
        <w:tc>
          <w:tcPr>
            <w:tcW w:type="dxa" w:w="7370"/>
          </w:tcPr>
          <w:p>
            <w:pPr>
              <w:spacing w:after="20" w:before="20" w:line="240" w:lineRule="auto"/>
            </w:pPr>
            <w:r/>
            <w:r>
              <w:rPr>
                <w:rFonts w:ascii="Calibri" w:hAnsi="Calibri"/>
                <w:b w:val="0"/>
                <w:sz w:val="16"/>
              </w:rPr>
              <w:t>Value of purchase orders not yet fully received.</w:t>
            </w:r>
          </w:p>
        </w:tc>
      </w:tr>
      <w:tr>
        <w:tc>
          <w:tcPr>
            <w:tcW w:type="dxa" w:w="2381"/>
            <w:shd w:val="clear" w:fill="F7F9FB"/>
          </w:tcPr>
          <w:p>
            <w:pPr>
              <w:spacing w:after="20" w:before="20" w:line="240" w:lineRule="auto"/>
            </w:pPr>
            <w:r/>
            <w:r>
              <w:rPr>
                <w:rFonts w:ascii="Calibri" w:hAnsi="Calibri"/>
                <w:b w:val="0"/>
                <w:sz w:val="16"/>
              </w:rPr>
              <w:t>Pareto analysis</w:t>
            </w:r>
          </w:p>
        </w:tc>
        <w:tc>
          <w:tcPr>
            <w:tcW w:type="dxa" w:w="7370"/>
            <w:shd w:val="clear" w:fill="F7F9FB"/>
          </w:tcPr>
          <w:p>
            <w:pPr>
              <w:spacing w:after="20" w:before="20" w:line="240" w:lineRule="auto"/>
            </w:pPr>
            <w:r/>
            <w:r>
              <w:rPr>
                <w:rFonts w:ascii="Calibri" w:hAnsi="Calibri"/>
                <w:b w:val="0"/>
                <w:sz w:val="16"/>
              </w:rPr>
              <w:t>Ranking of items by value to show that a minority of items accounts for the majority of consumption.</w:t>
            </w:r>
          </w:p>
        </w:tc>
      </w:tr>
      <w:tr>
        <w:tc>
          <w:tcPr>
            <w:tcW w:type="dxa" w:w="2381"/>
          </w:tcPr>
          <w:p>
            <w:pPr>
              <w:spacing w:after="20" w:before="20" w:line="240" w:lineRule="auto"/>
            </w:pPr>
            <w:r/>
            <w:r>
              <w:rPr>
                <w:rFonts w:ascii="Calibri" w:hAnsi="Calibri"/>
                <w:b w:val="0"/>
                <w:sz w:val="16"/>
              </w:rPr>
              <w:t>Price variance</w:t>
            </w:r>
          </w:p>
        </w:tc>
        <w:tc>
          <w:tcPr>
            <w:tcW w:type="dxa" w:w="7370"/>
          </w:tcPr>
          <w:p>
            <w:pPr>
              <w:spacing w:after="20" w:before="20" w:line="240" w:lineRule="auto"/>
            </w:pPr>
            <w:r/>
            <w:r>
              <w:rPr>
                <w:rFonts w:ascii="Calibri" w:hAnsi="Calibri"/>
                <w:b w:val="0"/>
                <w:sz w:val="16"/>
              </w:rPr>
              <w:t>Movement in the unit price of an item between purchases or against standard cost.</w:t>
            </w:r>
          </w:p>
        </w:tc>
      </w:tr>
      <w:tr>
        <w:tc>
          <w:tcPr>
            <w:tcW w:type="dxa" w:w="2381"/>
            <w:shd w:val="clear" w:fill="F7F9FB"/>
          </w:tcPr>
          <w:p>
            <w:pPr>
              <w:spacing w:after="20" w:before="20" w:line="240" w:lineRule="auto"/>
            </w:pPr>
            <w:r/>
            <w:r>
              <w:rPr>
                <w:rFonts w:ascii="Calibri" w:hAnsi="Calibri"/>
                <w:b w:val="0"/>
                <w:sz w:val="16"/>
              </w:rPr>
              <w:t>Restatement</w:t>
            </w:r>
          </w:p>
        </w:tc>
        <w:tc>
          <w:tcPr>
            <w:tcW w:type="dxa" w:w="7370"/>
            <w:shd w:val="clear" w:fill="F7F9FB"/>
          </w:tcPr>
          <w:p>
            <w:pPr>
              <w:spacing w:after="20" w:before="20" w:line="240" w:lineRule="auto"/>
            </w:pPr>
            <w:r/>
            <w:r>
              <w:rPr>
                <w:rFonts w:ascii="Calibri" w:hAnsi="Calibri"/>
                <w:b w:val="0"/>
                <w:sz w:val="16"/>
              </w:rPr>
              <w:t>Change to previously reported figures caused by later data corrections.</w:t>
            </w:r>
          </w:p>
        </w:tc>
      </w:tr>
      <w:tr>
        <w:tc>
          <w:tcPr>
            <w:tcW w:type="dxa" w:w="2381"/>
          </w:tcPr>
          <w:p>
            <w:pPr>
              <w:spacing w:after="20" w:before="20" w:line="240" w:lineRule="auto"/>
            </w:pPr>
            <w:r/>
            <w:r>
              <w:rPr>
                <w:rFonts w:ascii="Calibri" w:hAnsi="Calibri"/>
                <w:b w:val="0"/>
                <w:sz w:val="16"/>
              </w:rPr>
              <w:t>Slow-moving stock</w:t>
            </w:r>
          </w:p>
        </w:tc>
        <w:tc>
          <w:tcPr>
            <w:tcW w:type="dxa" w:w="7370"/>
          </w:tcPr>
          <w:p>
            <w:pPr>
              <w:spacing w:after="20" w:before="20" w:line="240" w:lineRule="auto"/>
            </w:pPr>
            <w:r/>
            <w:r>
              <w:rPr>
                <w:rFonts w:ascii="Calibri" w:hAnsi="Calibri"/>
                <w:b w:val="0"/>
                <w:sz w:val="16"/>
              </w:rPr>
              <w:t>Stock with no or minimal consumption over the defined lookback period.</w:t>
            </w:r>
          </w:p>
        </w:tc>
      </w:tr>
      <w:tr>
        <w:tc>
          <w:tcPr>
            <w:tcW w:type="dxa" w:w="2381"/>
            <w:shd w:val="clear" w:fill="F7F9FB"/>
          </w:tcPr>
          <w:p>
            <w:pPr>
              <w:spacing w:after="20" w:before="20" w:line="240" w:lineRule="auto"/>
            </w:pPr>
            <w:r/>
            <w:r>
              <w:rPr>
                <w:rFonts w:ascii="Calibri" w:hAnsi="Calibri"/>
                <w:b w:val="0"/>
                <w:sz w:val="16"/>
              </w:rPr>
              <w:t>Snapshot</w:t>
            </w:r>
          </w:p>
        </w:tc>
        <w:tc>
          <w:tcPr>
            <w:tcW w:type="dxa" w:w="7370"/>
            <w:shd w:val="clear" w:fill="F7F9FB"/>
          </w:tcPr>
          <w:p>
            <w:pPr>
              <w:spacing w:after="20" w:before="20" w:line="240" w:lineRule="auto"/>
            </w:pPr>
            <w:r/>
            <w:r>
              <w:rPr>
                <w:rFonts w:ascii="Calibri" w:hAnsi="Calibri"/>
                <w:b w:val="0"/>
                <w:sz w:val="16"/>
              </w:rPr>
              <w:t>A stored copy of figures as at a month-end close, used to reproduce earlier reports.</w:t>
            </w:r>
          </w:p>
        </w:tc>
      </w:tr>
      <w:tr>
        <w:tc>
          <w:tcPr>
            <w:tcW w:type="dxa" w:w="2381"/>
          </w:tcPr>
          <w:p>
            <w:pPr>
              <w:spacing w:after="20" w:before="20" w:line="240" w:lineRule="auto"/>
            </w:pPr>
            <w:r/>
            <w:r>
              <w:rPr>
                <w:rFonts w:ascii="Calibri" w:hAnsi="Calibri"/>
                <w:b w:val="0"/>
                <w:sz w:val="16"/>
              </w:rPr>
              <w:t>Star schema</w:t>
            </w:r>
          </w:p>
        </w:tc>
        <w:tc>
          <w:tcPr>
            <w:tcW w:type="dxa" w:w="7370"/>
          </w:tcPr>
          <w:p>
            <w:pPr>
              <w:spacing w:after="20" w:before="20" w:line="240" w:lineRule="auto"/>
            </w:pPr>
            <w:r/>
            <w:r>
              <w:rPr>
                <w:rFonts w:ascii="Calibri" w:hAnsi="Calibri"/>
                <w:b w:val="0"/>
                <w:sz w:val="16"/>
              </w:rPr>
              <w:t>A data model with a central fact table joined to conformed dimension tables.</w:t>
            </w:r>
          </w:p>
        </w:tc>
      </w:tr>
      <w:tr>
        <w:tc>
          <w:tcPr>
            <w:tcW w:type="dxa" w:w="2381"/>
            <w:shd w:val="clear" w:fill="F7F9FB"/>
          </w:tcPr>
          <w:p>
            <w:pPr>
              <w:spacing w:after="20" w:before="20" w:line="240" w:lineRule="auto"/>
            </w:pPr>
            <w:r/>
            <w:r>
              <w:rPr>
                <w:rFonts w:ascii="Calibri" w:hAnsi="Calibri"/>
                <w:b w:val="0"/>
                <w:sz w:val="16"/>
              </w:rPr>
              <w:t>Stock-out</w:t>
            </w:r>
          </w:p>
        </w:tc>
        <w:tc>
          <w:tcPr>
            <w:tcW w:type="dxa" w:w="7370"/>
            <w:shd w:val="clear" w:fill="F7F9FB"/>
          </w:tcPr>
          <w:p>
            <w:pPr>
              <w:spacing w:after="20" w:before="20" w:line="240" w:lineRule="auto"/>
            </w:pPr>
            <w:r/>
            <w:r>
              <w:rPr>
                <w:rFonts w:ascii="Calibri" w:hAnsi="Calibri"/>
                <w:b w:val="0"/>
                <w:sz w:val="16"/>
              </w:rPr>
              <w:t>A situation in which required stock is not available, so demand cannot be met.</w:t>
            </w:r>
          </w:p>
        </w:tc>
      </w:tr>
      <w:tr>
        <w:tc>
          <w:tcPr>
            <w:tcW w:type="dxa" w:w="2381"/>
          </w:tcPr>
          <w:p>
            <w:pPr>
              <w:spacing w:after="20" w:before="20" w:line="240" w:lineRule="auto"/>
            </w:pPr>
            <w:r/>
            <w:r>
              <w:rPr>
                <w:rFonts w:ascii="Calibri" w:hAnsi="Calibri"/>
                <w:b w:val="0"/>
                <w:sz w:val="16"/>
              </w:rPr>
              <w:t>UAT</w:t>
            </w:r>
          </w:p>
        </w:tc>
        <w:tc>
          <w:tcPr>
            <w:tcW w:type="dxa" w:w="7370"/>
          </w:tcPr>
          <w:p>
            <w:pPr>
              <w:spacing w:after="20" w:before="20" w:line="240" w:lineRule="auto"/>
            </w:pPr>
            <w:r/>
            <w:r>
              <w:rPr>
                <w:rFonts w:ascii="Calibri" w:hAnsi="Calibri"/>
                <w:b w:val="0"/>
                <w:sz w:val="16"/>
              </w:rPr>
              <w:t>User acceptance testing; business validation that the solution meets the requirements.</w:t>
            </w:r>
          </w:p>
        </w:tc>
      </w:tr>
      <w:tr>
        <w:tc>
          <w:tcPr>
            <w:tcW w:type="dxa" w:w="2381"/>
            <w:shd w:val="clear" w:fill="F7F9FB"/>
          </w:tcPr>
          <w:p>
            <w:pPr>
              <w:spacing w:after="20" w:before="20" w:line="240" w:lineRule="auto"/>
            </w:pPr>
            <w:r/>
            <w:r>
              <w:rPr>
                <w:rFonts w:ascii="Calibri" w:hAnsi="Calibri"/>
                <w:b w:val="0"/>
                <w:sz w:val="16"/>
              </w:rPr>
              <w:t>Unattributed consumption</w:t>
            </w:r>
          </w:p>
        </w:tc>
        <w:tc>
          <w:tcPr>
            <w:tcW w:type="dxa" w:w="7370"/>
            <w:shd w:val="clear" w:fill="F7F9FB"/>
          </w:tcPr>
          <w:p>
            <w:pPr>
              <w:spacing w:after="20" w:before="20" w:line="240" w:lineRule="auto"/>
            </w:pPr>
            <w:r/>
            <w:r>
              <w:rPr>
                <w:rFonts w:ascii="Calibri" w:hAnsi="Calibri"/>
                <w:b w:val="0"/>
                <w:sz w:val="16"/>
              </w:rPr>
              <w:t>Consumption charged to a generic or invalid project code rather than to a project.</w:t>
            </w:r>
          </w:p>
        </w:tc>
      </w:tr>
    </w:tbl>
    <w:p>
      <w:pPr>
        <w:spacing w:after="20"/>
      </w:pPr>
    </w:p>
    <w:p>
      <w:r>
        <w:br w:type="page"/>
      </w:r>
    </w:p>
    <w:p>
      <w:pPr>
        <w:pStyle w:val="Heading1"/>
      </w:pPr>
      <w:r>
        <w:t>Appendix A – Reporting Data Model</w:t>
      </w:r>
    </w:p>
    <w:p>
      <w:pPr>
        <w:spacing w:after="100"/>
      </w:pPr>
      <w:r>
        <w:rPr>
          <w:b w:val="0"/>
          <w:i w:val="0"/>
        </w:rPr>
        <w:t>The reporting model follows a star schema. Dimensions are conformed so that every fact can be sliced by the same attributes, and the transactional facts share keys that allow drill-through from consumption to purchase.</w:t>
      </w:r>
    </w:p>
    <w:p>
      <w:pPr>
        <w:pStyle w:val="Heading2"/>
      </w:pPr>
      <w:r>
        <w:t>A.1 Dimensions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trPr>
        <w:tc>
          <w:tcPr>
            <w:tcW w:type="dxa" w:w="2041"/>
            <w:shd w:val="clear" w:fill="1F3B57"/>
          </w:tcPr>
          <w:p>
            <w:pPr>
              <w:spacing w:after="20" w:before="20" w:line="240" w:lineRule="auto"/>
            </w:pPr>
            <w:r/>
            <w:r>
              <w:rPr>
                <w:rFonts w:ascii="Calibri" w:hAnsi="Calibri"/>
                <w:b/>
                <w:color w:val="FFFFFF"/>
                <w:sz w:val="16"/>
              </w:rPr>
              <w:t>Dimension</w:t>
            </w:r>
          </w:p>
        </w:tc>
        <w:tc>
          <w:tcPr>
            <w:tcW w:type="dxa" w:w="1587"/>
            <w:shd w:val="clear" w:fill="1F3B57"/>
          </w:tcPr>
          <w:p>
            <w:pPr>
              <w:spacing w:after="20" w:before="20" w:line="240" w:lineRule="auto"/>
            </w:pPr>
            <w:r/>
            <w:r>
              <w:rPr>
                <w:rFonts w:ascii="Calibri" w:hAnsi="Calibri"/>
                <w:b/>
                <w:color w:val="FFFFFF"/>
                <w:sz w:val="16"/>
              </w:rPr>
              <w:t>Key</w:t>
            </w:r>
          </w:p>
        </w:tc>
        <w:tc>
          <w:tcPr>
            <w:tcW w:type="dxa" w:w="6123"/>
            <w:shd w:val="clear" w:fill="1F3B57"/>
          </w:tcPr>
          <w:p>
            <w:pPr>
              <w:spacing w:after="20" w:before="20" w:line="240" w:lineRule="auto"/>
            </w:pPr>
            <w:r/>
            <w:r>
              <w:rPr>
                <w:rFonts w:ascii="Calibri" w:hAnsi="Calibri"/>
                <w:b/>
                <w:color w:val="FFFFFF"/>
                <w:sz w:val="16"/>
              </w:rPr>
              <w:t>Principal attributes</w:t>
            </w:r>
          </w:p>
        </w:tc>
      </w:tr>
      <w:tr>
        <w:tc>
          <w:tcPr>
            <w:tcW w:type="dxa" w:w="2041"/>
          </w:tcPr>
          <w:p>
            <w:pPr>
              <w:spacing w:after="20" w:before="20" w:line="240" w:lineRule="auto"/>
            </w:pPr>
            <w:r/>
            <w:r>
              <w:rPr>
                <w:rFonts w:ascii="Calibri" w:hAnsi="Calibri"/>
                <w:b w:val="0"/>
                <w:sz w:val="16"/>
              </w:rPr>
              <w:t>Dim_Donor</w:t>
            </w:r>
          </w:p>
        </w:tc>
        <w:tc>
          <w:tcPr>
            <w:tcW w:type="dxa" w:w="1587"/>
          </w:tcPr>
          <w:p>
            <w:pPr>
              <w:spacing w:after="20" w:before="20" w:line="240" w:lineRule="auto"/>
            </w:pPr>
            <w:r/>
            <w:r>
              <w:rPr>
                <w:rFonts w:ascii="Calibri" w:hAnsi="Calibri"/>
                <w:b w:val="0"/>
                <w:sz w:val="16"/>
              </w:rPr>
              <w:t>DonorKey</w:t>
            </w:r>
          </w:p>
        </w:tc>
        <w:tc>
          <w:tcPr>
            <w:tcW w:type="dxa" w:w="6123"/>
          </w:tcPr>
          <w:p>
            <w:pPr>
              <w:spacing w:after="20" w:before="20" w:line="240" w:lineRule="auto"/>
            </w:pPr>
            <w:r/>
            <w:r>
              <w:rPr>
                <w:rFonts w:ascii="Calibri" w:hAnsi="Calibri"/>
                <w:b w:val="0"/>
                <w:sz w:val="16"/>
              </w:rPr>
              <w:t>Donor name, type, grant reference, currency, reporting frequency</w:t>
            </w:r>
          </w:p>
        </w:tc>
      </w:tr>
      <w:tr>
        <w:tc>
          <w:tcPr>
            <w:tcW w:type="dxa" w:w="2041"/>
            <w:shd w:val="clear" w:fill="F7F9FB"/>
          </w:tcPr>
          <w:p>
            <w:pPr>
              <w:spacing w:after="20" w:before="20" w:line="240" w:lineRule="auto"/>
            </w:pPr>
            <w:r/>
            <w:r>
              <w:rPr>
                <w:rFonts w:ascii="Calibri" w:hAnsi="Calibri"/>
                <w:b w:val="0"/>
                <w:sz w:val="16"/>
              </w:rPr>
              <w:t>Dim_Project</w:t>
            </w:r>
          </w:p>
        </w:tc>
        <w:tc>
          <w:tcPr>
            <w:tcW w:type="dxa" w:w="1587"/>
            <w:shd w:val="clear" w:fill="F7F9FB"/>
          </w:tcPr>
          <w:p>
            <w:pPr>
              <w:spacing w:after="20" w:before="20" w:line="240" w:lineRule="auto"/>
            </w:pPr>
            <w:r/>
            <w:r>
              <w:rPr>
                <w:rFonts w:ascii="Calibri" w:hAnsi="Calibri"/>
                <w:b w:val="0"/>
                <w:sz w:val="16"/>
              </w:rPr>
              <w:t>ProjectKey</w:t>
            </w:r>
          </w:p>
        </w:tc>
        <w:tc>
          <w:tcPr>
            <w:tcW w:type="dxa" w:w="6123"/>
            <w:shd w:val="clear" w:fill="F7F9FB"/>
          </w:tcPr>
          <w:p>
            <w:pPr>
              <w:spacing w:after="20" w:before="20" w:line="240" w:lineRule="auto"/>
            </w:pPr>
            <w:r/>
            <w:r>
              <w:rPr>
                <w:rFonts w:ascii="Calibri" w:hAnsi="Calibri"/>
                <w:b w:val="0"/>
                <w:sz w:val="16"/>
              </w:rPr>
              <w:t>Project code, name, donor, sector, district, facility, start and end dates, status, approved budget, default warehouse</w:t>
            </w:r>
          </w:p>
        </w:tc>
      </w:tr>
      <w:tr>
        <w:tc>
          <w:tcPr>
            <w:tcW w:type="dxa" w:w="2041"/>
          </w:tcPr>
          <w:p>
            <w:pPr>
              <w:spacing w:after="20" w:before="20" w:line="240" w:lineRule="auto"/>
            </w:pPr>
            <w:r/>
            <w:r>
              <w:rPr>
                <w:rFonts w:ascii="Calibri" w:hAnsi="Calibri"/>
                <w:b w:val="0"/>
                <w:sz w:val="16"/>
              </w:rPr>
              <w:t>Dim_Item</w:t>
            </w:r>
          </w:p>
        </w:tc>
        <w:tc>
          <w:tcPr>
            <w:tcW w:type="dxa" w:w="1587"/>
          </w:tcPr>
          <w:p>
            <w:pPr>
              <w:spacing w:after="20" w:before="20" w:line="240" w:lineRule="auto"/>
            </w:pPr>
            <w:r/>
            <w:r>
              <w:rPr>
                <w:rFonts w:ascii="Calibri" w:hAnsi="Calibri"/>
                <w:b w:val="0"/>
                <w:sz w:val="16"/>
              </w:rPr>
              <w:t>ItemKey</w:t>
            </w:r>
          </w:p>
        </w:tc>
        <w:tc>
          <w:tcPr>
            <w:tcW w:type="dxa" w:w="6123"/>
          </w:tcPr>
          <w:p>
            <w:pPr>
              <w:spacing w:after="20" w:before="20" w:line="240" w:lineRule="auto"/>
            </w:pPr>
            <w:r/>
            <w:r>
              <w:rPr>
                <w:rFonts w:ascii="Calibri" w:hAnsi="Calibri"/>
                <w:b w:val="0"/>
                <w:sz w:val="16"/>
              </w:rPr>
              <w:t>Item code, description, category, sub-category, base UOM, pack size, standard cost, consumable flag, reorder level</w:t>
            </w:r>
          </w:p>
        </w:tc>
      </w:tr>
      <w:tr>
        <w:tc>
          <w:tcPr>
            <w:tcW w:type="dxa" w:w="2041"/>
            <w:shd w:val="clear" w:fill="F7F9FB"/>
          </w:tcPr>
          <w:p>
            <w:pPr>
              <w:spacing w:after="20" w:before="20" w:line="240" w:lineRule="auto"/>
            </w:pPr>
            <w:r/>
            <w:r>
              <w:rPr>
                <w:rFonts w:ascii="Calibri" w:hAnsi="Calibri"/>
                <w:b w:val="0"/>
                <w:sz w:val="16"/>
              </w:rPr>
              <w:t>Dim_Supplier</w:t>
            </w:r>
          </w:p>
        </w:tc>
        <w:tc>
          <w:tcPr>
            <w:tcW w:type="dxa" w:w="1587"/>
            <w:shd w:val="clear" w:fill="F7F9FB"/>
          </w:tcPr>
          <w:p>
            <w:pPr>
              <w:spacing w:after="20" w:before="20" w:line="240" w:lineRule="auto"/>
            </w:pPr>
            <w:r/>
            <w:r>
              <w:rPr>
                <w:rFonts w:ascii="Calibri" w:hAnsi="Calibri"/>
                <w:b w:val="0"/>
                <w:sz w:val="16"/>
              </w:rPr>
              <w:t>SupplierKey</w:t>
            </w:r>
          </w:p>
        </w:tc>
        <w:tc>
          <w:tcPr>
            <w:tcW w:type="dxa" w:w="6123"/>
            <w:shd w:val="clear" w:fill="F7F9FB"/>
          </w:tcPr>
          <w:p>
            <w:pPr>
              <w:spacing w:after="20" w:before="20" w:line="240" w:lineRule="auto"/>
            </w:pPr>
            <w:r/>
            <w:r>
              <w:rPr>
                <w:rFonts w:ascii="Calibri" w:hAnsi="Calibri"/>
                <w:b w:val="0"/>
                <w:sz w:val="16"/>
              </w:rPr>
              <w:t>Supplier name, city, tax number, payment terms, agreed lead time, status</w:t>
            </w:r>
          </w:p>
        </w:tc>
      </w:tr>
      <w:tr>
        <w:tc>
          <w:tcPr>
            <w:tcW w:type="dxa" w:w="2041"/>
          </w:tcPr>
          <w:p>
            <w:pPr>
              <w:spacing w:after="20" w:before="20" w:line="240" w:lineRule="auto"/>
            </w:pPr>
            <w:r/>
            <w:r>
              <w:rPr>
                <w:rFonts w:ascii="Calibri" w:hAnsi="Calibri"/>
                <w:b w:val="0"/>
                <w:sz w:val="16"/>
              </w:rPr>
              <w:t>Dim_Warehouse</w:t>
            </w:r>
          </w:p>
        </w:tc>
        <w:tc>
          <w:tcPr>
            <w:tcW w:type="dxa" w:w="1587"/>
          </w:tcPr>
          <w:p>
            <w:pPr>
              <w:spacing w:after="20" w:before="20" w:line="240" w:lineRule="auto"/>
            </w:pPr>
            <w:r/>
            <w:r>
              <w:rPr>
                <w:rFonts w:ascii="Calibri" w:hAnsi="Calibri"/>
                <w:b w:val="0"/>
                <w:sz w:val="16"/>
              </w:rPr>
              <w:t>WarehouseKey</w:t>
            </w:r>
          </w:p>
        </w:tc>
        <w:tc>
          <w:tcPr>
            <w:tcW w:type="dxa" w:w="6123"/>
          </w:tcPr>
          <w:p>
            <w:pPr>
              <w:spacing w:after="20" w:before="20" w:line="240" w:lineRule="auto"/>
            </w:pPr>
            <w:r/>
            <w:r>
              <w:rPr>
                <w:rFonts w:ascii="Calibri" w:hAnsi="Calibri"/>
                <w:b w:val="0"/>
                <w:sz w:val="16"/>
              </w:rPr>
              <w:t>Warehouse code, name, district, type, in-charge</w:t>
            </w:r>
          </w:p>
        </w:tc>
      </w:tr>
      <w:tr>
        <w:tc>
          <w:tcPr>
            <w:tcW w:type="dxa" w:w="2041"/>
            <w:shd w:val="clear" w:fill="F7F9FB"/>
          </w:tcPr>
          <w:p>
            <w:pPr>
              <w:spacing w:after="20" w:before="20" w:line="240" w:lineRule="auto"/>
            </w:pPr>
            <w:r/>
            <w:r>
              <w:rPr>
                <w:rFonts w:ascii="Calibri" w:hAnsi="Calibri"/>
                <w:b w:val="0"/>
                <w:sz w:val="16"/>
              </w:rPr>
              <w:t>Dim_Date</w:t>
            </w:r>
          </w:p>
        </w:tc>
        <w:tc>
          <w:tcPr>
            <w:tcW w:type="dxa" w:w="1587"/>
            <w:shd w:val="clear" w:fill="F7F9FB"/>
          </w:tcPr>
          <w:p>
            <w:pPr>
              <w:spacing w:after="20" w:before="20" w:line="240" w:lineRule="auto"/>
            </w:pPr>
            <w:r/>
            <w:r>
              <w:rPr>
                <w:rFonts w:ascii="Calibri" w:hAnsi="Calibri"/>
                <w:b w:val="0"/>
                <w:sz w:val="16"/>
              </w:rPr>
              <w:t>DateKey</w:t>
            </w:r>
          </w:p>
        </w:tc>
        <w:tc>
          <w:tcPr>
            <w:tcW w:type="dxa" w:w="6123"/>
            <w:shd w:val="clear" w:fill="F7F9FB"/>
          </w:tcPr>
          <w:p>
            <w:pPr>
              <w:spacing w:after="20" w:before="20" w:line="240" w:lineRule="auto"/>
            </w:pPr>
            <w:r/>
            <w:r>
              <w:rPr>
                <w:rFonts w:ascii="Calibri" w:hAnsi="Calibri"/>
                <w:b w:val="0"/>
                <w:sz w:val="16"/>
              </w:rPr>
              <w:t>Date, month, quarter, fiscal year, period key, close date</w:t>
            </w:r>
          </w:p>
        </w:tc>
      </w:tr>
      <w:tr>
        <w:tc>
          <w:tcPr>
            <w:tcW w:type="dxa" w:w="2041"/>
          </w:tcPr>
          <w:p>
            <w:pPr>
              <w:spacing w:after="20" w:before="20" w:line="240" w:lineRule="auto"/>
            </w:pPr>
            <w:r/>
            <w:r>
              <w:rPr>
                <w:rFonts w:ascii="Calibri" w:hAnsi="Calibri"/>
                <w:b w:val="0"/>
                <w:sz w:val="16"/>
              </w:rPr>
              <w:t>Dim_ServicePoint</w:t>
            </w:r>
          </w:p>
        </w:tc>
        <w:tc>
          <w:tcPr>
            <w:tcW w:type="dxa" w:w="1587"/>
          </w:tcPr>
          <w:p>
            <w:pPr>
              <w:spacing w:after="20" w:before="20" w:line="240" w:lineRule="auto"/>
            </w:pPr>
            <w:r/>
            <w:r>
              <w:rPr>
                <w:rFonts w:ascii="Calibri" w:hAnsi="Calibri"/>
                <w:b w:val="0"/>
                <w:sz w:val="16"/>
              </w:rPr>
              <w:t>ServicePointKey</w:t>
            </w:r>
          </w:p>
        </w:tc>
        <w:tc>
          <w:tcPr>
            <w:tcW w:type="dxa" w:w="6123"/>
          </w:tcPr>
          <w:p>
            <w:pPr>
              <w:spacing w:after="20" w:before="20" w:line="240" w:lineRule="auto"/>
            </w:pPr>
            <w:r/>
            <w:r>
              <w:rPr>
                <w:rFonts w:ascii="Calibri" w:hAnsi="Calibri"/>
                <w:b w:val="0"/>
                <w:sz w:val="16"/>
              </w:rPr>
              <w:t>Service point or department within a project</w:t>
            </w:r>
          </w:p>
        </w:tc>
      </w:tr>
      <w:tr>
        <w:tc>
          <w:tcPr>
            <w:tcW w:type="dxa" w:w="2041"/>
            <w:shd w:val="clear" w:fill="F7F9FB"/>
          </w:tcPr>
          <w:p>
            <w:pPr>
              <w:spacing w:after="20" w:before="20" w:line="240" w:lineRule="auto"/>
            </w:pPr>
            <w:r/>
            <w:r>
              <w:rPr>
                <w:rFonts w:ascii="Calibri" w:hAnsi="Calibri"/>
                <w:b w:val="0"/>
                <w:sz w:val="16"/>
              </w:rPr>
              <w:t>Dim_ExceptionType</w:t>
            </w:r>
          </w:p>
        </w:tc>
        <w:tc>
          <w:tcPr>
            <w:tcW w:type="dxa" w:w="1587"/>
            <w:shd w:val="clear" w:fill="F7F9FB"/>
          </w:tcPr>
          <w:p>
            <w:pPr>
              <w:spacing w:after="20" w:before="20" w:line="240" w:lineRule="auto"/>
            </w:pPr>
            <w:r/>
            <w:r>
              <w:rPr>
                <w:rFonts w:ascii="Calibri" w:hAnsi="Calibri"/>
                <w:b w:val="0"/>
                <w:sz w:val="16"/>
              </w:rPr>
              <w:t>ExceptionTypeKey</w:t>
            </w:r>
          </w:p>
        </w:tc>
        <w:tc>
          <w:tcPr>
            <w:tcW w:type="dxa" w:w="6123"/>
            <w:shd w:val="clear" w:fill="F7F9FB"/>
          </w:tcPr>
          <w:p>
            <w:pPr>
              <w:spacing w:after="20" w:before="20" w:line="240" w:lineRule="auto"/>
            </w:pPr>
            <w:r/>
            <w:r>
              <w:rPr>
                <w:rFonts w:ascii="Calibri" w:hAnsi="Calibri"/>
                <w:b w:val="0"/>
                <w:sz w:val="16"/>
              </w:rPr>
              <w:t>Exception category and default owner</w:t>
            </w:r>
          </w:p>
        </w:tc>
      </w:tr>
    </w:tbl>
    <w:p>
      <w:pPr>
        <w:spacing w:after="20"/>
      </w:pPr>
    </w:p>
    <w:p>
      <w:pPr>
        <w:pStyle w:val="Heading2"/>
      </w:pPr>
      <w:r>
        <w:t>A.2 Facts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trPr>
        <w:tc>
          <w:tcPr>
            <w:tcW w:type="dxa" w:w="2041"/>
            <w:shd w:val="clear" w:fill="1F3B57"/>
          </w:tcPr>
          <w:p>
            <w:pPr>
              <w:spacing w:after="20" w:before="20" w:line="240" w:lineRule="auto"/>
            </w:pPr>
            <w:r/>
            <w:r>
              <w:rPr>
                <w:rFonts w:ascii="Calibri" w:hAnsi="Calibri"/>
                <w:b/>
                <w:color w:val="FFFFFF"/>
                <w:sz w:val="16"/>
              </w:rPr>
              <w:t>Fact</w:t>
            </w:r>
          </w:p>
        </w:tc>
        <w:tc>
          <w:tcPr>
            <w:tcW w:type="dxa" w:w="2948"/>
            <w:shd w:val="clear" w:fill="1F3B57"/>
          </w:tcPr>
          <w:p>
            <w:pPr>
              <w:spacing w:after="20" w:before="20" w:line="240" w:lineRule="auto"/>
            </w:pPr>
            <w:r/>
            <w:r>
              <w:rPr>
                <w:rFonts w:ascii="Calibri" w:hAnsi="Calibri"/>
                <w:b/>
                <w:color w:val="FFFFFF"/>
                <w:sz w:val="16"/>
              </w:rPr>
              <w:t>Grain</w:t>
            </w:r>
          </w:p>
        </w:tc>
        <w:tc>
          <w:tcPr>
            <w:tcW w:type="dxa" w:w="4762"/>
            <w:shd w:val="clear" w:fill="1F3B57"/>
          </w:tcPr>
          <w:p>
            <w:pPr>
              <w:spacing w:after="20" w:before="20" w:line="240" w:lineRule="auto"/>
            </w:pPr>
            <w:r/>
            <w:r>
              <w:rPr>
                <w:rFonts w:ascii="Calibri" w:hAnsi="Calibri"/>
                <w:b/>
                <w:color w:val="FFFFFF"/>
                <w:sz w:val="16"/>
              </w:rPr>
              <w:t>Measures</w:t>
            </w:r>
          </w:p>
        </w:tc>
      </w:tr>
      <w:tr>
        <w:tc>
          <w:tcPr>
            <w:tcW w:type="dxa" w:w="2041"/>
          </w:tcPr>
          <w:p>
            <w:pPr>
              <w:spacing w:after="20" w:before="20" w:line="240" w:lineRule="auto"/>
            </w:pPr>
            <w:r/>
            <w:r>
              <w:rPr>
                <w:rFonts w:ascii="Calibri" w:hAnsi="Calibri"/>
                <w:b w:val="0"/>
                <w:sz w:val="16"/>
              </w:rPr>
              <w:t>Fact_PurchaseOrder</w:t>
            </w:r>
          </w:p>
        </w:tc>
        <w:tc>
          <w:tcPr>
            <w:tcW w:type="dxa" w:w="2948"/>
          </w:tcPr>
          <w:p>
            <w:pPr>
              <w:spacing w:after="20" w:before="20" w:line="240" w:lineRule="auto"/>
            </w:pPr>
            <w:r/>
            <w:r>
              <w:rPr>
                <w:rFonts w:ascii="Calibri" w:hAnsi="Calibri"/>
                <w:b w:val="0"/>
                <w:sz w:val="16"/>
              </w:rPr>
              <w:t>One PO line</w:t>
            </w:r>
          </w:p>
        </w:tc>
        <w:tc>
          <w:tcPr>
            <w:tcW w:type="dxa" w:w="4762"/>
          </w:tcPr>
          <w:p>
            <w:pPr>
              <w:spacing w:after="20" w:before="20" w:line="240" w:lineRule="auto"/>
            </w:pPr>
            <w:r/>
            <w:r>
              <w:rPr>
                <w:rFonts w:ascii="Calibri" w:hAnsi="Calibri"/>
                <w:b w:val="0"/>
                <w:sz w:val="16"/>
              </w:rPr>
              <w:t>Quantity ordered, unit price, line value, lead time days</w:t>
            </w:r>
          </w:p>
        </w:tc>
      </w:tr>
      <w:tr>
        <w:tc>
          <w:tcPr>
            <w:tcW w:type="dxa" w:w="2041"/>
            <w:shd w:val="clear" w:fill="F7F9FB"/>
          </w:tcPr>
          <w:p>
            <w:pPr>
              <w:spacing w:after="20" w:before="20" w:line="240" w:lineRule="auto"/>
            </w:pPr>
            <w:r/>
            <w:r>
              <w:rPr>
                <w:rFonts w:ascii="Calibri" w:hAnsi="Calibri"/>
                <w:b w:val="0"/>
                <w:sz w:val="16"/>
              </w:rPr>
              <w:t>Fact_Receipts</w:t>
            </w:r>
          </w:p>
        </w:tc>
        <w:tc>
          <w:tcPr>
            <w:tcW w:type="dxa" w:w="2948"/>
            <w:shd w:val="clear" w:fill="F7F9FB"/>
          </w:tcPr>
          <w:p>
            <w:pPr>
              <w:spacing w:after="20" w:before="20" w:line="240" w:lineRule="auto"/>
            </w:pPr>
            <w:r/>
            <w:r>
              <w:rPr>
                <w:rFonts w:ascii="Calibri" w:hAnsi="Calibri"/>
                <w:b w:val="0"/>
                <w:sz w:val="16"/>
              </w:rPr>
              <w:t>One GRN line for one batch</w:t>
            </w:r>
          </w:p>
        </w:tc>
        <w:tc>
          <w:tcPr>
            <w:tcW w:type="dxa" w:w="4762"/>
            <w:shd w:val="clear" w:fill="F7F9FB"/>
          </w:tcPr>
          <w:p>
            <w:pPr>
              <w:spacing w:after="20" w:before="20" w:line="240" w:lineRule="auto"/>
            </w:pPr>
            <w:r/>
            <w:r>
              <w:rPr>
                <w:rFonts w:ascii="Calibri" w:hAnsi="Calibri"/>
                <w:b w:val="0"/>
                <w:sz w:val="16"/>
              </w:rPr>
              <w:t>Quantity received, unit cost, received value</w:t>
            </w:r>
          </w:p>
        </w:tc>
      </w:tr>
      <w:tr>
        <w:tc>
          <w:tcPr>
            <w:tcW w:type="dxa" w:w="2041"/>
          </w:tcPr>
          <w:p>
            <w:pPr>
              <w:spacing w:after="20" w:before="20" w:line="240" w:lineRule="auto"/>
            </w:pPr>
            <w:r/>
            <w:r>
              <w:rPr>
                <w:rFonts w:ascii="Calibri" w:hAnsi="Calibri"/>
                <w:b w:val="0"/>
                <w:sz w:val="16"/>
              </w:rPr>
              <w:t>Fact_Consumption</w:t>
            </w:r>
          </w:p>
        </w:tc>
        <w:tc>
          <w:tcPr>
            <w:tcW w:type="dxa" w:w="2948"/>
          </w:tcPr>
          <w:p>
            <w:pPr>
              <w:spacing w:after="20" w:before="20" w:line="240" w:lineRule="auto"/>
            </w:pPr>
            <w:r/>
            <w:r>
              <w:rPr>
                <w:rFonts w:ascii="Calibri" w:hAnsi="Calibri"/>
                <w:b w:val="0"/>
                <w:sz w:val="16"/>
              </w:rPr>
              <w:t>One issue line for one item and batch</w:t>
            </w:r>
          </w:p>
        </w:tc>
        <w:tc>
          <w:tcPr>
            <w:tcW w:type="dxa" w:w="4762"/>
          </w:tcPr>
          <w:p>
            <w:pPr>
              <w:spacing w:after="20" w:before="20" w:line="240" w:lineRule="auto"/>
            </w:pPr>
            <w:r/>
            <w:r>
              <w:rPr>
                <w:rFonts w:ascii="Calibri" w:hAnsi="Calibri"/>
                <w:b w:val="0"/>
                <w:sz w:val="16"/>
              </w:rPr>
              <w:t>Quantity issued, unit cost, issue value</w:t>
            </w:r>
          </w:p>
        </w:tc>
      </w:tr>
      <w:tr>
        <w:tc>
          <w:tcPr>
            <w:tcW w:type="dxa" w:w="2041"/>
            <w:shd w:val="clear" w:fill="F7F9FB"/>
          </w:tcPr>
          <w:p>
            <w:pPr>
              <w:spacing w:after="20" w:before="20" w:line="240" w:lineRule="auto"/>
            </w:pPr>
            <w:r/>
            <w:r>
              <w:rPr>
                <w:rFonts w:ascii="Calibri" w:hAnsi="Calibri"/>
                <w:b w:val="0"/>
                <w:sz w:val="16"/>
              </w:rPr>
              <w:t>Fact_StockBalance</w:t>
            </w:r>
          </w:p>
        </w:tc>
        <w:tc>
          <w:tcPr>
            <w:tcW w:type="dxa" w:w="2948"/>
            <w:shd w:val="clear" w:fill="F7F9FB"/>
          </w:tcPr>
          <w:p>
            <w:pPr>
              <w:spacing w:after="20" w:before="20" w:line="240" w:lineRule="auto"/>
            </w:pPr>
            <w:r/>
            <w:r>
              <w:rPr>
                <w:rFonts w:ascii="Calibri" w:hAnsi="Calibri"/>
                <w:b w:val="0"/>
                <w:sz w:val="16"/>
              </w:rPr>
              <w:t>Item × warehouse × period end</w:t>
            </w:r>
          </w:p>
        </w:tc>
        <w:tc>
          <w:tcPr>
            <w:tcW w:type="dxa" w:w="4762"/>
            <w:shd w:val="clear" w:fill="F7F9FB"/>
          </w:tcPr>
          <w:p>
            <w:pPr>
              <w:spacing w:after="20" w:before="20" w:line="240" w:lineRule="auto"/>
            </w:pPr>
            <w:r/>
            <w:r>
              <w:rPr>
                <w:rFonts w:ascii="Calibri" w:hAnsi="Calibri"/>
                <w:b w:val="0"/>
                <w:sz w:val="16"/>
              </w:rPr>
              <w:t>Opening quantity, receipts, issues, adjustments, closing quantity and value</w:t>
            </w:r>
          </w:p>
        </w:tc>
      </w:tr>
      <w:tr>
        <w:tc>
          <w:tcPr>
            <w:tcW w:type="dxa" w:w="2041"/>
          </w:tcPr>
          <w:p>
            <w:pPr>
              <w:spacing w:after="20" w:before="20" w:line="240" w:lineRule="auto"/>
            </w:pPr>
            <w:r/>
            <w:r>
              <w:rPr>
                <w:rFonts w:ascii="Calibri" w:hAnsi="Calibri"/>
                <w:b w:val="0"/>
                <w:sz w:val="16"/>
              </w:rPr>
              <w:t>Fact_Budget</w:t>
            </w:r>
          </w:p>
        </w:tc>
        <w:tc>
          <w:tcPr>
            <w:tcW w:type="dxa" w:w="2948"/>
          </w:tcPr>
          <w:p>
            <w:pPr>
              <w:spacing w:after="20" w:before="20" w:line="240" w:lineRule="auto"/>
            </w:pPr>
            <w:r/>
            <w:r>
              <w:rPr>
                <w:rFonts w:ascii="Calibri" w:hAnsi="Calibri"/>
                <w:b w:val="0"/>
                <w:sz w:val="16"/>
              </w:rPr>
              <w:t>Project × fiscal year × expense category</w:t>
            </w:r>
          </w:p>
        </w:tc>
        <w:tc>
          <w:tcPr>
            <w:tcW w:type="dxa" w:w="4762"/>
          </w:tcPr>
          <w:p>
            <w:pPr>
              <w:spacing w:after="20" w:before="20" w:line="240" w:lineRule="auto"/>
            </w:pPr>
            <w:r/>
            <w:r>
              <w:rPr>
                <w:rFonts w:ascii="Calibri" w:hAnsi="Calibri"/>
                <w:b w:val="0"/>
                <w:sz w:val="16"/>
              </w:rPr>
              <w:t>Budget amount</w:t>
            </w:r>
          </w:p>
        </w:tc>
      </w:tr>
      <w:tr>
        <w:tc>
          <w:tcPr>
            <w:tcW w:type="dxa" w:w="2041"/>
            <w:shd w:val="clear" w:fill="F7F9FB"/>
          </w:tcPr>
          <w:p>
            <w:pPr>
              <w:spacing w:after="20" w:before="20" w:line="240" w:lineRule="auto"/>
            </w:pPr>
            <w:r/>
            <w:r>
              <w:rPr>
                <w:rFonts w:ascii="Calibri" w:hAnsi="Calibri"/>
                <w:b w:val="0"/>
                <w:sz w:val="16"/>
              </w:rPr>
              <w:t>Fact_ServiceDelivery</w:t>
            </w:r>
          </w:p>
        </w:tc>
        <w:tc>
          <w:tcPr>
            <w:tcW w:type="dxa" w:w="2948"/>
            <w:shd w:val="clear" w:fill="F7F9FB"/>
          </w:tcPr>
          <w:p>
            <w:pPr>
              <w:spacing w:after="20" w:before="20" w:line="240" w:lineRule="auto"/>
            </w:pPr>
            <w:r/>
            <w:r>
              <w:rPr>
                <w:rFonts w:ascii="Calibri" w:hAnsi="Calibri"/>
                <w:b w:val="0"/>
                <w:sz w:val="16"/>
              </w:rPr>
              <w:t>Project × month</w:t>
            </w:r>
          </w:p>
        </w:tc>
        <w:tc>
          <w:tcPr>
            <w:tcW w:type="dxa" w:w="4762"/>
            <w:shd w:val="clear" w:fill="F7F9FB"/>
          </w:tcPr>
          <w:p>
            <w:pPr>
              <w:spacing w:after="20" w:before="20" w:line="240" w:lineRule="auto"/>
            </w:pPr>
            <w:r/>
            <w:r>
              <w:rPr>
                <w:rFonts w:ascii="Calibri" w:hAnsi="Calibri"/>
                <w:b w:val="0"/>
                <w:sz w:val="16"/>
              </w:rPr>
              <w:t>Beneficiaries served, patient visits, admissions</w:t>
            </w:r>
          </w:p>
        </w:tc>
      </w:tr>
      <w:tr>
        <w:tc>
          <w:tcPr>
            <w:tcW w:type="dxa" w:w="2041"/>
          </w:tcPr>
          <w:p>
            <w:pPr>
              <w:spacing w:after="20" w:before="20" w:line="240" w:lineRule="auto"/>
            </w:pPr>
            <w:r/>
            <w:r>
              <w:rPr>
                <w:rFonts w:ascii="Calibri" w:hAnsi="Calibri"/>
                <w:b w:val="0"/>
                <w:sz w:val="16"/>
              </w:rPr>
              <w:t>Fact_Exception</w:t>
            </w:r>
          </w:p>
        </w:tc>
        <w:tc>
          <w:tcPr>
            <w:tcW w:type="dxa" w:w="2948"/>
          </w:tcPr>
          <w:p>
            <w:pPr>
              <w:spacing w:after="20" w:before="20" w:line="240" w:lineRule="auto"/>
            </w:pPr>
            <w:r/>
            <w:r>
              <w:rPr>
                <w:rFonts w:ascii="Calibri" w:hAnsi="Calibri"/>
                <w:b w:val="0"/>
                <w:sz w:val="16"/>
              </w:rPr>
              <w:t>One exception instance</w:t>
            </w:r>
          </w:p>
        </w:tc>
        <w:tc>
          <w:tcPr>
            <w:tcW w:type="dxa" w:w="4762"/>
          </w:tcPr>
          <w:p>
            <w:pPr>
              <w:spacing w:after="20" w:before="20" w:line="240" w:lineRule="auto"/>
            </w:pPr>
            <w:r/>
            <w:r>
              <w:rPr>
                <w:rFonts w:ascii="Calibri" w:hAnsi="Calibri"/>
                <w:b w:val="0"/>
                <w:sz w:val="16"/>
              </w:rPr>
              <w:t>Value at risk, age in days, status</w:t>
            </w:r>
          </w:p>
        </w:tc>
      </w:tr>
    </w:tbl>
    <w:p>
      <w:pPr>
        <w:spacing w:after="20"/>
      </w:pPr>
    </w:p>
    <w:p>
      <w:pPr>
        <w:pStyle w:val="Heading2"/>
      </w:pPr>
      <w:r>
        <w:t>A.3 Relationships</w:t>
      </w:r>
    </w:p>
    <w:p>
      <w:pPr>
        <w:pStyle w:val="ListBullet"/>
        <w:spacing w:after="50"/>
        <w:ind w:left="340"/>
      </w:pPr>
      <w:r>
        <w:t>Fact_Consumption.GRNKey → Fact_Receipts.GRNKey → Fact_PurchaseOrder.POKey, giving full traceability from issue to purchase.</w:t>
      </w:r>
    </w:p>
    <w:p>
      <w:pPr>
        <w:pStyle w:val="ListBullet"/>
        <w:spacing w:after="50"/>
        <w:ind w:left="340"/>
      </w:pPr>
      <w:r>
        <w:t>Fact_Consumption.ProjectKey may point to an 'Unattributed' member; Fact_Consumption.OriginalProjectKey retains the consuming project.</w:t>
      </w:r>
    </w:p>
    <w:p>
      <w:pPr>
        <w:pStyle w:val="ListBullet"/>
        <w:spacing w:after="50"/>
        <w:ind w:left="340"/>
      </w:pPr>
      <w:r>
        <w:t>All facts join to Dim_Date on DateKey, Dim_Item on ItemKey and Dim_Project on ProjectKey.</w:t>
      </w:r>
    </w:p>
    <w:p>
      <w:pPr>
        <w:pStyle w:val="ListBullet"/>
        <w:spacing w:after="50"/>
        <w:ind w:left="340"/>
      </w:pPr>
      <w:r>
        <w:t>Fact_StockBalance is a semi-additive measure: balances are additive across items and warehouses, but not across time.</w:t>
      </w:r>
    </w:p>
    <w:p>
      <w:pPr>
        <w:pStyle w:val="ListBullet"/>
        <w:spacing w:after="50"/>
        <w:ind w:left="340"/>
      </w:pPr>
      <w:r>
        <w:t>Fact_ServiceDelivery joins to Dim_Project and Dim_Date at month grain, used only as a denominator for value-for-money measures.</w:t>
      </w:r>
    </w:p>
    <w:p>
      <w:pPr>
        <w:pStyle w:val="Heading1"/>
      </w:pPr>
      <w:r>
        <w:t>Appendix B – Indicative Oracle Table Mapping</w:t>
      </w:r>
    </w:p>
    <w:p>
      <w:pPr>
        <w:spacing w:after="100"/>
      </w:pPr>
      <w:r>
        <w:rPr>
          <w:b w:val="0"/>
          <w:i w:val="0"/>
        </w:rPr>
        <w:t>Table and column names are indicative and must be confirmed against the VPT Oracle instance during Phase 0. The purpose of this appendix is to demonstrate that every required attribute has an identified source.</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trPr>
        <w:tc>
          <w:tcPr>
            <w:tcW w:type="dxa" w:w="2381"/>
            <w:shd w:val="clear" w:fill="1F3B57"/>
          </w:tcPr>
          <w:p>
            <w:pPr>
              <w:spacing w:after="20" w:before="20" w:line="240" w:lineRule="auto"/>
            </w:pPr>
            <w:r/>
            <w:r>
              <w:rPr>
                <w:rFonts w:ascii="Calibri" w:hAnsi="Calibri"/>
                <w:b/>
                <w:color w:val="FFFFFF"/>
                <w:sz w:val="16"/>
              </w:rPr>
              <w:t>Reporting attribute</w:t>
            </w:r>
          </w:p>
        </w:tc>
        <w:tc>
          <w:tcPr>
            <w:tcW w:type="dxa" w:w="3969"/>
            <w:shd w:val="clear" w:fill="1F3B57"/>
          </w:tcPr>
          <w:p>
            <w:pPr>
              <w:spacing w:after="20" w:before="20" w:line="240" w:lineRule="auto"/>
            </w:pPr>
            <w:r/>
            <w:r>
              <w:rPr>
                <w:rFonts w:ascii="Calibri" w:hAnsi="Calibri"/>
                <w:b/>
                <w:color w:val="FFFFFF"/>
                <w:sz w:val="16"/>
              </w:rPr>
              <w:t>Indicative Oracle source</w:t>
            </w:r>
          </w:p>
        </w:tc>
        <w:tc>
          <w:tcPr>
            <w:tcW w:type="dxa" w:w="3402"/>
            <w:shd w:val="clear" w:fill="1F3B57"/>
          </w:tcPr>
          <w:p>
            <w:pPr>
              <w:spacing w:after="20" w:before="20" w:line="240" w:lineRule="auto"/>
            </w:pPr>
            <w:r/>
            <w:r>
              <w:rPr>
                <w:rFonts w:ascii="Calibri" w:hAnsi="Calibri"/>
                <w:b/>
                <w:color w:val="FFFFFF"/>
                <w:sz w:val="16"/>
              </w:rPr>
              <w:t>Notes</w:t>
            </w:r>
          </w:p>
        </w:tc>
      </w:tr>
      <w:tr>
        <w:tc>
          <w:tcPr>
            <w:tcW w:type="dxa" w:w="2381"/>
          </w:tcPr>
          <w:p>
            <w:pPr>
              <w:spacing w:after="20" w:before="20" w:line="240" w:lineRule="auto"/>
            </w:pPr>
            <w:r/>
            <w:r>
              <w:rPr>
                <w:rFonts w:ascii="Calibri" w:hAnsi="Calibri"/>
                <w:b w:val="0"/>
                <w:sz w:val="16"/>
              </w:rPr>
              <w:t>Purchase order number and date</w:t>
            </w:r>
          </w:p>
        </w:tc>
        <w:tc>
          <w:tcPr>
            <w:tcW w:type="dxa" w:w="3969"/>
          </w:tcPr>
          <w:p>
            <w:pPr>
              <w:spacing w:after="20" w:before="20" w:line="240" w:lineRule="auto"/>
            </w:pPr>
            <w:r/>
            <w:r>
              <w:rPr>
                <w:rFonts w:ascii="Calibri" w:hAnsi="Calibri"/>
                <w:b w:val="0"/>
                <w:sz w:val="16"/>
              </w:rPr>
              <w:t>PO_HEADERS_ALL (SEGMENT1, APPROVED_DATE)</w:t>
            </w:r>
          </w:p>
        </w:tc>
        <w:tc>
          <w:tcPr>
            <w:tcW w:type="dxa" w:w="3402"/>
          </w:tcPr>
          <w:p>
            <w:pPr>
              <w:spacing w:after="20" w:before="20" w:line="240" w:lineRule="auto"/>
            </w:pPr>
            <w:r/>
            <w:r>
              <w:rPr>
                <w:rFonts w:ascii="Calibri" w:hAnsi="Calibri"/>
                <w:b w:val="0"/>
                <w:sz w:val="16"/>
              </w:rPr>
              <w:t>Use approved date for recognition</w:t>
            </w:r>
          </w:p>
        </w:tc>
      </w:tr>
      <w:tr>
        <w:tc>
          <w:tcPr>
            <w:tcW w:type="dxa" w:w="2381"/>
            <w:shd w:val="clear" w:fill="F7F9FB"/>
          </w:tcPr>
          <w:p>
            <w:pPr>
              <w:spacing w:after="20" w:before="20" w:line="240" w:lineRule="auto"/>
            </w:pPr>
            <w:r/>
            <w:r>
              <w:rPr>
                <w:rFonts w:ascii="Calibri" w:hAnsi="Calibri"/>
                <w:b w:val="0"/>
                <w:sz w:val="16"/>
              </w:rPr>
              <w:t>PO line quantity and price</w:t>
            </w:r>
          </w:p>
        </w:tc>
        <w:tc>
          <w:tcPr>
            <w:tcW w:type="dxa" w:w="3969"/>
            <w:shd w:val="clear" w:fill="F7F9FB"/>
          </w:tcPr>
          <w:p>
            <w:pPr>
              <w:spacing w:after="20" w:before="20" w:line="240" w:lineRule="auto"/>
            </w:pPr>
            <w:r/>
            <w:r>
              <w:rPr>
                <w:rFonts w:ascii="Calibri" w:hAnsi="Calibri"/>
                <w:b w:val="0"/>
                <w:sz w:val="16"/>
              </w:rPr>
              <w:t>PO_LINES_ALL (QUANTITY, UNIT_PRICE, ITEM_ID)</w:t>
            </w:r>
          </w:p>
        </w:tc>
        <w:tc>
          <w:tcPr>
            <w:tcW w:type="dxa" w:w="3402"/>
            <w:shd w:val="clear" w:fill="F7F9FB"/>
          </w:tcPr>
          <w:p>
            <w:pPr>
              <w:spacing w:after="20" w:before="20" w:line="240" w:lineRule="auto"/>
            </w:pPr>
            <w:r/>
            <w:r>
              <w:rPr>
                <w:rFonts w:ascii="Calibri" w:hAnsi="Calibri"/>
                <w:b w:val="0"/>
                <w:sz w:val="16"/>
              </w:rPr>
              <w:t>Exclude cancelled lines via PO_LINE_TYPES / CANCEL_FLAG</w:t>
            </w:r>
          </w:p>
        </w:tc>
      </w:tr>
      <w:tr>
        <w:tc>
          <w:tcPr>
            <w:tcW w:type="dxa" w:w="2381"/>
          </w:tcPr>
          <w:p>
            <w:pPr>
              <w:spacing w:after="20" w:before="20" w:line="240" w:lineRule="auto"/>
            </w:pPr>
            <w:r/>
            <w:r>
              <w:rPr>
                <w:rFonts w:ascii="Calibri" w:hAnsi="Calibri"/>
                <w:b w:val="0"/>
                <w:sz w:val="16"/>
              </w:rPr>
              <w:t>PO status</w:t>
            </w:r>
          </w:p>
        </w:tc>
        <w:tc>
          <w:tcPr>
            <w:tcW w:type="dxa" w:w="3969"/>
          </w:tcPr>
          <w:p>
            <w:pPr>
              <w:spacing w:after="20" w:before="20" w:line="240" w:lineRule="auto"/>
            </w:pPr>
            <w:r/>
            <w:r>
              <w:rPr>
                <w:rFonts w:ascii="Calibri" w:hAnsi="Calibri"/>
                <w:b w:val="0"/>
                <w:sz w:val="16"/>
              </w:rPr>
              <w:t>PO_HEADERS_ALL.AUTHORIZATION_STATUS, PO_LINES_ALL.CANCEL_FLAG</w:t>
            </w:r>
          </w:p>
        </w:tc>
        <w:tc>
          <w:tcPr>
            <w:tcW w:type="dxa" w:w="3402"/>
          </w:tcPr>
          <w:p>
            <w:pPr>
              <w:spacing w:after="20" w:before="20" w:line="240" w:lineRule="auto"/>
            </w:pPr>
            <w:r/>
            <w:r>
              <w:rPr>
                <w:rFonts w:ascii="Calibri" w:hAnsi="Calibri"/>
                <w:b w:val="0"/>
                <w:sz w:val="16"/>
              </w:rPr>
              <w:t>Derive Received / Partially Received from receipt quantities</w:t>
            </w:r>
          </w:p>
        </w:tc>
      </w:tr>
      <w:tr>
        <w:tc>
          <w:tcPr>
            <w:tcW w:type="dxa" w:w="2381"/>
            <w:shd w:val="clear" w:fill="F7F9FB"/>
          </w:tcPr>
          <w:p>
            <w:pPr>
              <w:spacing w:after="20" w:before="20" w:line="240" w:lineRule="auto"/>
            </w:pPr>
            <w:r/>
            <w:r>
              <w:rPr>
                <w:rFonts w:ascii="Calibri" w:hAnsi="Calibri"/>
                <w:b w:val="0"/>
                <w:sz w:val="16"/>
              </w:rPr>
              <w:t>Supplier</w:t>
            </w:r>
          </w:p>
        </w:tc>
        <w:tc>
          <w:tcPr>
            <w:tcW w:type="dxa" w:w="3969"/>
            <w:shd w:val="clear" w:fill="F7F9FB"/>
          </w:tcPr>
          <w:p>
            <w:pPr>
              <w:spacing w:after="20" w:before="20" w:line="240" w:lineRule="auto"/>
            </w:pPr>
            <w:r/>
            <w:r>
              <w:rPr>
                <w:rFonts w:ascii="Calibri" w:hAnsi="Calibri"/>
                <w:b w:val="0"/>
                <w:sz w:val="16"/>
              </w:rPr>
              <w:t>PO_HEADERS_ALL.VENDOR_ID → AP_SUPPLIERS</w:t>
            </w:r>
          </w:p>
        </w:tc>
        <w:tc>
          <w:tcPr>
            <w:tcW w:type="dxa" w:w="3402"/>
            <w:shd w:val="clear" w:fill="F7F9FB"/>
          </w:tcPr>
          <w:p>
            <w:pPr>
              <w:spacing w:after="20" w:before="20" w:line="240" w:lineRule="auto"/>
            </w:pPr>
            <w:r/>
            <w:r>
              <w:rPr>
                <w:rFonts w:ascii="Calibri" w:hAnsi="Calibri"/>
                <w:b w:val="0"/>
                <w:sz w:val="16"/>
              </w:rPr>
              <w:t>Add agreed lead time from a local reference table if absent</w:t>
            </w:r>
          </w:p>
        </w:tc>
      </w:tr>
      <w:tr>
        <w:tc>
          <w:tcPr>
            <w:tcW w:type="dxa" w:w="2381"/>
          </w:tcPr>
          <w:p>
            <w:pPr>
              <w:spacing w:after="20" w:before="20" w:line="240" w:lineRule="auto"/>
            </w:pPr>
            <w:r/>
            <w:r>
              <w:rPr>
                <w:rFonts w:ascii="Calibri" w:hAnsi="Calibri"/>
                <w:b w:val="0"/>
                <w:sz w:val="16"/>
              </w:rPr>
              <w:t>Receipt number and date</w:t>
            </w:r>
          </w:p>
        </w:tc>
        <w:tc>
          <w:tcPr>
            <w:tcW w:type="dxa" w:w="3969"/>
          </w:tcPr>
          <w:p>
            <w:pPr>
              <w:spacing w:after="20" w:before="20" w:line="240" w:lineRule="auto"/>
            </w:pPr>
            <w:r/>
            <w:r>
              <w:rPr>
                <w:rFonts w:ascii="Calibri" w:hAnsi="Calibri"/>
                <w:b w:val="0"/>
                <w:sz w:val="16"/>
              </w:rPr>
              <w:t>RCV_SHIPMENT_HEADERS (RECEIPT_NUM, SHIPMENT_DATE)</w:t>
            </w:r>
          </w:p>
        </w:tc>
        <w:tc>
          <w:tcPr>
            <w:tcW w:type="dxa" w:w="3402"/>
          </w:tcPr>
          <w:p>
            <w:pPr>
              <w:spacing w:after="20" w:before="20" w:line="240" w:lineRule="auto"/>
            </w:pPr>
            <w:r/>
            <w:r>
              <w:rPr>
                <w:rFonts w:ascii="Calibri" w:hAnsi="Calibri"/>
                <w:b w:val="0"/>
                <w:sz w:val="16"/>
              </w:rPr>
              <w:t>One receipt may contain several lines</w:t>
            </w:r>
          </w:p>
        </w:tc>
      </w:tr>
      <w:tr>
        <w:tc>
          <w:tcPr>
            <w:tcW w:type="dxa" w:w="2381"/>
            <w:shd w:val="clear" w:fill="F7F9FB"/>
          </w:tcPr>
          <w:p>
            <w:pPr>
              <w:spacing w:after="20" w:before="20" w:line="240" w:lineRule="auto"/>
            </w:pPr>
            <w:r/>
            <w:r>
              <w:rPr>
                <w:rFonts w:ascii="Calibri" w:hAnsi="Calibri"/>
                <w:b w:val="0"/>
                <w:sz w:val="16"/>
              </w:rPr>
              <w:t>Received quantity and batch</w:t>
            </w:r>
          </w:p>
        </w:tc>
        <w:tc>
          <w:tcPr>
            <w:tcW w:type="dxa" w:w="3969"/>
            <w:shd w:val="clear" w:fill="F7F9FB"/>
          </w:tcPr>
          <w:p>
            <w:pPr>
              <w:spacing w:after="20" w:before="20" w:line="240" w:lineRule="auto"/>
            </w:pPr>
            <w:r/>
            <w:r>
              <w:rPr>
                <w:rFonts w:ascii="Calibri" w:hAnsi="Calibri"/>
                <w:b w:val="0"/>
                <w:sz w:val="16"/>
              </w:rPr>
              <w:t>RCV_SHIPMENT_LINES (QUANTITY_SHIPPED, LOT_NUM)</w:t>
            </w:r>
          </w:p>
        </w:tc>
        <w:tc>
          <w:tcPr>
            <w:tcW w:type="dxa" w:w="3402"/>
            <w:shd w:val="clear" w:fill="F7F9FB"/>
          </w:tcPr>
          <w:p>
            <w:pPr>
              <w:spacing w:after="20" w:before="20" w:line="240" w:lineRule="auto"/>
            </w:pPr>
            <w:r/>
            <w:r>
              <w:rPr>
                <w:rFonts w:ascii="Calibri" w:hAnsi="Calibri"/>
                <w:b w:val="0"/>
                <w:sz w:val="16"/>
              </w:rPr>
              <w:t>Batch attributes from inventory lot table</w:t>
            </w:r>
          </w:p>
        </w:tc>
      </w:tr>
      <w:tr>
        <w:tc>
          <w:tcPr>
            <w:tcW w:type="dxa" w:w="2381"/>
          </w:tcPr>
          <w:p>
            <w:pPr>
              <w:spacing w:after="20" w:before="20" w:line="240" w:lineRule="auto"/>
            </w:pPr>
            <w:r/>
            <w:r>
              <w:rPr>
                <w:rFonts w:ascii="Calibri" w:hAnsi="Calibri"/>
                <w:b w:val="0"/>
                <w:sz w:val="16"/>
              </w:rPr>
              <w:t>Batch expiry</w:t>
            </w:r>
          </w:p>
        </w:tc>
        <w:tc>
          <w:tcPr>
            <w:tcW w:type="dxa" w:w="3969"/>
          </w:tcPr>
          <w:p>
            <w:pPr>
              <w:spacing w:after="20" w:before="20" w:line="240" w:lineRule="auto"/>
            </w:pPr>
            <w:r/>
            <w:r>
              <w:rPr>
                <w:rFonts w:ascii="Calibri" w:hAnsi="Calibri"/>
                <w:b w:val="0"/>
                <w:sz w:val="16"/>
              </w:rPr>
              <w:t>INV_LOT_ATTRIBUTES / MTL_LOT_NUMBERS</w:t>
            </w:r>
          </w:p>
        </w:tc>
        <w:tc>
          <w:tcPr>
            <w:tcW w:type="dxa" w:w="3402"/>
          </w:tcPr>
          <w:p>
            <w:pPr>
              <w:spacing w:after="20" w:before="20" w:line="240" w:lineRule="auto"/>
            </w:pPr>
            <w:r/>
            <w:r>
              <w:rPr>
                <w:rFonts w:ascii="Calibri" w:hAnsi="Calibri"/>
                <w:b w:val="0"/>
                <w:sz w:val="16"/>
              </w:rPr>
              <w:t>Expiry stored as an attribute; confirm attribute name</w:t>
            </w:r>
          </w:p>
        </w:tc>
      </w:tr>
      <w:tr>
        <w:tc>
          <w:tcPr>
            <w:tcW w:type="dxa" w:w="2381"/>
            <w:shd w:val="clear" w:fill="F7F9FB"/>
          </w:tcPr>
          <w:p>
            <w:pPr>
              <w:spacing w:after="20" w:before="20" w:line="240" w:lineRule="auto"/>
            </w:pPr>
            <w:r/>
            <w:r>
              <w:rPr>
                <w:rFonts w:ascii="Calibri" w:hAnsi="Calibri"/>
                <w:b w:val="0"/>
                <w:sz w:val="16"/>
              </w:rPr>
              <w:t>Issue transaction</w:t>
            </w:r>
          </w:p>
        </w:tc>
        <w:tc>
          <w:tcPr>
            <w:tcW w:type="dxa" w:w="3969"/>
            <w:shd w:val="clear" w:fill="F7F9FB"/>
          </w:tcPr>
          <w:p>
            <w:pPr>
              <w:spacing w:after="20" w:before="20" w:line="240" w:lineRule="auto"/>
            </w:pPr>
            <w:r/>
            <w:r>
              <w:rPr>
                <w:rFonts w:ascii="Calibri" w:hAnsi="Calibri"/>
                <w:b w:val="0"/>
                <w:sz w:val="16"/>
              </w:rPr>
              <w:t>MTL_TRANSACTION_ACCOUNTS or MTL_MATERIAL_TRANSACTIONS</w:t>
            </w:r>
          </w:p>
        </w:tc>
        <w:tc>
          <w:tcPr>
            <w:tcW w:type="dxa" w:w="3402"/>
            <w:shd w:val="clear" w:fill="F7F9FB"/>
          </w:tcPr>
          <w:p>
            <w:pPr>
              <w:spacing w:after="20" w:before="20" w:line="240" w:lineRule="auto"/>
            </w:pPr>
            <w:r/>
            <w:r>
              <w:rPr>
                <w:rFonts w:ascii="Calibri" w:hAnsi="Calibri"/>
                <w:b w:val="0"/>
                <w:sz w:val="16"/>
              </w:rPr>
              <w:t>Use issue transaction type; join to cost for value</w:t>
            </w:r>
          </w:p>
        </w:tc>
      </w:tr>
      <w:tr>
        <w:tc>
          <w:tcPr>
            <w:tcW w:type="dxa" w:w="2381"/>
          </w:tcPr>
          <w:p>
            <w:pPr>
              <w:spacing w:after="20" w:before="20" w:line="240" w:lineRule="auto"/>
            </w:pPr>
            <w:r/>
            <w:r>
              <w:rPr>
                <w:rFonts w:ascii="Calibri" w:hAnsi="Calibri"/>
                <w:b w:val="0"/>
                <w:sz w:val="16"/>
              </w:rPr>
              <w:t>Issue value</w:t>
            </w:r>
          </w:p>
        </w:tc>
        <w:tc>
          <w:tcPr>
            <w:tcW w:type="dxa" w:w="3969"/>
          </w:tcPr>
          <w:p>
            <w:pPr>
              <w:spacing w:after="20" w:before="20" w:line="240" w:lineRule="auto"/>
            </w:pPr>
            <w:r/>
            <w:r>
              <w:rPr>
                <w:rFonts w:ascii="Calibri" w:hAnsi="Calibri"/>
                <w:b w:val="0"/>
                <w:sz w:val="16"/>
              </w:rPr>
              <w:t>MTL_TRANSACTION_ACCOUNTS (TRANSACTION_COST)</w:t>
            </w:r>
          </w:p>
        </w:tc>
        <w:tc>
          <w:tcPr>
            <w:tcW w:type="dxa" w:w="3402"/>
          </w:tcPr>
          <w:p>
            <w:pPr>
              <w:spacing w:after="20" w:before="20" w:line="240" w:lineRule="auto"/>
            </w:pPr>
            <w:r/>
            <w:r>
              <w:rPr>
                <w:rFonts w:ascii="Calibri" w:hAnsi="Calibri"/>
                <w:b w:val="0"/>
                <w:sz w:val="16"/>
              </w:rPr>
              <w:t>Batch cost at issue; standard cost fallback</w:t>
            </w:r>
          </w:p>
        </w:tc>
      </w:tr>
      <w:tr>
        <w:tc>
          <w:tcPr>
            <w:tcW w:type="dxa" w:w="2381"/>
            <w:shd w:val="clear" w:fill="F7F9FB"/>
          </w:tcPr>
          <w:p>
            <w:pPr>
              <w:spacing w:after="20" w:before="20" w:line="240" w:lineRule="auto"/>
            </w:pPr>
            <w:r/>
            <w:r>
              <w:rPr>
                <w:rFonts w:ascii="Calibri" w:hAnsi="Calibri"/>
                <w:b w:val="0"/>
                <w:sz w:val="16"/>
              </w:rPr>
              <w:t>Project charged</w:t>
            </w:r>
          </w:p>
        </w:tc>
        <w:tc>
          <w:tcPr>
            <w:tcW w:type="dxa" w:w="3969"/>
            <w:shd w:val="clear" w:fill="F7F9FB"/>
          </w:tcPr>
          <w:p>
            <w:pPr>
              <w:spacing w:after="20" w:before="20" w:line="240" w:lineRule="auto"/>
            </w:pPr>
            <w:r/>
            <w:r>
              <w:rPr>
                <w:rFonts w:ascii="Calibri" w:hAnsi="Calibri"/>
                <w:b w:val="0"/>
                <w:sz w:val="16"/>
              </w:rPr>
              <w:t>MTL_MATERIAL_TRANSACTIONS.PROJECT_ID / transaction account segments</w:t>
            </w:r>
          </w:p>
        </w:tc>
        <w:tc>
          <w:tcPr>
            <w:tcW w:type="dxa" w:w="3402"/>
            <w:shd w:val="clear" w:fill="F7F9FB"/>
          </w:tcPr>
          <w:p>
            <w:pPr>
              <w:spacing w:after="20" w:before="20" w:line="240" w:lineRule="auto"/>
            </w:pPr>
            <w:r/>
            <w:r>
              <w:rPr>
                <w:rFonts w:ascii="Calibri" w:hAnsi="Calibri"/>
                <w:b w:val="0"/>
                <w:sz w:val="16"/>
              </w:rPr>
              <w:t>Confirm whether project is derived from distribution account or project field</w:t>
            </w:r>
          </w:p>
        </w:tc>
      </w:tr>
      <w:tr>
        <w:tc>
          <w:tcPr>
            <w:tcW w:type="dxa" w:w="2381"/>
          </w:tcPr>
          <w:p>
            <w:pPr>
              <w:spacing w:after="20" w:before="20" w:line="240" w:lineRule="auto"/>
            </w:pPr>
            <w:r/>
            <w:r>
              <w:rPr>
                <w:rFonts w:ascii="Calibri" w:hAnsi="Calibri"/>
                <w:b w:val="0"/>
                <w:sz w:val="16"/>
              </w:rPr>
              <w:t>Item master</w:t>
            </w:r>
          </w:p>
        </w:tc>
        <w:tc>
          <w:tcPr>
            <w:tcW w:type="dxa" w:w="3969"/>
          </w:tcPr>
          <w:p>
            <w:pPr>
              <w:spacing w:after="20" w:before="20" w:line="240" w:lineRule="auto"/>
            </w:pPr>
            <w:r/>
            <w:r>
              <w:rPr>
                <w:rFonts w:ascii="Calibri" w:hAnsi="Calibri"/>
                <w:b w:val="0"/>
                <w:sz w:val="16"/>
              </w:rPr>
              <w:t>MTL_SYSTEM_ITEMS_VL (SEGMENT1, DESCRIPTION, PRIMARY_UOM_CODE)</w:t>
            </w:r>
          </w:p>
        </w:tc>
        <w:tc>
          <w:tcPr>
            <w:tcW w:type="dxa" w:w="3402"/>
          </w:tcPr>
          <w:p>
            <w:pPr>
              <w:spacing w:after="20" w:before="20" w:line="240" w:lineRule="auto"/>
            </w:pPr>
            <w:r/>
            <w:r>
              <w:rPr>
                <w:rFonts w:ascii="Calibri" w:hAnsi="Calibri"/>
                <w:b w:val="0"/>
                <w:sz w:val="16"/>
              </w:rPr>
              <w:t>Category from item category assignment</w:t>
            </w:r>
          </w:p>
        </w:tc>
      </w:tr>
      <w:tr>
        <w:tc>
          <w:tcPr>
            <w:tcW w:type="dxa" w:w="2381"/>
            <w:shd w:val="clear" w:fill="F7F9FB"/>
          </w:tcPr>
          <w:p>
            <w:pPr>
              <w:spacing w:after="20" w:before="20" w:line="240" w:lineRule="auto"/>
            </w:pPr>
            <w:r/>
            <w:r>
              <w:rPr>
                <w:rFonts w:ascii="Calibri" w:hAnsi="Calibri"/>
                <w:b w:val="0"/>
                <w:sz w:val="16"/>
              </w:rPr>
              <w:t>Unit of measure and pack</w:t>
            </w:r>
          </w:p>
        </w:tc>
        <w:tc>
          <w:tcPr>
            <w:tcW w:type="dxa" w:w="3969"/>
            <w:shd w:val="clear" w:fill="F7F9FB"/>
          </w:tcPr>
          <w:p>
            <w:pPr>
              <w:spacing w:after="20" w:before="20" w:line="240" w:lineRule="auto"/>
            </w:pPr>
            <w:r/>
            <w:r>
              <w:rPr>
                <w:rFonts w:ascii="Calibri" w:hAnsi="Calibri"/>
                <w:b w:val="0"/>
                <w:sz w:val="16"/>
              </w:rPr>
              <w:t>MTL_UOM_CONVERSIONS</w:t>
            </w:r>
          </w:p>
        </w:tc>
        <w:tc>
          <w:tcPr>
            <w:tcW w:type="dxa" w:w="3402"/>
            <w:shd w:val="clear" w:fill="F7F9FB"/>
          </w:tcPr>
          <w:p>
            <w:pPr>
              <w:spacing w:after="20" w:before="20" w:line="240" w:lineRule="auto"/>
            </w:pPr>
            <w:r/>
            <w:r>
              <w:rPr>
                <w:rFonts w:ascii="Calibri" w:hAnsi="Calibri"/>
                <w:b w:val="0"/>
                <w:sz w:val="16"/>
              </w:rPr>
              <w:t>Pack size from item-level conversion</w:t>
            </w:r>
          </w:p>
        </w:tc>
      </w:tr>
      <w:tr>
        <w:tc>
          <w:tcPr>
            <w:tcW w:type="dxa" w:w="2381"/>
          </w:tcPr>
          <w:p>
            <w:pPr>
              <w:spacing w:after="20" w:before="20" w:line="240" w:lineRule="auto"/>
            </w:pPr>
            <w:r/>
            <w:r>
              <w:rPr>
                <w:rFonts w:ascii="Calibri" w:hAnsi="Calibri"/>
                <w:b w:val="0"/>
                <w:sz w:val="16"/>
              </w:rPr>
              <w:t>Warehouse</w:t>
            </w:r>
          </w:p>
        </w:tc>
        <w:tc>
          <w:tcPr>
            <w:tcW w:type="dxa" w:w="3969"/>
          </w:tcPr>
          <w:p>
            <w:pPr>
              <w:spacing w:after="20" w:before="20" w:line="240" w:lineRule="auto"/>
            </w:pPr>
            <w:r/>
            <w:r>
              <w:rPr>
                <w:rFonts w:ascii="Calibri" w:hAnsi="Calibri"/>
                <w:b w:val="0"/>
                <w:sz w:val="16"/>
              </w:rPr>
              <w:t>MTL_PARAMETERS / ORG_ORGANIZATION_DEFINITIONS</w:t>
            </w:r>
          </w:p>
        </w:tc>
        <w:tc>
          <w:tcPr>
            <w:tcW w:type="dxa" w:w="3402"/>
          </w:tcPr>
          <w:p>
            <w:pPr>
              <w:spacing w:after="20" w:before="20" w:line="240" w:lineRule="auto"/>
            </w:pPr>
            <w:r/>
            <w:r>
              <w:rPr>
                <w:rFonts w:ascii="Calibri" w:hAnsi="Calibri"/>
                <w:b w:val="0"/>
                <w:sz w:val="16"/>
              </w:rPr>
              <w:t>Inventory organisation code</w:t>
            </w:r>
          </w:p>
        </w:tc>
      </w:tr>
      <w:tr>
        <w:tc>
          <w:tcPr>
            <w:tcW w:type="dxa" w:w="2381"/>
            <w:shd w:val="clear" w:fill="F7F9FB"/>
          </w:tcPr>
          <w:p>
            <w:pPr>
              <w:spacing w:after="20" w:before="20" w:line="240" w:lineRule="auto"/>
            </w:pPr>
            <w:r/>
            <w:r>
              <w:rPr>
                <w:rFonts w:ascii="Calibri" w:hAnsi="Calibri"/>
                <w:b w:val="0"/>
                <w:sz w:val="16"/>
              </w:rPr>
              <w:t>Service point</w:t>
            </w:r>
          </w:p>
        </w:tc>
        <w:tc>
          <w:tcPr>
            <w:tcW w:type="dxa" w:w="3969"/>
            <w:shd w:val="clear" w:fill="F7F9FB"/>
          </w:tcPr>
          <w:p>
            <w:pPr>
              <w:spacing w:after="20" w:before="20" w:line="240" w:lineRule="auto"/>
            </w:pPr>
            <w:r/>
            <w:r>
              <w:rPr>
                <w:rFonts w:ascii="Calibri" w:hAnsi="Calibri"/>
                <w:b w:val="0"/>
                <w:sz w:val="16"/>
              </w:rPr>
              <w:t>MTL_MATERIAL_TRANSACTIONS.SUBINVENTORY or a local reference table</w:t>
            </w:r>
          </w:p>
        </w:tc>
        <w:tc>
          <w:tcPr>
            <w:tcW w:type="dxa" w:w="3402"/>
            <w:shd w:val="clear" w:fill="F7F9FB"/>
          </w:tcPr>
          <w:p>
            <w:pPr>
              <w:spacing w:after="20" w:before="20" w:line="240" w:lineRule="auto"/>
            </w:pPr>
            <w:r/>
            <w:r>
              <w:rPr>
                <w:rFonts w:ascii="Calibri" w:hAnsi="Calibri"/>
                <w:b w:val="0"/>
                <w:sz w:val="16"/>
              </w:rPr>
              <w:t>May require a mapping table if not held in Oracle</w:t>
            </w:r>
          </w:p>
        </w:tc>
      </w:tr>
      <w:tr>
        <w:tc>
          <w:tcPr>
            <w:tcW w:type="dxa" w:w="2381"/>
          </w:tcPr>
          <w:p>
            <w:pPr>
              <w:spacing w:after="20" w:before="20" w:line="240" w:lineRule="auto"/>
            </w:pPr>
            <w:r/>
            <w:r>
              <w:rPr>
                <w:rFonts w:ascii="Calibri" w:hAnsi="Calibri"/>
                <w:b w:val="0"/>
                <w:sz w:val="16"/>
              </w:rPr>
              <w:t>Budget</w:t>
            </w:r>
          </w:p>
        </w:tc>
        <w:tc>
          <w:tcPr>
            <w:tcW w:type="dxa" w:w="3969"/>
          </w:tcPr>
          <w:p>
            <w:pPr>
              <w:spacing w:after="20" w:before="20" w:line="240" w:lineRule="auto"/>
            </w:pPr>
            <w:r/>
            <w:r>
              <w:rPr>
                <w:rFonts w:ascii="Calibri" w:hAnsi="Calibri"/>
                <w:b w:val="0"/>
                <w:sz w:val="16"/>
              </w:rPr>
              <w:t>GL_BUDGET_BALANCES / GL_BUDGET_ASSIGNMENTS or a Finance-maintained table</w:t>
            </w:r>
          </w:p>
        </w:tc>
        <w:tc>
          <w:tcPr>
            <w:tcW w:type="dxa" w:w="3402"/>
          </w:tcPr>
          <w:p>
            <w:pPr>
              <w:spacing w:after="20" w:before="20" w:line="240" w:lineRule="auto"/>
            </w:pPr>
            <w:r/>
            <w:r>
              <w:rPr>
                <w:rFonts w:ascii="Calibri" w:hAnsi="Calibri"/>
                <w:b w:val="0"/>
                <w:sz w:val="16"/>
              </w:rPr>
              <w:t>Map GL account to expense category</w:t>
            </w:r>
          </w:p>
        </w:tc>
      </w:tr>
      <w:tr>
        <w:tc>
          <w:tcPr>
            <w:tcW w:type="dxa" w:w="2381"/>
            <w:shd w:val="clear" w:fill="F7F9FB"/>
          </w:tcPr>
          <w:p>
            <w:pPr>
              <w:spacing w:after="20" w:before="20" w:line="240" w:lineRule="auto"/>
            </w:pPr>
            <w:r/>
            <w:r>
              <w:rPr>
                <w:rFonts w:ascii="Calibri" w:hAnsi="Calibri"/>
                <w:b w:val="0"/>
                <w:sz w:val="16"/>
              </w:rPr>
              <w:t>Project master</w:t>
            </w:r>
          </w:p>
        </w:tc>
        <w:tc>
          <w:tcPr>
            <w:tcW w:type="dxa" w:w="3969"/>
            <w:shd w:val="clear" w:fill="F7F9FB"/>
          </w:tcPr>
          <w:p>
            <w:pPr>
              <w:spacing w:after="20" w:before="20" w:line="240" w:lineRule="auto"/>
            </w:pPr>
            <w:r/>
            <w:r>
              <w:rPr>
                <w:rFonts w:ascii="Calibri" w:hAnsi="Calibri"/>
                <w:b w:val="0"/>
                <w:sz w:val="16"/>
              </w:rPr>
              <w:t>PA_PROJECTS_ALL (PROJECT_NUMBER, PROJECT_NAME, START_DATE, COMPLETION_DATE)</w:t>
            </w:r>
          </w:p>
        </w:tc>
        <w:tc>
          <w:tcPr>
            <w:tcW w:type="dxa" w:w="3402"/>
            <w:shd w:val="clear" w:fill="F7F9FB"/>
          </w:tcPr>
          <w:p>
            <w:pPr>
              <w:spacing w:after="20" w:before="20" w:line="240" w:lineRule="auto"/>
            </w:pPr>
            <w:r/>
            <w:r>
              <w:rPr>
                <w:rFonts w:ascii="Calibri" w:hAnsi="Calibri"/>
                <w:b w:val="0"/>
                <w:sz w:val="16"/>
              </w:rPr>
              <w:t>Plus local donor and sector attributes</w:t>
            </w:r>
          </w:p>
        </w:tc>
      </w:tr>
      <w:tr>
        <w:tc>
          <w:tcPr>
            <w:tcW w:type="dxa" w:w="2381"/>
          </w:tcPr>
          <w:p>
            <w:pPr>
              <w:spacing w:after="20" w:before="20" w:line="240" w:lineRule="auto"/>
            </w:pPr>
            <w:r/>
            <w:r>
              <w:rPr>
                <w:rFonts w:ascii="Calibri" w:hAnsi="Calibri"/>
                <w:b w:val="0"/>
                <w:sz w:val="16"/>
              </w:rPr>
              <w:t>Calendar</w:t>
            </w:r>
          </w:p>
        </w:tc>
        <w:tc>
          <w:tcPr>
            <w:tcW w:type="dxa" w:w="3969"/>
          </w:tcPr>
          <w:p>
            <w:pPr>
              <w:spacing w:after="20" w:before="20" w:line="240" w:lineRule="auto"/>
            </w:pPr>
            <w:r/>
            <w:r>
              <w:rPr>
                <w:rFonts w:ascii="Calibri" w:hAnsi="Calibri"/>
                <w:b w:val="0"/>
                <w:sz w:val="16"/>
              </w:rPr>
              <w:t>GL_PERIODS / a generated date dimension</w:t>
            </w:r>
          </w:p>
        </w:tc>
        <w:tc>
          <w:tcPr>
            <w:tcW w:type="dxa" w:w="3402"/>
          </w:tcPr>
          <w:p>
            <w:pPr>
              <w:spacing w:after="20" w:before="20" w:line="240" w:lineRule="auto"/>
            </w:pPr>
            <w:r/>
            <w:r>
              <w:rPr>
                <w:rFonts w:ascii="Calibri" w:hAnsi="Calibri"/>
                <w:b w:val="0"/>
                <w:sz w:val="16"/>
              </w:rPr>
              <w:t>Fiscal year from July–June convention</w:t>
            </w:r>
          </w:p>
        </w:tc>
      </w:tr>
    </w:tbl>
    <w:p>
      <w:pPr>
        <w:spacing w:after="20"/>
      </w:pPr>
    </w:p>
    <w:p>
      <w:pPr>
        <w:pStyle w:val="Heading1"/>
      </w:pPr>
      <w:r>
        <w:t>Appendix C – Dashboard Layout Wireframes</w:t>
      </w:r>
    </w:p>
    <w:p>
      <w:pPr>
        <w:spacing w:after="100"/>
      </w:pPr>
      <w:r>
        <w:rPr>
          <w:b w:val="0"/>
          <w:i w:val="0"/>
        </w:rPr>
        <w:t>Wireframes are described as blocks in reading order. They are illustrative of hierarchy and priority rather than of final visual design.</w:t>
      </w:r>
    </w:p>
    <w:p>
      <w:pPr>
        <w:pStyle w:val="Heading2"/>
      </w:pPr>
      <w:r>
        <w:t>C.1 Page 1 – Executive Summary</w:t>
      </w:r>
    </w:p>
    <w:tbl>
      <w:tblPr>
        <w:tblStyle w:val="TableGrid"/>
        <w:tblW w:type="auto" w:w="0"/>
        <w:jc w:val="center"/>
        <w:tblLayout w:type="fixed"/>
        <w:tblLook w:firstColumn="1" w:firstRow="1" w:lastColumn="0" w:lastRow="0" w:noHBand="0" w:noVBand="1" w:val="04A0"/>
      </w:tblPr>
      <w:tblGrid>
        <w:gridCol w:w="5043"/>
        <w:gridCol w:w="5043"/>
      </w:tblGrid>
      <w:tr>
        <w:trPr>
          <w:tblHeader/>
        </w:trPr>
        <w:tc>
          <w:tcPr>
            <w:tcW w:type="dxa" w:w="1928"/>
            <w:shd w:val="clear" w:fill="1F3B57"/>
          </w:tcPr>
          <w:p>
            <w:pPr>
              <w:spacing w:after="20" w:before="20" w:line="240" w:lineRule="auto"/>
            </w:pPr>
            <w:r/>
            <w:r>
              <w:rPr>
                <w:rFonts w:ascii="Calibri" w:hAnsi="Calibri"/>
                <w:b/>
                <w:color w:val="FFFFFF"/>
                <w:sz w:val="16"/>
              </w:rPr>
              <w:t>Block</w:t>
            </w:r>
          </w:p>
        </w:tc>
        <w:tc>
          <w:tcPr>
            <w:tcW w:type="dxa" w:w="7824"/>
            <w:shd w:val="clear" w:fill="1F3B57"/>
          </w:tcPr>
          <w:p>
            <w:pPr>
              <w:spacing w:after="20" w:before="20" w:line="240" w:lineRule="auto"/>
            </w:pPr>
            <w:r/>
            <w:r>
              <w:rPr>
                <w:rFonts w:ascii="Calibri" w:hAnsi="Calibri"/>
                <w:b/>
                <w:color w:val="FFFFFF"/>
                <w:sz w:val="16"/>
              </w:rPr>
              <w:t>Content</w:t>
            </w:r>
          </w:p>
        </w:tc>
      </w:tr>
      <w:tr>
        <w:tc>
          <w:tcPr>
            <w:tcW w:type="dxa" w:w="1928"/>
          </w:tcPr>
          <w:p>
            <w:pPr>
              <w:spacing w:after="20" w:before="20" w:line="240" w:lineRule="auto"/>
            </w:pPr>
            <w:r/>
            <w:r>
              <w:rPr>
                <w:rFonts w:ascii="Calibri" w:hAnsi="Calibri"/>
                <w:b w:val="0"/>
                <w:sz w:val="16"/>
              </w:rPr>
              <w:t>Filter / header</w:t>
            </w:r>
          </w:p>
        </w:tc>
        <w:tc>
          <w:tcPr>
            <w:tcW w:type="dxa" w:w="7824"/>
          </w:tcPr>
          <w:p>
            <w:pPr>
              <w:spacing w:after="20" w:before="20" w:line="240" w:lineRule="auto"/>
            </w:pPr>
            <w:r/>
            <w:r>
              <w:rPr>
                <w:rFonts w:ascii="Calibri" w:hAnsi="Calibri"/>
                <w:b w:val="0"/>
                <w:sz w:val="16"/>
              </w:rPr>
              <w:t>Period range · Donor · Project · Category | Data as at: 30-Sep-2026 06:12 | Export</w:t>
            </w:r>
          </w:p>
        </w:tc>
      </w:tr>
      <w:tr>
        <w:tc>
          <w:tcPr>
            <w:tcW w:type="dxa" w:w="1928"/>
            <w:shd w:val="clear" w:fill="F7F9FB"/>
          </w:tcPr>
          <w:p>
            <w:pPr>
              <w:spacing w:after="20" w:before="20" w:line="240" w:lineRule="auto"/>
            </w:pPr>
            <w:r/>
            <w:r>
              <w:rPr>
                <w:rFonts w:ascii="Calibri" w:hAnsi="Calibri"/>
                <w:b w:val="0"/>
                <w:sz w:val="16"/>
              </w:rPr>
              <w:t>KPI row</w:t>
            </w:r>
          </w:p>
        </w:tc>
        <w:tc>
          <w:tcPr>
            <w:tcW w:type="dxa" w:w="7824"/>
            <w:shd w:val="clear" w:fill="F7F9FB"/>
          </w:tcPr>
          <w:p>
            <w:pPr>
              <w:spacing w:after="20" w:before="20" w:line="240" w:lineRule="auto"/>
            </w:pPr>
            <w:r/>
            <w:r>
              <w:rPr>
                <w:rFonts w:ascii="Calibri" w:hAnsi="Calibri"/>
                <w:b w:val="0"/>
                <w:sz w:val="16"/>
              </w:rPr>
              <w:t>Consumption value · Investment · Ratio · Budget utilisation · Unattributed · Open exceptions</w:t>
            </w:r>
          </w:p>
        </w:tc>
      </w:tr>
      <w:tr>
        <w:tc>
          <w:tcPr>
            <w:tcW w:type="dxa" w:w="1928"/>
          </w:tcPr>
          <w:p>
            <w:pPr>
              <w:spacing w:after="20" w:before="20" w:line="240" w:lineRule="auto"/>
            </w:pPr>
            <w:r/>
            <w:r>
              <w:rPr>
                <w:rFonts w:ascii="Calibri" w:hAnsi="Calibri"/>
                <w:b w:val="0"/>
                <w:sz w:val="16"/>
              </w:rPr>
              <w:t>Trend panel</w:t>
            </w:r>
          </w:p>
        </w:tc>
        <w:tc>
          <w:tcPr>
            <w:tcW w:type="dxa" w:w="7824"/>
          </w:tcPr>
          <w:p>
            <w:pPr>
              <w:spacing w:after="20" w:before="20" w:line="240" w:lineRule="auto"/>
            </w:pPr>
            <w:r/>
            <w:r>
              <w:rPr>
                <w:rFonts w:ascii="Calibri" w:hAnsi="Calibri"/>
                <w:b w:val="0"/>
                <w:sz w:val="16"/>
              </w:rPr>
              <w:t>Monthly consumption value, 13 months, with 3-month moving average line and prior-year comparison</w:t>
            </w:r>
          </w:p>
        </w:tc>
      </w:tr>
      <w:tr>
        <w:tc>
          <w:tcPr>
            <w:tcW w:type="dxa" w:w="1928"/>
            <w:shd w:val="clear" w:fill="F7F9FB"/>
          </w:tcPr>
          <w:p>
            <w:pPr>
              <w:spacing w:after="20" w:before="20" w:line="240" w:lineRule="auto"/>
            </w:pPr>
            <w:r/>
            <w:r>
              <w:rPr>
                <w:rFonts w:ascii="Calibri" w:hAnsi="Calibri"/>
                <w:b w:val="0"/>
                <w:sz w:val="16"/>
              </w:rPr>
              <w:t>Ranking panel</w:t>
            </w:r>
          </w:p>
        </w:tc>
        <w:tc>
          <w:tcPr>
            <w:tcW w:type="dxa" w:w="7824"/>
            <w:shd w:val="clear" w:fill="F7F9FB"/>
          </w:tcPr>
          <w:p>
            <w:pPr>
              <w:spacing w:after="20" w:before="20" w:line="240" w:lineRule="auto"/>
            </w:pPr>
            <w:r/>
            <w:r>
              <w:rPr>
                <w:rFonts w:ascii="Calibri" w:hAnsi="Calibri"/>
                <w:b w:val="0"/>
                <w:sz w:val="16"/>
              </w:rPr>
              <w:t>Top 10 projects by consumption value (bar, with share %)</w:t>
            </w:r>
          </w:p>
        </w:tc>
      </w:tr>
      <w:tr>
        <w:tc>
          <w:tcPr>
            <w:tcW w:type="dxa" w:w="1928"/>
          </w:tcPr>
          <w:p>
            <w:pPr>
              <w:spacing w:after="20" w:before="20" w:line="240" w:lineRule="auto"/>
            </w:pPr>
            <w:r/>
            <w:r>
              <w:rPr>
                <w:rFonts w:ascii="Calibri" w:hAnsi="Calibri"/>
                <w:b w:val="0"/>
                <w:sz w:val="16"/>
              </w:rPr>
              <w:t>Ranking panel</w:t>
            </w:r>
          </w:p>
        </w:tc>
        <w:tc>
          <w:tcPr>
            <w:tcW w:type="dxa" w:w="7824"/>
          </w:tcPr>
          <w:p>
            <w:pPr>
              <w:spacing w:after="20" w:before="20" w:line="240" w:lineRule="auto"/>
            </w:pPr>
            <w:r/>
            <w:r>
              <w:rPr>
                <w:rFonts w:ascii="Calibri" w:hAnsi="Calibri"/>
                <w:b w:val="0"/>
                <w:sz w:val="16"/>
              </w:rPr>
              <w:t>Top 10 products by consumption value (bar, with share %)</w:t>
            </w:r>
          </w:p>
        </w:tc>
      </w:tr>
      <w:tr>
        <w:tc>
          <w:tcPr>
            <w:tcW w:type="dxa" w:w="1928"/>
            <w:shd w:val="clear" w:fill="F7F9FB"/>
          </w:tcPr>
          <w:p>
            <w:pPr>
              <w:spacing w:after="20" w:before="20" w:line="240" w:lineRule="auto"/>
            </w:pPr>
            <w:r/>
            <w:r>
              <w:rPr>
                <w:rFonts w:ascii="Calibri" w:hAnsi="Calibri"/>
                <w:b w:val="0"/>
                <w:sz w:val="16"/>
              </w:rPr>
              <w:t>Split</w:t>
            </w:r>
          </w:p>
        </w:tc>
        <w:tc>
          <w:tcPr>
            <w:tcW w:type="dxa" w:w="7824"/>
            <w:shd w:val="clear" w:fill="F7F9FB"/>
          </w:tcPr>
          <w:p>
            <w:pPr>
              <w:spacing w:after="20" w:before="20" w:line="240" w:lineRule="auto"/>
            </w:pPr>
            <w:r/>
            <w:r>
              <w:rPr>
                <w:rFonts w:ascii="Calibri" w:hAnsi="Calibri"/>
                <w:b w:val="0"/>
                <w:sz w:val="16"/>
              </w:rPr>
              <w:t>Consumption by category (stacked bar by month)</w:t>
            </w:r>
          </w:p>
        </w:tc>
      </w:tr>
      <w:tr>
        <w:tc>
          <w:tcPr>
            <w:tcW w:type="dxa" w:w="1928"/>
          </w:tcPr>
          <w:p>
            <w:pPr>
              <w:spacing w:after="20" w:before="20" w:line="240" w:lineRule="auto"/>
            </w:pPr>
            <w:r/>
            <w:r>
              <w:rPr>
                <w:rFonts w:ascii="Calibri" w:hAnsi="Calibri"/>
                <w:b w:val="0"/>
                <w:sz w:val="16"/>
              </w:rPr>
              <w:t>Attention list</w:t>
            </w:r>
          </w:p>
        </w:tc>
        <w:tc>
          <w:tcPr>
            <w:tcW w:type="dxa" w:w="7824"/>
          </w:tcPr>
          <w:p>
            <w:pPr>
              <w:spacing w:after="20" w:before="20" w:line="240" w:lineRule="auto"/>
            </w:pPr>
            <w:r/>
            <w:r>
              <w:rPr>
                <w:rFonts w:ascii="Calibri" w:hAnsi="Calibri"/>
                <w:b w:val="0"/>
                <w:sz w:val="16"/>
              </w:rPr>
              <w:t>Threshold breaches: variance &gt; 15%, cover &lt; 30 days, expiry &lt; 60 days, exceptions &gt; 30 days</w:t>
            </w:r>
          </w:p>
        </w:tc>
      </w:tr>
    </w:tbl>
    <w:p>
      <w:pPr>
        <w:spacing w:after="20"/>
      </w:pPr>
    </w:p>
    <w:p>
      <w:pPr>
        <w:pStyle w:val="Heading2"/>
      </w:pPr>
      <w:r>
        <w:t>C.2 Page 2 – Project Analysis</w:t>
      </w:r>
    </w:p>
    <w:tbl>
      <w:tblPr>
        <w:tblStyle w:val="TableGrid"/>
        <w:tblW w:type="auto" w:w="0"/>
        <w:jc w:val="center"/>
        <w:tblLayout w:type="fixed"/>
        <w:tblLook w:firstColumn="1" w:firstRow="1" w:lastColumn="0" w:lastRow="0" w:noHBand="0" w:noVBand="1" w:val="04A0"/>
      </w:tblPr>
      <w:tblGrid>
        <w:gridCol w:w="5043"/>
        <w:gridCol w:w="5043"/>
      </w:tblGrid>
      <w:tr>
        <w:trPr>
          <w:tblHeader/>
        </w:trPr>
        <w:tc>
          <w:tcPr>
            <w:tcW w:type="dxa" w:w="1928"/>
            <w:shd w:val="clear" w:fill="1F3B57"/>
          </w:tcPr>
          <w:p>
            <w:pPr>
              <w:spacing w:after="20" w:before="20" w:line="240" w:lineRule="auto"/>
            </w:pPr>
            <w:r/>
            <w:r>
              <w:rPr>
                <w:rFonts w:ascii="Calibri" w:hAnsi="Calibri"/>
                <w:b/>
                <w:color w:val="FFFFFF"/>
                <w:sz w:val="16"/>
              </w:rPr>
              <w:t>Block</w:t>
            </w:r>
          </w:p>
        </w:tc>
        <w:tc>
          <w:tcPr>
            <w:tcW w:type="dxa" w:w="7824"/>
            <w:shd w:val="clear" w:fill="1F3B57"/>
          </w:tcPr>
          <w:p>
            <w:pPr>
              <w:spacing w:after="20" w:before="20" w:line="240" w:lineRule="auto"/>
            </w:pPr>
            <w:r/>
            <w:r>
              <w:rPr>
                <w:rFonts w:ascii="Calibri" w:hAnsi="Calibri"/>
                <w:b/>
                <w:color w:val="FFFFFF"/>
                <w:sz w:val="16"/>
              </w:rPr>
              <w:t>Content</w:t>
            </w:r>
          </w:p>
        </w:tc>
      </w:tr>
      <w:tr>
        <w:tc>
          <w:tcPr>
            <w:tcW w:type="dxa" w:w="1928"/>
          </w:tcPr>
          <w:p>
            <w:pPr>
              <w:spacing w:after="20" w:before="20" w:line="240" w:lineRule="auto"/>
            </w:pPr>
            <w:r/>
            <w:r>
              <w:rPr>
                <w:rFonts w:ascii="Calibri" w:hAnsi="Calibri"/>
                <w:b w:val="0"/>
                <w:sz w:val="16"/>
              </w:rPr>
              <w:t>Project header</w:t>
            </w:r>
          </w:p>
        </w:tc>
        <w:tc>
          <w:tcPr>
            <w:tcW w:type="dxa" w:w="7824"/>
          </w:tcPr>
          <w:p>
            <w:pPr>
              <w:spacing w:after="20" w:before="20" w:line="240" w:lineRule="auto"/>
            </w:pPr>
            <w:r/>
            <w:r>
              <w:rPr>
                <w:rFonts w:ascii="Calibri" w:hAnsi="Calibri"/>
                <w:b w:val="0"/>
                <w:sz w:val="16"/>
              </w:rPr>
              <w:t>Name · donor · district · status · start–end · elapsed % · remaining budget</w:t>
            </w:r>
          </w:p>
        </w:tc>
      </w:tr>
      <w:tr>
        <w:tc>
          <w:tcPr>
            <w:tcW w:type="dxa" w:w="1928"/>
            <w:shd w:val="clear" w:fill="F7F9FB"/>
          </w:tcPr>
          <w:p>
            <w:pPr>
              <w:spacing w:after="20" w:before="20" w:line="240" w:lineRule="auto"/>
            </w:pPr>
            <w:r/>
            <w:r>
              <w:rPr>
                <w:rFonts w:ascii="Calibri" w:hAnsi="Calibri"/>
                <w:b w:val="0"/>
                <w:sz w:val="16"/>
              </w:rPr>
              <w:t>KPI row</w:t>
            </w:r>
          </w:p>
        </w:tc>
        <w:tc>
          <w:tcPr>
            <w:tcW w:type="dxa" w:w="7824"/>
            <w:shd w:val="clear" w:fill="F7F9FB"/>
          </w:tcPr>
          <w:p>
            <w:pPr>
              <w:spacing w:after="20" w:before="20" w:line="240" w:lineRule="auto"/>
            </w:pPr>
            <w:r/>
            <w:r>
              <w:rPr>
                <w:rFonts w:ascii="Calibri" w:hAnsi="Calibri"/>
                <w:b w:val="0"/>
                <w:sz w:val="16"/>
              </w:rPr>
              <w:t>Period consumption · Cumulative consumption · Investment · Ratio · Cost per beneficiary · Days of cover (lowest item)</w:t>
            </w:r>
          </w:p>
        </w:tc>
      </w:tr>
      <w:tr>
        <w:tc>
          <w:tcPr>
            <w:tcW w:type="dxa" w:w="1928"/>
          </w:tcPr>
          <w:p>
            <w:pPr>
              <w:spacing w:after="20" w:before="20" w:line="240" w:lineRule="auto"/>
            </w:pPr>
            <w:r/>
            <w:r>
              <w:rPr>
                <w:rFonts w:ascii="Calibri" w:hAnsi="Calibri"/>
                <w:b w:val="0"/>
                <w:sz w:val="16"/>
              </w:rPr>
              <w:t>Trend panel</w:t>
            </w:r>
          </w:p>
        </w:tc>
        <w:tc>
          <w:tcPr>
            <w:tcW w:type="dxa" w:w="7824"/>
          </w:tcPr>
          <w:p>
            <w:pPr>
              <w:spacing w:after="20" w:before="20" w:line="240" w:lineRule="auto"/>
            </w:pPr>
            <w:r/>
            <w:r>
              <w:rPr>
                <w:rFonts w:ascii="Calibri" w:hAnsi="Calibri"/>
                <w:b w:val="0"/>
                <w:sz w:val="16"/>
              </w:rPr>
              <w:t>Consumption and purchase value by month across project life, with activity markers</w:t>
            </w:r>
          </w:p>
        </w:tc>
      </w:tr>
      <w:tr>
        <w:tc>
          <w:tcPr>
            <w:tcW w:type="dxa" w:w="1928"/>
            <w:shd w:val="clear" w:fill="F7F9FB"/>
          </w:tcPr>
          <w:p>
            <w:pPr>
              <w:spacing w:after="20" w:before="20" w:line="240" w:lineRule="auto"/>
            </w:pPr>
            <w:r/>
            <w:r>
              <w:rPr>
                <w:rFonts w:ascii="Calibri" w:hAnsi="Calibri"/>
                <w:b w:val="0"/>
                <w:sz w:val="16"/>
              </w:rPr>
              <w:t>Composition</w:t>
            </w:r>
          </w:p>
        </w:tc>
        <w:tc>
          <w:tcPr>
            <w:tcW w:type="dxa" w:w="7824"/>
            <w:shd w:val="clear" w:fill="F7F9FB"/>
          </w:tcPr>
          <w:p>
            <w:pPr>
              <w:spacing w:after="20" w:before="20" w:line="240" w:lineRule="auto"/>
            </w:pPr>
            <w:r/>
            <w:r>
              <w:rPr>
                <w:rFonts w:ascii="Calibri" w:hAnsi="Calibri"/>
                <w:b w:val="0"/>
                <w:sz w:val="16"/>
              </w:rPr>
              <w:t>Consumption by category (donut) · by item Pareto (bar + cumulative line) · by service point (bar)</w:t>
            </w:r>
          </w:p>
        </w:tc>
      </w:tr>
      <w:tr>
        <w:tc>
          <w:tcPr>
            <w:tcW w:type="dxa" w:w="1928"/>
          </w:tcPr>
          <w:p>
            <w:pPr>
              <w:spacing w:after="20" w:before="20" w:line="240" w:lineRule="auto"/>
            </w:pPr>
            <w:r/>
            <w:r>
              <w:rPr>
                <w:rFonts w:ascii="Calibri" w:hAnsi="Calibri"/>
                <w:b w:val="0"/>
                <w:sz w:val="16"/>
              </w:rPr>
              <w:t>Efficiency</w:t>
            </w:r>
          </w:p>
        </w:tc>
        <w:tc>
          <w:tcPr>
            <w:tcW w:type="dxa" w:w="7824"/>
          </w:tcPr>
          <w:p>
            <w:pPr>
              <w:spacing w:after="20" w:before="20" w:line="240" w:lineRule="auto"/>
            </w:pPr>
            <w:r/>
            <w:r>
              <w:rPr>
                <w:rFonts w:ascii="Calibri" w:hAnsi="Calibri"/>
                <w:b w:val="0"/>
                <w:sz w:val="16"/>
              </w:rPr>
              <w:t>Cost per beneficiary and per visit, project trend versus peer median</w:t>
            </w:r>
          </w:p>
        </w:tc>
      </w:tr>
      <w:tr>
        <w:tc>
          <w:tcPr>
            <w:tcW w:type="dxa" w:w="1928"/>
            <w:shd w:val="clear" w:fill="F7F9FB"/>
          </w:tcPr>
          <w:p>
            <w:pPr>
              <w:spacing w:after="20" w:before="20" w:line="240" w:lineRule="auto"/>
            </w:pPr>
            <w:r/>
            <w:r>
              <w:rPr>
                <w:rFonts w:ascii="Calibri" w:hAnsi="Calibri"/>
                <w:b w:val="0"/>
                <w:sz w:val="16"/>
              </w:rPr>
              <w:t>Stock health</w:t>
            </w:r>
          </w:p>
        </w:tc>
        <w:tc>
          <w:tcPr>
            <w:tcW w:type="dxa" w:w="7824"/>
            <w:shd w:val="clear" w:fill="F7F9FB"/>
          </w:tcPr>
          <w:p>
            <w:pPr>
              <w:spacing w:after="20" w:before="20" w:line="240" w:lineRule="auto"/>
            </w:pPr>
            <w:r/>
            <w:r>
              <w:rPr>
                <w:rFonts w:ascii="Calibri" w:hAnsi="Calibri"/>
                <w:b w:val="0"/>
                <w:sz w:val="16"/>
              </w:rPr>
              <w:t>Items below cover threshold · near-expiry batches held · stock-out occurrences</w:t>
            </w:r>
          </w:p>
        </w:tc>
      </w:tr>
      <w:tr>
        <w:tc>
          <w:tcPr>
            <w:tcW w:type="dxa" w:w="1928"/>
          </w:tcPr>
          <w:p>
            <w:pPr>
              <w:spacing w:after="20" w:before="20" w:line="240" w:lineRule="auto"/>
            </w:pPr>
            <w:r/>
            <w:r>
              <w:rPr>
                <w:rFonts w:ascii="Calibri" w:hAnsi="Calibri"/>
                <w:b w:val="0"/>
                <w:sz w:val="16"/>
              </w:rPr>
              <w:t>Detail grid</w:t>
            </w:r>
          </w:p>
        </w:tc>
        <w:tc>
          <w:tcPr>
            <w:tcW w:type="dxa" w:w="7824"/>
          </w:tcPr>
          <w:p>
            <w:pPr>
              <w:spacing w:after="20" w:before="20" w:line="240" w:lineRule="auto"/>
            </w:pPr>
            <w:r/>
            <w:r>
              <w:rPr>
                <w:rFonts w:ascii="Calibri" w:hAnsi="Calibri"/>
                <w:b w:val="0"/>
                <w:sz w:val="16"/>
              </w:rPr>
              <w:t>Item × month table with drill-through to issue, batch and PO</w:t>
            </w:r>
          </w:p>
        </w:tc>
      </w:tr>
    </w:tbl>
    <w:p>
      <w:pPr>
        <w:spacing w:after="20"/>
      </w:pPr>
    </w:p>
    <w:p>
      <w:pPr>
        <w:pStyle w:val="Heading2"/>
      </w:pPr>
      <w:r>
        <w:t>C.3 Page 5 – Exceptions and Data Quality</w:t>
      </w:r>
    </w:p>
    <w:tbl>
      <w:tblPr>
        <w:tblStyle w:val="TableGrid"/>
        <w:tblW w:type="auto" w:w="0"/>
        <w:jc w:val="center"/>
        <w:tblLayout w:type="fixed"/>
        <w:tblLook w:firstColumn="1" w:firstRow="1" w:lastColumn="0" w:lastRow="0" w:noHBand="0" w:noVBand="1" w:val="04A0"/>
      </w:tblPr>
      <w:tblGrid>
        <w:gridCol w:w="5043"/>
        <w:gridCol w:w="5043"/>
      </w:tblGrid>
      <w:tr>
        <w:trPr>
          <w:tblHeader/>
        </w:trPr>
        <w:tc>
          <w:tcPr>
            <w:tcW w:type="dxa" w:w="1928"/>
            <w:shd w:val="clear" w:fill="1F3B57"/>
          </w:tcPr>
          <w:p>
            <w:pPr>
              <w:spacing w:after="20" w:before="20" w:line="240" w:lineRule="auto"/>
            </w:pPr>
            <w:r/>
            <w:r>
              <w:rPr>
                <w:rFonts w:ascii="Calibri" w:hAnsi="Calibri"/>
                <w:b/>
                <w:color w:val="FFFFFF"/>
                <w:sz w:val="16"/>
              </w:rPr>
              <w:t>Block</w:t>
            </w:r>
          </w:p>
        </w:tc>
        <w:tc>
          <w:tcPr>
            <w:tcW w:type="dxa" w:w="7824"/>
            <w:shd w:val="clear" w:fill="1F3B57"/>
          </w:tcPr>
          <w:p>
            <w:pPr>
              <w:spacing w:after="20" w:before="20" w:line="240" w:lineRule="auto"/>
            </w:pPr>
            <w:r/>
            <w:r>
              <w:rPr>
                <w:rFonts w:ascii="Calibri" w:hAnsi="Calibri"/>
                <w:b/>
                <w:color w:val="FFFFFF"/>
                <w:sz w:val="16"/>
              </w:rPr>
              <w:t>Content</w:t>
            </w:r>
          </w:p>
        </w:tc>
      </w:tr>
      <w:tr>
        <w:tc>
          <w:tcPr>
            <w:tcW w:type="dxa" w:w="1928"/>
          </w:tcPr>
          <w:p>
            <w:pPr>
              <w:spacing w:after="20" w:before="20" w:line="240" w:lineRule="auto"/>
            </w:pPr>
            <w:r/>
            <w:r>
              <w:rPr>
                <w:rFonts w:ascii="Calibri" w:hAnsi="Calibri"/>
                <w:b w:val="0"/>
                <w:sz w:val="16"/>
              </w:rPr>
              <w:t>KPI row</w:t>
            </w:r>
          </w:p>
        </w:tc>
        <w:tc>
          <w:tcPr>
            <w:tcW w:type="dxa" w:w="7824"/>
          </w:tcPr>
          <w:p>
            <w:pPr>
              <w:spacing w:after="20" w:before="20" w:line="240" w:lineRule="auto"/>
            </w:pPr>
            <w:r/>
            <w:r>
              <w:rPr>
                <w:rFonts w:ascii="Calibri" w:hAnsi="Calibri"/>
                <w:b w:val="0"/>
                <w:sz w:val="16"/>
              </w:rPr>
              <w:t>Total exceptions · value at risk · aged over 30 days · resolved this month</w:t>
            </w:r>
          </w:p>
        </w:tc>
      </w:tr>
      <w:tr>
        <w:tc>
          <w:tcPr>
            <w:tcW w:type="dxa" w:w="1928"/>
            <w:shd w:val="clear" w:fill="F7F9FB"/>
          </w:tcPr>
          <w:p>
            <w:pPr>
              <w:spacing w:after="20" w:before="20" w:line="240" w:lineRule="auto"/>
            </w:pPr>
            <w:r/>
            <w:r>
              <w:rPr>
                <w:rFonts w:ascii="Calibri" w:hAnsi="Calibri"/>
                <w:b w:val="0"/>
                <w:sz w:val="16"/>
              </w:rPr>
              <w:t>Grid</w:t>
            </w:r>
          </w:p>
        </w:tc>
        <w:tc>
          <w:tcPr>
            <w:tcW w:type="dxa" w:w="7824"/>
            <w:shd w:val="clear" w:fill="F7F9FB"/>
          </w:tcPr>
          <w:p>
            <w:pPr>
              <w:spacing w:after="20" w:before="20" w:line="240" w:lineRule="auto"/>
            </w:pPr>
            <w:r/>
            <w:r>
              <w:rPr>
                <w:rFonts w:ascii="Calibri" w:hAnsi="Calibri"/>
                <w:b w:val="0"/>
                <w:sz w:val="16"/>
              </w:rPr>
              <w:t>Exception type × project × month, with value, owner, age and status</w:t>
            </w:r>
          </w:p>
        </w:tc>
      </w:tr>
      <w:tr>
        <w:tc>
          <w:tcPr>
            <w:tcW w:type="dxa" w:w="1928"/>
          </w:tcPr>
          <w:p>
            <w:pPr>
              <w:spacing w:after="20" w:before="20" w:line="240" w:lineRule="auto"/>
            </w:pPr>
            <w:r/>
            <w:r>
              <w:rPr>
                <w:rFonts w:ascii="Calibri" w:hAnsi="Calibri"/>
                <w:b w:val="0"/>
                <w:sz w:val="16"/>
              </w:rPr>
              <w:t>Panels</w:t>
            </w:r>
          </w:p>
        </w:tc>
        <w:tc>
          <w:tcPr>
            <w:tcW w:type="dxa" w:w="7824"/>
          </w:tcPr>
          <w:p>
            <w:pPr>
              <w:spacing w:after="20" w:before="20" w:line="240" w:lineRule="auto"/>
            </w:pPr>
            <w:r/>
            <w:r>
              <w:rPr>
                <w:rFonts w:ascii="Calibri" w:hAnsi="Calibri"/>
                <w:b w:val="0"/>
                <w:sz w:val="16"/>
              </w:rPr>
              <w:t>Unattributed consumption by month · zero-price lines · duplicate GRN candidates · cancelled POs · master-data gaps</w:t>
            </w:r>
          </w:p>
        </w:tc>
      </w:tr>
      <w:tr>
        <w:tc>
          <w:tcPr>
            <w:tcW w:type="dxa" w:w="1928"/>
            <w:shd w:val="clear" w:fill="F7F9FB"/>
          </w:tcPr>
          <w:p>
            <w:pPr>
              <w:spacing w:after="20" w:before="20" w:line="240" w:lineRule="auto"/>
            </w:pPr>
            <w:r/>
            <w:r>
              <w:rPr>
                <w:rFonts w:ascii="Calibri" w:hAnsi="Calibri"/>
                <w:b w:val="0"/>
                <w:sz w:val="16"/>
              </w:rPr>
              <w:t>Log</w:t>
            </w:r>
          </w:p>
        </w:tc>
        <w:tc>
          <w:tcPr>
            <w:tcW w:type="dxa" w:w="7824"/>
            <w:shd w:val="clear" w:fill="F7F9FB"/>
          </w:tcPr>
          <w:p>
            <w:pPr>
              <w:spacing w:after="20" w:before="20" w:line="240" w:lineRule="auto"/>
            </w:pPr>
            <w:r/>
            <w:r>
              <w:rPr>
                <w:rFonts w:ascii="Calibri" w:hAnsi="Calibri"/>
                <w:b w:val="0"/>
                <w:sz w:val="16"/>
              </w:rPr>
              <w:t>Resolution log with notes, owner and due date</w:t>
            </w:r>
          </w:p>
        </w:tc>
      </w:tr>
    </w:tbl>
    <w:p>
      <w:pPr>
        <w:spacing w:after="20"/>
      </w:pPr>
    </w:p>
    <w:p>
      <w:pPr>
        <w:pStyle w:val="Heading1"/>
      </w:pPr>
      <w:r>
        <w:t>Appendix D – Sample Dataset Description</w:t>
      </w:r>
    </w:p>
    <w:p>
      <w:pPr>
        <w:spacing w:after="100"/>
      </w:pPr>
      <w:r>
        <w:rPr>
          <w:b w:val="0"/>
          <w:i w:val="0"/>
        </w:rPr>
        <w:t>A synthetic dataset accompanies this BRD (VPT_Consumption_Dataset.xlsx) so that requirements, KPI definitions and exception logic can be tested before Oracle access is granted. It is realistic in structure, seasonality, price behaviour and volume, and it deliberately contains the defects described in Section 15.</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trPr>
        <w:tc>
          <w:tcPr>
            <w:tcW w:type="dxa" w:w="2494"/>
            <w:shd w:val="clear" w:fill="1F3B57"/>
          </w:tcPr>
          <w:p>
            <w:pPr>
              <w:spacing w:after="20" w:before="20" w:line="240" w:lineRule="auto"/>
            </w:pPr>
            <w:r/>
            <w:r>
              <w:rPr>
                <w:rFonts w:ascii="Calibri" w:hAnsi="Calibri"/>
                <w:b/>
                <w:color w:val="FFFFFF"/>
                <w:sz w:val="16"/>
              </w:rPr>
              <w:t>Sheet</w:t>
            </w:r>
          </w:p>
        </w:tc>
        <w:tc>
          <w:tcPr>
            <w:tcW w:type="dxa" w:w="5443"/>
            <w:shd w:val="clear" w:fill="1F3B57"/>
          </w:tcPr>
          <w:p>
            <w:pPr>
              <w:spacing w:after="20" w:before="20" w:line="240" w:lineRule="auto"/>
            </w:pPr>
            <w:r/>
            <w:r>
              <w:rPr>
                <w:rFonts w:ascii="Calibri" w:hAnsi="Calibri"/>
                <w:b/>
                <w:color w:val="FFFFFF"/>
                <w:sz w:val="16"/>
              </w:rPr>
              <w:t>Content</w:t>
            </w:r>
          </w:p>
        </w:tc>
        <w:tc>
          <w:tcPr>
            <w:tcW w:type="dxa" w:w="1814"/>
            <w:shd w:val="clear" w:fill="1F3B57"/>
          </w:tcPr>
          <w:p>
            <w:pPr>
              <w:spacing w:after="20" w:before="20" w:line="240" w:lineRule="auto"/>
            </w:pPr>
            <w:r/>
            <w:r>
              <w:rPr>
                <w:rFonts w:ascii="Calibri" w:hAnsi="Calibri"/>
                <w:b/>
                <w:color w:val="FFFFFF"/>
                <w:sz w:val="16"/>
              </w:rPr>
              <w:t>Rows (approx.)</w:t>
            </w:r>
          </w:p>
        </w:tc>
      </w:tr>
      <w:tr>
        <w:tc>
          <w:tcPr>
            <w:tcW w:type="dxa" w:w="2494"/>
          </w:tcPr>
          <w:p>
            <w:pPr>
              <w:spacing w:after="20" w:before="20" w:line="240" w:lineRule="auto"/>
            </w:pPr>
            <w:r/>
            <w:r>
              <w:rPr>
                <w:rFonts w:ascii="Calibri" w:hAnsi="Calibri"/>
                <w:b w:val="0"/>
                <w:sz w:val="16"/>
              </w:rPr>
              <w:t>README</w:t>
            </w:r>
          </w:p>
        </w:tc>
        <w:tc>
          <w:tcPr>
            <w:tcW w:type="dxa" w:w="5443"/>
          </w:tcPr>
          <w:p>
            <w:pPr>
              <w:spacing w:after="20" w:before="20" w:line="240" w:lineRule="auto"/>
            </w:pPr>
            <w:r/>
            <w:r>
              <w:rPr>
                <w:rFonts w:ascii="Calibri" w:hAnsi="Calibri"/>
                <w:b w:val="0"/>
                <w:sz w:val="16"/>
              </w:rPr>
              <w:t>Coverage, assumptions, link logic and known defects</w:t>
            </w:r>
          </w:p>
        </w:tc>
        <w:tc>
          <w:tcPr>
            <w:tcW w:type="dxa" w:w="1814"/>
          </w:tcPr>
          <w:p>
            <w:pPr>
              <w:spacing w:after="20" w:before="20" w:line="240" w:lineRule="auto"/>
              <w:jc w:val="center"/>
            </w:pPr>
            <w:r/>
            <w:r>
              <w:rPr>
                <w:rFonts w:ascii="Calibri" w:hAnsi="Calibri"/>
                <w:b w:val="0"/>
                <w:sz w:val="16"/>
              </w:rPr>
              <w:t>—</w:t>
            </w:r>
          </w:p>
        </w:tc>
      </w:tr>
      <w:tr>
        <w:tc>
          <w:tcPr>
            <w:tcW w:type="dxa" w:w="2494"/>
            <w:shd w:val="clear" w:fill="F7F9FB"/>
          </w:tcPr>
          <w:p>
            <w:pPr>
              <w:spacing w:after="20" w:before="20" w:line="240" w:lineRule="auto"/>
            </w:pPr>
            <w:r/>
            <w:r>
              <w:rPr>
                <w:rFonts w:ascii="Calibri" w:hAnsi="Calibri"/>
                <w:b w:val="0"/>
                <w:sz w:val="16"/>
              </w:rPr>
              <w:t>02_Dim_Donor</w:t>
            </w:r>
          </w:p>
        </w:tc>
        <w:tc>
          <w:tcPr>
            <w:tcW w:type="dxa" w:w="5443"/>
            <w:shd w:val="clear" w:fill="F7F9FB"/>
          </w:tcPr>
          <w:p>
            <w:pPr>
              <w:spacing w:after="20" w:before="20" w:line="240" w:lineRule="auto"/>
            </w:pPr>
            <w:r/>
            <w:r>
              <w:rPr>
                <w:rFonts w:ascii="Calibri" w:hAnsi="Calibri"/>
                <w:b w:val="0"/>
                <w:sz w:val="16"/>
              </w:rPr>
              <w:t>Seven donors including own-source funding</w:t>
            </w:r>
          </w:p>
        </w:tc>
        <w:tc>
          <w:tcPr>
            <w:tcW w:type="dxa" w:w="1814"/>
            <w:shd w:val="clear" w:fill="F7F9FB"/>
          </w:tcPr>
          <w:p>
            <w:pPr>
              <w:spacing w:after="20" w:before="20" w:line="240" w:lineRule="auto"/>
              <w:jc w:val="center"/>
            </w:pPr>
            <w:r/>
            <w:r>
              <w:rPr>
                <w:rFonts w:ascii="Calibri" w:hAnsi="Calibri"/>
                <w:b w:val="0"/>
                <w:sz w:val="16"/>
              </w:rPr>
              <w:t>7</w:t>
            </w:r>
          </w:p>
        </w:tc>
      </w:tr>
      <w:tr>
        <w:tc>
          <w:tcPr>
            <w:tcW w:type="dxa" w:w="2494"/>
          </w:tcPr>
          <w:p>
            <w:pPr>
              <w:spacing w:after="20" w:before="20" w:line="240" w:lineRule="auto"/>
            </w:pPr>
            <w:r/>
            <w:r>
              <w:rPr>
                <w:rFonts w:ascii="Calibri" w:hAnsi="Calibri"/>
                <w:b w:val="0"/>
                <w:sz w:val="16"/>
              </w:rPr>
              <w:t>03_Dim_Project</w:t>
            </w:r>
          </w:p>
        </w:tc>
        <w:tc>
          <w:tcPr>
            <w:tcW w:type="dxa" w:w="5443"/>
          </w:tcPr>
          <w:p>
            <w:pPr>
              <w:spacing w:after="20" w:before="20" w:line="240" w:lineRule="auto"/>
            </w:pPr>
            <w:r/>
            <w:r>
              <w:rPr>
                <w:rFonts w:ascii="Calibri" w:hAnsi="Calibri"/>
                <w:b w:val="0"/>
                <w:sz w:val="16"/>
              </w:rPr>
              <w:t>Ten projects across Karachi and interior Sindh</w:t>
            </w:r>
          </w:p>
        </w:tc>
        <w:tc>
          <w:tcPr>
            <w:tcW w:type="dxa" w:w="1814"/>
          </w:tcPr>
          <w:p>
            <w:pPr>
              <w:spacing w:after="20" w:before="20" w:line="240" w:lineRule="auto"/>
              <w:jc w:val="center"/>
            </w:pPr>
            <w:r/>
            <w:r>
              <w:rPr>
                <w:rFonts w:ascii="Calibri" w:hAnsi="Calibri"/>
                <w:b w:val="0"/>
                <w:sz w:val="16"/>
              </w:rPr>
              <w:t>10</w:t>
            </w:r>
          </w:p>
        </w:tc>
      </w:tr>
      <w:tr>
        <w:tc>
          <w:tcPr>
            <w:tcW w:type="dxa" w:w="2494"/>
            <w:shd w:val="clear" w:fill="F7F9FB"/>
          </w:tcPr>
          <w:p>
            <w:pPr>
              <w:spacing w:after="20" w:before="20" w:line="240" w:lineRule="auto"/>
            </w:pPr>
            <w:r/>
            <w:r>
              <w:rPr>
                <w:rFonts w:ascii="Calibri" w:hAnsi="Calibri"/>
                <w:b w:val="0"/>
                <w:sz w:val="16"/>
              </w:rPr>
              <w:t>04_Dim_Item</w:t>
            </w:r>
          </w:p>
        </w:tc>
        <w:tc>
          <w:tcPr>
            <w:tcW w:type="dxa" w:w="5443"/>
            <w:shd w:val="clear" w:fill="F7F9FB"/>
          </w:tcPr>
          <w:p>
            <w:pPr>
              <w:spacing w:after="20" w:before="20" w:line="240" w:lineRule="auto"/>
            </w:pPr>
            <w:r/>
            <w:r>
              <w:rPr>
                <w:rFonts w:ascii="Calibri" w:hAnsi="Calibri"/>
                <w:b w:val="0"/>
                <w:sz w:val="16"/>
              </w:rPr>
              <w:t>Ninety items across six categories</w:t>
            </w:r>
          </w:p>
        </w:tc>
        <w:tc>
          <w:tcPr>
            <w:tcW w:type="dxa" w:w="1814"/>
            <w:shd w:val="clear" w:fill="F7F9FB"/>
          </w:tcPr>
          <w:p>
            <w:pPr>
              <w:spacing w:after="20" w:before="20" w:line="240" w:lineRule="auto"/>
              <w:jc w:val="center"/>
            </w:pPr>
            <w:r/>
            <w:r>
              <w:rPr>
                <w:rFonts w:ascii="Calibri" w:hAnsi="Calibri"/>
                <w:b w:val="0"/>
                <w:sz w:val="16"/>
              </w:rPr>
              <w:t>90</w:t>
            </w:r>
          </w:p>
        </w:tc>
      </w:tr>
      <w:tr>
        <w:tc>
          <w:tcPr>
            <w:tcW w:type="dxa" w:w="2494"/>
          </w:tcPr>
          <w:p>
            <w:pPr>
              <w:spacing w:after="20" w:before="20" w:line="240" w:lineRule="auto"/>
            </w:pPr>
            <w:r/>
            <w:r>
              <w:rPr>
                <w:rFonts w:ascii="Calibri" w:hAnsi="Calibri"/>
                <w:b w:val="0"/>
                <w:sz w:val="16"/>
              </w:rPr>
              <w:t>05_Dim_Supplier</w:t>
            </w:r>
          </w:p>
        </w:tc>
        <w:tc>
          <w:tcPr>
            <w:tcW w:type="dxa" w:w="5443"/>
          </w:tcPr>
          <w:p>
            <w:pPr>
              <w:spacing w:after="20" w:before="20" w:line="240" w:lineRule="auto"/>
            </w:pPr>
            <w:r/>
            <w:r>
              <w:rPr>
                <w:rFonts w:ascii="Calibri" w:hAnsi="Calibri"/>
                <w:b w:val="0"/>
                <w:sz w:val="16"/>
              </w:rPr>
              <w:t>Twelve suppliers with lead times and terms</w:t>
            </w:r>
          </w:p>
        </w:tc>
        <w:tc>
          <w:tcPr>
            <w:tcW w:type="dxa" w:w="1814"/>
          </w:tcPr>
          <w:p>
            <w:pPr>
              <w:spacing w:after="20" w:before="20" w:line="240" w:lineRule="auto"/>
              <w:jc w:val="center"/>
            </w:pPr>
            <w:r/>
            <w:r>
              <w:rPr>
                <w:rFonts w:ascii="Calibri" w:hAnsi="Calibri"/>
                <w:b w:val="0"/>
                <w:sz w:val="16"/>
              </w:rPr>
              <w:t>12</w:t>
            </w:r>
          </w:p>
        </w:tc>
      </w:tr>
      <w:tr>
        <w:tc>
          <w:tcPr>
            <w:tcW w:type="dxa" w:w="2494"/>
            <w:shd w:val="clear" w:fill="F7F9FB"/>
          </w:tcPr>
          <w:p>
            <w:pPr>
              <w:spacing w:after="20" w:before="20" w:line="240" w:lineRule="auto"/>
            </w:pPr>
            <w:r/>
            <w:r>
              <w:rPr>
                <w:rFonts w:ascii="Calibri" w:hAnsi="Calibri"/>
                <w:b w:val="0"/>
                <w:sz w:val="16"/>
              </w:rPr>
              <w:t>06_Dim_Warehouse</w:t>
            </w:r>
          </w:p>
        </w:tc>
        <w:tc>
          <w:tcPr>
            <w:tcW w:type="dxa" w:w="5443"/>
            <w:shd w:val="clear" w:fill="F7F9FB"/>
          </w:tcPr>
          <w:p>
            <w:pPr>
              <w:spacing w:after="20" w:before="20" w:line="240" w:lineRule="auto"/>
            </w:pPr>
            <w:r/>
            <w:r>
              <w:rPr>
                <w:rFonts w:ascii="Calibri" w:hAnsi="Calibri"/>
                <w:b w:val="0"/>
                <w:sz w:val="16"/>
              </w:rPr>
              <w:t>One central store and seven project or field stores</w:t>
            </w:r>
          </w:p>
        </w:tc>
        <w:tc>
          <w:tcPr>
            <w:tcW w:type="dxa" w:w="1814"/>
            <w:shd w:val="clear" w:fill="F7F9FB"/>
          </w:tcPr>
          <w:p>
            <w:pPr>
              <w:spacing w:after="20" w:before="20" w:line="240" w:lineRule="auto"/>
              <w:jc w:val="center"/>
            </w:pPr>
            <w:r/>
            <w:r>
              <w:rPr>
                <w:rFonts w:ascii="Calibri" w:hAnsi="Calibri"/>
                <w:b w:val="0"/>
                <w:sz w:val="16"/>
              </w:rPr>
              <w:t>8</w:t>
            </w:r>
          </w:p>
        </w:tc>
      </w:tr>
      <w:tr>
        <w:tc>
          <w:tcPr>
            <w:tcW w:type="dxa" w:w="2494"/>
          </w:tcPr>
          <w:p>
            <w:pPr>
              <w:spacing w:after="20" w:before="20" w:line="240" w:lineRule="auto"/>
            </w:pPr>
            <w:r/>
            <w:r>
              <w:rPr>
                <w:rFonts w:ascii="Calibri" w:hAnsi="Calibri"/>
                <w:b w:val="0"/>
                <w:sz w:val="16"/>
              </w:rPr>
              <w:t>07_Dim_Calendar</w:t>
            </w:r>
          </w:p>
        </w:tc>
        <w:tc>
          <w:tcPr>
            <w:tcW w:type="dxa" w:w="5443"/>
          </w:tcPr>
          <w:p>
            <w:pPr>
              <w:spacing w:after="20" w:before="20" w:line="240" w:lineRule="auto"/>
            </w:pPr>
            <w:r/>
            <w:r>
              <w:rPr>
                <w:rFonts w:ascii="Calibri" w:hAnsi="Calibri"/>
                <w:b w:val="0"/>
                <w:sz w:val="16"/>
              </w:rPr>
              <w:t>Monthly calendar with fiscal year and period key</w:t>
            </w:r>
          </w:p>
        </w:tc>
        <w:tc>
          <w:tcPr>
            <w:tcW w:type="dxa" w:w="1814"/>
          </w:tcPr>
          <w:p>
            <w:pPr>
              <w:spacing w:after="20" w:before="20" w:line="240" w:lineRule="auto"/>
              <w:jc w:val="center"/>
            </w:pPr>
            <w:r/>
            <w:r>
              <w:rPr>
                <w:rFonts w:ascii="Calibri" w:hAnsi="Calibri"/>
                <w:b w:val="0"/>
                <w:sz w:val="16"/>
              </w:rPr>
              <w:t>27</w:t>
            </w:r>
          </w:p>
        </w:tc>
      </w:tr>
      <w:tr>
        <w:tc>
          <w:tcPr>
            <w:tcW w:type="dxa" w:w="2494"/>
            <w:shd w:val="clear" w:fill="F7F9FB"/>
          </w:tcPr>
          <w:p>
            <w:pPr>
              <w:spacing w:after="20" w:before="20" w:line="240" w:lineRule="auto"/>
            </w:pPr>
            <w:r/>
            <w:r>
              <w:rPr>
                <w:rFonts w:ascii="Calibri" w:hAnsi="Calibri"/>
                <w:b w:val="0"/>
                <w:sz w:val="16"/>
              </w:rPr>
              <w:t>08_Fact_PurchaseOrder</w:t>
            </w:r>
          </w:p>
        </w:tc>
        <w:tc>
          <w:tcPr>
            <w:tcW w:type="dxa" w:w="5443"/>
            <w:shd w:val="clear" w:fill="F7F9FB"/>
          </w:tcPr>
          <w:p>
            <w:pPr>
              <w:spacing w:after="20" w:before="20" w:line="240" w:lineRule="auto"/>
            </w:pPr>
            <w:r/>
            <w:r>
              <w:rPr>
                <w:rFonts w:ascii="Calibri" w:hAnsi="Calibri"/>
                <w:b w:val="0"/>
                <w:sz w:val="16"/>
              </w:rPr>
              <w:t>PO lines with price, quantity, buyer and lead time</w:t>
            </w:r>
          </w:p>
        </w:tc>
        <w:tc>
          <w:tcPr>
            <w:tcW w:type="dxa" w:w="1814"/>
            <w:shd w:val="clear" w:fill="F7F9FB"/>
          </w:tcPr>
          <w:p>
            <w:pPr>
              <w:spacing w:after="20" w:before="20" w:line="240" w:lineRule="auto"/>
              <w:jc w:val="center"/>
            </w:pPr>
            <w:r/>
            <w:r>
              <w:rPr>
                <w:rFonts w:ascii="Calibri" w:hAnsi="Calibri"/>
                <w:b w:val="0"/>
                <w:sz w:val="16"/>
              </w:rPr>
              <w:t>14,100</w:t>
            </w:r>
          </w:p>
        </w:tc>
      </w:tr>
      <w:tr>
        <w:tc>
          <w:tcPr>
            <w:tcW w:type="dxa" w:w="2494"/>
          </w:tcPr>
          <w:p>
            <w:pPr>
              <w:spacing w:after="20" w:before="20" w:line="240" w:lineRule="auto"/>
            </w:pPr>
            <w:r/>
            <w:r>
              <w:rPr>
                <w:rFonts w:ascii="Calibri" w:hAnsi="Calibri"/>
                <w:b w:val="0"/>
                <w:sz w:val="16"/>
              </w:rPr>
              <w:t>09_Fact_Receipts</w:t>
            </w:r>
          </w:p>
        </w:tc>
        <w:tc>
          <w:tcPr>
            <w:tcW w:type="dxa" w:w="5443"/>
          </w:tcPr>
          <w:p>
            <w:pPr>
              <w:spacing w:after="20" w:before="20" w:line="240" w:lineRule="auto"/>
            </w:pPr>
            <w:r/>
            <w:r>
              <w:rPr>
                <w:rFonts w:ascii="Calibri" w:hAnsi="Calibri"/>
                <w:b w:val="0"/>
                <w:sz w:val="16"/>
              </w:rPr>
              <w:t>GRN lines with batch, manufacture and expiry dates</w:t>
            </w:r>
          </w:p>
        </w:tc>
        <w:tc>
          <w:tcPr>
            <w:tcW w:type="dxa" w:w="1814"/>
          </w:tcPr>
          <w:p>
            <w:pPr>
              <w:spacing w:after="20" w:before="20" w:line="240" w:lineRule="auto"/>
              <w:jc w:val="center"/>
            </w:pPr>
            <w:r/>
            <w:r>
              <w:rPr>
                <w:rFonts w:ascii="Calibri" w:hAnsi="Calibri"/>
                <w:b w:val="0"/>
                <w:sz w:val="16"/>
              </w:rPr>
              <w:t>14,350</w:t>
            </w:r>
          </w:p>
        </w:tc>
      </w:tr>
      <w:tr>
        <w:tc>
          <w:tcPr>
            <w:tcW w:type="dxa" w:w="2494"/>
            <w:shd w:val="clear" w:fill="F7F9FB"/>
          </w:tcPr>
          <w:p>
            <w:pPr>
              <w:spacing w:after="20" w:before="20" w:line="240" w:lineRule="auto"/>
            </w:pPr>
            <w:r/>
            <w:r>
              <w:rPr>
                <w:rFonts w:ascii="Calibri" w:hAnsi="Calibri"/>
                <w:b w:val="0"/>
                <w:sz w:val="16"/>
              </w:rPr>
              <w:t>10_Fact_Consumption</w:t>
            </w:r>
          </w:p>
        </w:tc>
        <w:tc>
          <w:tcPr>
            <w:tcW w:type="dxa" w:w="5443"/>
            <w:shd w:val="clear" w:fill="F7F9FB"/>
          </w:tcPr>
          <w:p>
            <w:pPr>
              <w:spacing w:after="20" w:before="20" w:line="240" w:lineRule="auto"/>
            </w:pPr>
            <w:r/>
            <w:r>
              <w:rPr>
                <w:rFonts w:ascii="Calibri" w:hAnsi="Calibri"/>
                <w:b w:val="0"/>
                <w:sz w:val="16"/>
              </w:rPr>
              <w:t>Issue lines with project charged, batch and cost</w:t>
            </w:r>
          </w:p>
        </w:tc>
        <w:tc>
          <w:tcPr>
            <w:tcW w:type="dxa" w:w="1814"/>
            <w:shd w:val="clear" w:fill="F7F9FB"/>
          </w:tcPr>
          <w:p>
            <w:pPr>
              <w:spacing w:after="20" w:before="20" w:line="240" w:lineRule="auto"/>
              <w:jc w:val="center"/>
            </w:pPr>
            <w:r/>
            <w:r>
              <w:rPr>
                <w:rFonts w:ascii="Calibri" w:hAnsi="Calibri"/>
                <w:b w:val="0"/>
                <w:sz w:val="16"/>
              </w:rPr>
              <w:t>21,900</w:t>
            </w:r>
          </w:p>
        </w:tc>
      </w:tr>
      <w:tr>
        <w:tc>
          <w:tcPr>
            <w:tcW w:type="dxa" w:w="2494"/>
          </w:tcPr>
          <w:p>
            <w:pPr>
              <w:spacing w:after="20" w:before="20" w:line="240" w:lineRule="auto"/>
            </w:pPr>
            <w:r/>
            <w:r>
              <w:rPr>
                <w:rFonts w:ascii="Calibri" w:hAnsi="Calibri"/>
                <w:b w:val="0"/>
                <w:sz w:val="16"/>
              </w:rPr>
              <w:t>11_Fact_Budget</w:t>
            </w:r>
          </w:p>
        </w:tc>
        <w:tc>
          <w:tcPr>
            <w:tcW w:type="dxa" w:w="5443"/>
          </w:tcPr>
          <w:p>
            <w:pPr>
              <w:spacing w:after="20" w:before="20" w:line="240" w:lineRule="auto"/>
            </w:pPr>
            <w:r/>
            <w:r>
              <w:rPr>
                <w:rFonts w:ascii="Calibri" w:hAnsi="Calibri"/>
                <w:b w:val="0"/>
                <w:sz w:val="16"/>
              </w:rPr>
              <w:t>Budget by project, fiscal year and expense category</w:t>
            </w:r>
          </w:p>
        </w:tc>
        <w:tc>
          <w:tcPr>
            <w:tcW w:type="dxa" w:w="1814"/>
          </w:tcPr>
          <w:p>
            <w:pPr>
              <w:spacing w:after="20" w:before="20" w:line="240" w:lineRule="auto"/>
              <w:jc w:val="center"/>
            </w:pPr>
            <w:r/>
            <w:r>
              <w:rPr>
                <w:rFonts w:ascii="Calibri" w:hAnsi="Calibri"/>
                <w:b w:val="0"/>
                <w:sz w:val="16"/>
              </w:rPr>
              <w:t>210</w:t>
            </w:r>
          </w:p>
        </w:tc>
      </w:tr>
      <w:tr>
        <w:tc>
          <w:tcPr>
            <w:tcW w:type="dxa" w:w="2494"/>
            <w:shd w:val="clear" w:fill="F7F9FB"/>
          </w:tcPr>
          <w:p>
            <w:pPr>
              <w:spacing w:after="20" w:before="20" w:line="240" w:lineRule="auto"/>
            </w:pPr>
            <w:r/>
            <w:r>
              <w:rPr>
                <w:rFonts w:ascii="Calibri" w:hAnsi="Calibri"/>
                <w:b w:val="0"/>
                <w:sz w:val="16"/>
              </w:rPr>
              <w:t>12_Fact_ServiceDelivery</w:t>
            </w:r>
          </w:p>
        </w:tc>
        <w:tc>
          <w:tcPr>
            <w:tcW w:type="dxa" w:w="5443"/>
            <w:shd w:val="clear" w:fill="F7F9FB"/>
          </w:tcPr>
          <w:p>
            <w:pPr>
              <w:spacing w:after="20" w:before="20" w:line="240" w:lineRule="auto"/>
            </w:pPr>
            <w:r/>
            <w:r>
              <w:rPr>
                <w:rFonts w:ascii="Calibri" w:hAnsi="Calibri"/>
                <w:b w:val="0"/>
                <w:sz w:val="16"/>
              </w:rPr>
              <w:t>Beneficiaries and visits by project and month</w:t>
            </w:r>
          </w:p>
        </w:tc>
        <w:tc>
          <w:tcPr>
            <w:tcW w:type="dxa" w:w="1814"/>
            <w:shd w:val="clear" w:fill="F7F9FB"/>
          </w:tcPr>
          <w:p>
            <w:pPr>
              <w:spacing w:after="20" w:before="20" w:line="240" w:lineRule="auto"/>
              <w:jc w:val="center"/>
            </w:pPr>
            <w:r/>
            <w:r>
              <w:rPr>
                <w:rFonts w:ascii="Calibri" w:hAnsi="Calibri"/>
                <w:b w:val="0"/>
                <w:sz w:val="16"/>
              </w:rPr>
              <w:t>228</w:t>
            </w:r>
          </w:p>
        </w:tc>
      </w:tr>
      <w:tr>
        <w:tc>
          <w:tcPr>
            <w:tcW w:type="dxa" w:w="2494"/>
          </w:tcPr>
          <w:p>
            <w:pPr>
              <w:spacing w:after="20" w:before="20" w:line="240" w:lineRule="auto"/>
            </w:pPr>
            <w:r/>
            <w:r>
              <w:rPr>
                <w:rFonts w:ascii="Calibri" w:hAnsi="Calibri"/>
                <w:b w:val="0"/>
                <w:sz w:val="16"/>
              </w:rPr>
              <w:t>13_Data_Dictionary</w:t>
            </w:r>
          </w:p>
        </w:tc>
        <w:tc>
          <w:tcPr>
            <w:tcW w:type="dxa" w:w="5443"/>
          </w:tcPr>
          <w:p>
            <w:pPr>
              <w:spacing w:after="20" w:before="20" w:line="240" w:lineRule="auto"/>
            </w:pPr>
            <w:r/>
            <w:r>
              <w:rPr>
                <w:rFonts w:ascii="Calibri" w:hAnsi="Calibri"/>
                <w:b w:val="0"/>
                <w:sz w:val="16"/>
              </w:rPr>
              <w:t>Field-level definitions and keys</w:t>
            </w:r>
          </w:p>
        </w:tc>
        <w:tc>
          <w:tcPr>
            <w:tcW w:type="dxa" w:w="1814"/>
          </w:tcPr>
          <w:p>
            <w:pPr>
              <w:spacing w:after="20" w:before="20" w:line="240" w:lineRule="auto"/>
              <w:jc w:val="center"/>
            </w:pPr>
            <w:r/>
            <w:r>
              <w:rPr>
                <w:rFonts w:ascii="Calibri" w:hAnsi="Calibri"/>
                <w:b w:val="0"/>
                <w:sz w:val="16"/>
              </w:rPr>
              <w:t>25</w:t>
            </w:r>
          </w:p>
        </w:tc>
      </w:tr>
      <w:tr>
        <w:tc>
          <w:tcPr>
            <w:tcW w:type="dxa" w:w="2494"/>
            <w:shd w:val="clear" w:fill="F7F9FB"/>
          </w:tcPr>
          <w:p>
            <w:pPr>
              <w:spacing w:after="20" w:before="20" w:line="240" w:lineRule="auto"/>
            </w:pPr>
            <w:r/>
            <w:r>
              <w:rPr>
                <w:rFonts w:ascii="Calibri" w:hAnsi="Calibri"/>
                <w:b w:val="0"/>
                <w:sz w:val="16"/>
              </w:rPr>
              <w:t>14_Data_Quality_Notes</w:t>
            </w:r>
          </w:p>
        </w:tc>
        <w:tc>
          <w:tcPr>
            <w:tcW w:type="dxa" w:w="5443"/>
            <w:shd w:val="clear" w:fill="F7F9FB"/>
          </w:tcPr>
          <w:p>
            <w:pPr>
              <w:spacing w:after="20" w:before="20" w:line="240" w:lineRule="auto"/>
            </w:pPr>
            <w:r/>
            <w:r>
              <w:rPr>
                <w:rFonts w:ascii="Calibri" w:hAnsi="Calibri"/>
                <w:b w:val="0"/>
                <w:sz w:val="16"/>
              </w:rPr>
              <w:t>Known defects and required dashboard handling</w:t>
            </w:r>
          </w:p>
        </w:tc>
        <w:tc>
          <w:tcPr>
            <w:tcW w:type="dxa" w:w="1814"/>
            <w:shd w:val="clear" w:fill="F7F9FB"/>
          </w:tcPr>
          <w:p>
            <w:pPr>
              <w:spacing w:after="20" w:before="20" w:line="240" w:lineRule="auto"/>
              <w:jc w:val="center"/>
            </w:pPr>
            <w:r/>
            <w:r>
              <w:rPr>
                <w:rFonts w:ascii="Calibri" w:hAnsi="Calibri"/>
                <w:b w:val="0"/>
                <w:sz w:val="16"/>
              </w:rPr>
              <w:t>8</w:t>
            </w:r>
          </w:p>
        </w:tc>
      </w:tr>
      <w:tr>
        <w:tc>
          <w:tcPr>
            <w:tcW w:type="dxa" w:w="2494"/>
          </w:tcPr>
          <w:p>
            <w:pPr>
              <w:spacing w:after="20" w:before="20" w:line="240" w:lineRule="auto"/>
            </w:pPr>
            <w:r/>
            <w:r>
              <w:rPr>
                <w:rFonts w:ascii="Calibri" w:hAnsi="Calibri"/>
                <w:b w:val="0"/>
                <w:sz w:val="16"/>
              </w:rPr>
              <w:t>15_Stockout_Detail</w:t>
            </w:r>
          </w:p>
        </w:tc>
        <w:tc>
          <w:tcPr>
            <w:tcW w:type="dxa" w:w="5443"/>
          </w:tcPr>
          <w:p>
            <w:pPr>
              <w:spacing w:after="20" w:before="20" w:line="240" w:lineRule="auto"/>
            </w:pPr>
            <w:r/>
            <w:r>
              <w:rPr>
                <w:rFonts w:ascii="Calibri" w:hAnsi="Calibri"/>
                <w:b w:val="0"/>
                <w:sz w:val="16"/>
              </w:rPr>
              <w:t>Unmet demand by project, item and month</w:t>
            </w:r>
          </w:p>
        </w:tc>
        <w:tc>
          <w:tcPr>
            <w:tcW w:type="dxa" w:w="1814"/>
          </w:tcPr>
          <w:p>
            <w:pPr>
              <w:spacing w:after="20" w:before="20" w:line="240" w:lineRule="auto"/>
              <w:jc w:val="center"/>
            </w:pPr>
            <w:r/>
            <w:r>
              <w:rPr>
                <w:rFonts w:ascii="Calibri" w:hAnsi="Calibri"/>
                <w:b w:val="0"/>
                <w:sz w:val="16"/>
              </w:rPr>
              <w:t>870</w:t>
            </w:r>
          </w:p>
        </w:tc>
      </w:tr>
    </w:tbl>
    <w:p>
      <w:pPr>
        <w:spacing w:after="20"/>
      </w:pPr>
    </w:p>
    <w:p>
      <w:pPr>
        <w:spacing w:after="100"/>
      </w:pPr>
      <w:r>
        <w:rPr>
          <w:b w:val="0"/>
          <w:i/>
          <w:color w:val="595959"/>
          <w:sz w:val="17"/>
        </w:rPr>
        <w:t>Headline control totals in the sample dataset: consumption (excluding inter-store transfers) PKR 261.6 million; procurement 300.8 million; consumption-to-investment ratio 0.87; unattributed consumption 2.6% of value; product budget PKR 342.2 million.</w:t>
      </w:r>
    </w:p>
    <w:p>
      <w:pPr>
        <w:pStyle w:val="Heading1"/>
      </w:pPr>
      <w:r>
        <w:t>Appendix E – Requirement Traceability</w:t>
      </w:r>
    </w:p>
    <w:p>
      <w:pPr>
        <w:spacing w:after="100"/>
      </w:pPr>
      <w:r>
        <w:rPr>
          <w:b w:val="0"/>
          <w:i w:val="0"/>
        </w:rPr>
        <w:t>Each business objective is met only if the linked requirements are delivered and accepted.</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trPr>
        <w:tc>
          <w:tcPr>
            <w:tcW w:type="dxa" w:w="2041"/>
            <w:shd w:val="clear" w:fill="1F3B57"/>
          </w:tcPr>
          <w:p>
            <w:pPr>
              <w:spacing w:after="20" w:before="20" w:line="240" w:lineRule="auto"/>
            </w:pPr>
            <w:r/>
            <w:r>
              <w:rPr>
                <w:rFonts w:ascii="Calibri" w:hAnsi="Calibri"/>
                <w:b/>
                <w:color w:val="FFFFFF"/>
                <w:sz w:val="16"/>
              </w:rPr>
              <w:t>Objective</w:t>
            </w:r>
          </w:p>
        </w:tc>
        <w:tc>
          <w:tcPr>
            <w:tcW w:type="dxa" w:w="1701"/>
            <w:shd w:val="clear" w:fill="1F3B57"/>
          </w:tcPr>
          <w:p>
            <w:pPr>
              <w:spacing w:after="20" w:before="20" w:line="240" w:lineRule="auto"/>
            </w:pPr>
            <w:r/>
            <w:r>
              <w:rPr>
                <w:rFonts w:ascii="Calibri" w:hAnsi="Calibri"/>
                <w:b/>
                <w:color w:val="FFFFFF"/>
                <w:sz w:val="16"/>
              </w:rPr>
              <w:t>Business requirements</w:t>
            </w:r>
          </w:p>
        </w:tc>
        <w:tc>
          <w:tcPr>
            <w:tcW w:type="dxa" w:w="3742"/>
            <w:shd w:val="clear" w:fill="1F3B57"/>
          </w:tcPr>
          <w:p>
            <w:pPr>
              <w:spacing w:after="20" w:before="20" w:line="240" w:lineRule="auto"/>
            </w:pPr>
            <w:r/>
            <w:r>
              <w:rPr>
                <w:rFonts w:ascii="Calibri" w:hAnsi="Calibri"/>
                <w:b/>
                <w:color w:val="FFFFFF"/>
                <w:sz w:val="16"/>
              </w:rPr>
              <w:t>Key functional requirements</w:t>
            </w:r>
          </w:p>
        </w:tc>
        <w:tc>
          <w:tcPr>
            <w:tcW w:type="dxa" w:w="2268"/>
            <w:shd w:val="clear" w:fill="1F3B57"/>
          </w:tcPr>
          <w:p>
            <w:pPr>
              <w:spacing w:after="20" w:before="20" w:line="240" w:lineRule="auto"/>
            </w:pPr>
            <w:r/>
            <w:r>
              <w:rPr>
                <w:rFonts w:ascii="Calibri" w:hAnsi="Calibri"/>
                <w:b/>
                <w:color w:val="FFFFFF"/>
                <w:sz w:val="16"/>
              </w:rPr>
              <w:t>KPI evidence</w:t>
            </w:r>
          </w:p>
        </w:tc>
      </w:tr>
      <w:tr>
        <w:tc>
          <w:tcPr>
            <w:tcW w:type="dxa" w:w="2041"/>
          </w:tcPr>
          <w:p>
            <w:pPr>
              <w:spacing w:after="20" w:before="20" w:line="240" w:lineRule="auto"/>
            </w:pPr>
            <w:r/>
            <w:r>
              <w:rPr>
                <w:rFonts w:ascii="Calibri" w:hAnsi="Calibri"/>
                <w:b w:val="0"/>
                <w:sz w:val="16"/>
              </w:rPr>
              <w:t>BO-1 Visible consumption</w:t>
            </w:r>
          </w:p>
        </w:tc>
        <w:tc>
          <w:tcPr>
            <w:tcW w:type="dxa" w:w="1701"/>
          </w:tcPr>
          <w:p>
            <w:pPr>
              <w:spacing w:after="20" w:before="20" w:line="240" w:lineRule="auto"/>
            </w:pPr>
            <w:r/>
            <w:r>
              <w:rPr>
                <w:rFonts w:ascii="Calibri" w:hAnsi="Calibri"/>
                <w:b w:val="0"/>
                <w:sz w:val="16"/>
              </w:rPr>
              <w:t>BR-01, BR-12</w:t>
            </w:r>
          </w:p>
        </w:tc>
        <w:tc>
          <w:tcPr>
            <w:tcW w:type="dxa" w:w="3742"/>
          </w:tcPr>
          <w:p>
            <w:pPr>
              <w:spacing w:after="20" w:before="20" w:line="240" w:lineRule="auto"/>
            </w:pPr>
            <w:r/>
            <w:r>
              <w:rPr>
                <w:rFonts w:ascii="Calibri" w:hAnsi="Calibri"/>
                <w:b w:val="0"/>
                <w:sz w:val="16"/>
              </w:rPr>
              <w:t>FR-01, FR-02, FR-05, FR-35, FR-41, FR-42</w:t>
            </w:r>
          </w:p>
        </w:tc>
        <w:tc>
          <w:tcPr>
            <w:tcW w:type="dxa" w:w="2268"/>
          </w:tcPr>
          <w:p>
            <w:pPr>
              <w:spacing w:after="20" w:before="20" w:line="240" w:lineRule="auto"/>
            </w:pPr>
            <w:r/>
            <w:r>
              <w:rPr>
                <w:rFonts w:ascii="Calibri" w:hAnsi="Calibri"/>
                <w:b w:val="0"/>
                <w:sz w:val="16"/>
              </w:rPr>
              <w:t>KPI-01, KPI-02, KPI-30</w:t>
            </w:r>
          </w:p>
        </w:tc>
      </w:tr>
      <w:tr>
        <w:tc>
          <w:tcPr>
            <w:tcW w:type="dxa" w:w="2041"/>
            <w:shd w:val="clear" w:fill="F7F9FB"/>
          </w:tcPr>
          <w:p>
            <w:pPr>
              <w:spacing w:after="20" w:before="20" w:line="240" w:lineRule="auto"/>
            </w:pPr>
            <w:r/>
            <w:r>
              <w:rPr>
                <w:rFonts w:ascii="Calibri" w:hAnsi="Calibri"/>
                <w:b w:val="0"/>
                <w:sz w:val="16"/>
              </w:rPr>
              <w:t>BO-2 Aligned procurement</w:t>
            </w:r>
          </w:p>
        </w:tc>
        <w:tc>
          <w:tcPr>
            <w:tcW w:type="dxa" w:w="1701"/>
            <w:shd w:val="clear" w:fill="F7F9FB"/>
          </w:tcPr>
          <w:p>
            <w:pPr>
              <w:spacing w:after="20" w:before="20" w:line="240" w:lineRule="auto"/>
            </w:pPr>
            <w:r/>
            <w:r>
              <w:rPr>
                <w:rFonts w:ascii="Calibri" w:hAnsi="Calibri"/>
                <w:b w:val="0"/>
                <w:sz w:val="16"/>
              </w:rPr>
              <w:t>BR-02, BR-04</w:t>
            </w:r>
          </w:p>
        </w:tc>
        <w:tc>
          <w:tcPr>
            <w:tcW w:type="dxa" w:w="3742"/>
            <w:shd w:val="clear" w:fill="F7F9FB"/>
          </w:tcPr>
          <w:p>
            <w:pPr>
              <w:spacing w:after="20" w:before="20" w:line="240" w:lineRule="auto"/>
            </w:pPr>
            <w:r/>
            <w:r>
              <w:rPr>
                <w:rFonts w:ascii="Calibri" w:hAnsi="Calibri"/>
                <w:b w:val="0"/>
                <w:sz w:val="16"/>
              </w:rPr>
              <w:t>FR-03, FR-04, FR-13, FR-19, FR-40</w:t>
            </w:r>
          </w:p>
        </w:tc>
        <w:tc>
          <w:tcPr>
            <w:tcW w:type="dxa" w:w="2268"/>
            <w:shd w:val="clear" w:fill="F7F9FB"/>
          </w:tcPr>
          <w:p>
            <w:pPr>
              <w:spacing w:after="20" w:before="20" w:line="240" w:lineRule="auto"/>
            </w:pPr>
            <w:r/>
            <w:r>
              <w:rPr>
                <w:rFonts w:ascii="Calibri" w:hAnsi="Calibri"/>
                <w:b w:val="0"/>
                <w:sz w:val="16"/>
              </w:rPr>
              <w:t>KPI-05, KPI-06, KPI-07, KPI-17</w:t>
            </w:r>
          </w:p>
        </w:tc>
      </w:tr>
      <w:tr>
        <w:tc>
          <w:tcPr>
            <w:tcW w:type="dxa" w:w="2041"/>
          </w:tcPr>
          <w:p>
            <w:pPr>
              <w:spacing w:after="20" w:before="20" w:line="240" w:lineRule="auto"/>
            </w:pPr>
            <w:r/>
            <w:r>
              <w:rPr>
                <w:rFonts w:ascii="Calibri" w:hAnsi="Calibri"/>
                <w:b w:val="0"/>
                <w:sz w:val="16"/>
              </w:rPr>
              <w:t>BO-3 Value for money</w:t>
            </w:r>
          </w:p>
        </w:tc>
        <w:tc>
          <w:tcPr>
            <w:tcW w:type="dxa" w:w="1701"/>
          </w:tcPr>
          <w:p>
            <w:pPr>
              <w:spacing w:after="20" w:before="20" w:line="240" w:lineRule="auto"/>
            </w:pPr>
            <w:r/>
            <w:r>
              <w:rPr>
                <w:rFonts w:ascii="Calibri" w:hAnsi="Calibri"/>
                <w:b w:val="0"/>
                <w:sz w:val="16"/>
              </w:rPr>
              <w:t>BR-05, BR-07</w:t>
            </w:r>
          </w:p>
        </w:tc>
        <w:tc>
          <w:tcPr>
            <w:tcW w:type="dxa" w:w="3742"/>
          </w:tcPr>
          <w:p>
            <w:pPr>
              <w:spacing w:after="20" w:before="20" w:line="240" w:lineRule="auto"/>
            </w:pPr>
            <w:r/>
            <w:r>
              <w:rPr>
                <w:rFonts w:ascii="Calibri" w:hAnsi="Calibri"/>
                <w:b w:val="0"/>
                <w:sz w:val="16"/>
              </w:rPr>
              <w:t>FR-14, FR-15, FR-24, FR-25, FR-28</w:t>
            </w:r>
          </w:p>
        </w:tc>
        <w:tc>
          <w:tcPr>
            <w:tcW w:type="dxa" w:w="2268"/>
          </w:tcPr>
          <w:p>
            <w:pPr>
              <w:spacing w:after="20" w:before="20" w:line="240" w:lineRule="auto"/>
            </w:pPr>
            <w:r/>
            <w:r>
              <w:rPr>
                <w:rFonts w:ascii="Calibri" w:hAnsi="Calibri"/>
                <w:b w:val="0"/>
                <w:sz w:val="16"/>
              </w:rPr>
              <w:t>KPI-14, KPI-15, KPI-23, KPI-24, KPI-25</w:t>
            </w:r>
          </w:p>
        </w:tc>
      </w:tr>
      <w:tr>
        <w:tc>
          <w:tcPr>
            <w:tcW w:type="dxa" w:w="2041"/>
            <w:shd w:val="clear" w:fill="F7F9FB"/>
          </w:tcPr>
          <w:p>
            <w:pPr>
              <w:spacing w:after="20" w:before="20" w:line="240" w:lineRule="auto"/>
            </w:pPr>
            <w:r/>
            <w:r>
              <w:rPr>
                <w:rFonts w:ascii="Calibri" w:hAnsi="Calibri"/>
                <w:b w:val="0"/>
                <w:sz w:val="16"/>
              </w:rPr>
              <w:t>BO-4 Reduced effort</w:t>
            </w:r>
          </w:p>
        </w:tc>
        <w:tc>
          <w:tcPr>
            <w:tcW w:type="dxa" w:w="1701"/>
            <w:shd w:val="clear" w:fill="F7F9FB"/>
          </w:tcPr>
          <w:p>
            <w:pPr>
              <w:spacing w:after="20" w:before="20" w:line="240" w:lineRule="auto"/>
            </w:pPr>
            <w:r/>
            <w:r>
              <w:rPr>
                <w:rFonts w:ascii="Calibri" w:hAnsi="Calibri"/>
                <w:b w:val="0"/>
                <w:sz w:val="16"/>
              </w:rPr>
              <w:t>BR-11, BR-12</w:t>
            </w:r>
          </w:p>
        </w:tc>
        <w:tc>
          <w:tcPr>
            <w:tcW w:type="dxa" w:w="3742"/>
            <w:shd w:val="clear" w:fill="F7F9FB"/>
          </w:tcPr>
          <w:p>
            <w:pPr>
              <w:spacing w:after="20" w:before="20" w:line="240" w:lineRule="auto"/>
            </w:pPr>
            <w:r/>
            <w:r>
              <w:rPr>
                <w:rFonts w:ascii="Calibri" w:hAnsi="Calibri"/>
                <w:b w:val="0"/>
                <w:sz w:val="16"/>
              </w:rPr>
              <w:t>FR-33, FR-34, FR-45, FR-47</w:t>
            </w:r>
          </w:p>
        </w:tc>
        <w:tc>
          <w:tcPr>
            <w:tcW w:type="dxa" w:w="2268"/>
            <w:shd w:val="clear" w:fill="F7F9FB"/>
          </w:tcPr>
          <w:p>
            <w:pPr>
              <w:spacing w:after="20" w:before="20" w:line="240" w:lineRule="auto"/>
            </w:pPr>
            <w:r/>
            <w:r>
              <w:rPr>
                <w:rFonts w:ascii="Calibri" w:hAnsi="Calibri"/>
                <w:b w:val="0"/>
                <w:sz w:val="16"/>
              </w:rPr>
              <w:t>KPI-30</w:t>
            </w:r>
          </w:p>
        </w:tc>
      </w:tr>
      <w:tr>
        <w:tc>
          <w:tcPr>
            <w:tcW w:type="dxa" w:w="2041"/>
          </w:tcPr>
          <w:p>
            <w:pPr>
              <w:spacing w:after="20" w:before="20" w:line="240" w:lineRule="auto"/>
            </w:pPr>
            <w:r/>
            <w:r>
              <w:rPr>
                <w:rFonts w:ascii="Calibri" w:hAnsi="Calibri"/>
                <w:b w:val="0"/>
                <w:sz w:val="16"/>
              </w:rPr>
              <w:t>BO-5 Control and audit</w:t>
            </w:r>
          </w:p>
        </w:tc>
        <w:tc>
          <w:tcPr>
            <w:tcW w:type="dxa" w:w="1701"/>
          </w:tcPr>
          <w:p>
            <w:pPr>
              <w:spacing w:after="20" w:before="20" w:line="240" w:lineRule="auto"/>
            </w:pPr>
            <w:r/>
            <w:r>
              <w:rPr>
                <w:rFonts w:ascii="Calibri" w:hAnsi="Calibri"/>
                <w:b w:val="0"/>
                <w:sz w:val="16"/>
              </w:rPr>
              <w:t>BR-08</w:t>
            </w:r>
          </w:p>
        </w:tc>
        <w:tc>
          <w:tcPr>
            <w:tcW w:type="dxa" w:w="3742"/>
          </w:tcPr>
          <w:p>
            <w:pPr>
              <w:spacing w:after="20" w:before="20" w:line="240" w:lineRule="auto"/>
            </w:pPr>
            <w:r/>
            <w:r>
              <w:rPr>
                <w:rFonts w:ascii="Calibri" w:hAnsi="Calibri"/>
                <w:b w:val="0"/>
                <w:sz w:val="16"/>
              </w:rPr>
              <w:t>FR-10, FR-29, FR-30, FR-36, FR-39, FR-48</w:t>
            </w:r>
          </w:p>
        </w:tc>
        <w:tc>
          <w:tcPr>
            <w:tcW w:type="dxa" w:w="2268"/>
          </w:tcPr>
          <w:p>
            <w:pPr>
              <w:spacing w:after="20" w:before="20" w:line="240" w:lineRule="auto"/>
            </w:pPr>
            <w:r/>
            <w:r>
              <w:rPr>
                <w:rFonts w:ascii="Calibri" w:hAnsi="Calibri"/>
                <w:b w:val="0"/>
                <w:sz w:val="16"/>
              </w:rPr>
              <w:t>KPI-27</w:t>
            </w:r>
          </w:p>
        </w:tc>
      </w:tr>
      <w:tr>
        <w:tc>
          <w:tcPr>
            <w:tcW w:type="dxa" w:w="2041"/>
            <w:shd w:val="clear" w:fill="F7F9FB"/>
          </w:tcPr>
          <w:p>
            <w:pPr>
              <w:spacing w:after="20" w:before="20" w:line="240" w:lineRule="auto"/>
            </w:pPr>
            <w:r/>
            <w:r>
              <w:rPr>
                <w:rFonts w:ascii="Calibri" w:hAnsi="Calibri"/>
                <w:b w:val="0"/>
                <w:sz w:val="16"/>
              </w:rPr>
              <w:t>BO-6 Budget control</w:t>
            </w:r>
          </w:p>
        </w:tc>
        <w:tc>
          <w:tcPr>
            <w:tcW w:type="dxa" w:w="1701"/>
            <w:shd w:val="clear" w:fill="F7F9FB"/>
          </w:tcPr>
          <w:p>
            <w:pPr>
              <w:spacing w:after="20" w:before="20" w:line="240" w:lineRule="auto"/>
            </w:pPr>
            <w:r/>
            <w:r>
              <w:rPr>
                <w:rFonts w:ascii="Calibri" w:hAnsi="Calibri"/>
                <w:b w:val="0"/>
                <w:sz w:val="16"/>
              </w:rPr>
              <w:t>BR-09</w:t>
            </w:r>
          </w:p>
        </w:tc>
        <w:tc>
          <w:tcPr>
            <w:tcW w:type="dxa" w:w="3742"/>
            <w:shd w:val="clear" w:fill="F7F9FB"/>
          </w:tcPr>
          <w:p>
            <w:pPr>
              <w:spacing w:after="20" w:before="20" w:line="240" w:lineRule="auto"/>
            </w:pPr>
            <w:r/>
            <w:r>
              <w:rPr>
                <w:rFonts w:ascii="Calibri" w:hAnsi="Calibri"/>
                <w:b w:val="0"/>
                <w:sz w:val="16"/>
              </w:rPr>
              <w:t>FR-17, FR-18, FR-32, FR-44</w:t>
            </w:r>
          </w:p>
        </w:tc>
        <w:tc>
          <w:tcPr>
            <w:tcW w:type="dxa" w:w="2268"/>
            <w:shd w:val="clear" w:fill="F7F9FB"/>
          </w:tcPr>
          <w:p>
            <w:pPr>
              <w:spacing w:after="20" w:before="20" w:line="240" w:lineRule="auto"/>
            </w:pPr>
            <w:r/>
            <w:r>
              <w:rPr>
                <w:rFonts w:ascii="Calibri" w:hAnsi="Calibri"/>
                <w:b w:val="0"/>
                <w:sz w:val="16"/>
              </w:rPr>
              <w:t>KPI-11, KPI-12, KPI-13</w:t>
            </w:r>
          </w:p>
        </w:tc>
      </w:tr>
      <w:tr>
        <w:tc>
          <w:tcPr>
            <w:tcW w:type="dxa" w:w="2041"/>
          </w:tcPr>
          <w:p>
            <w:pPr>
              <w:spacing w:after="20" w:before="20" w:line="240" w:lineRule="auto"/>
            </w:pPr>
            <w:r/>
            <w:r>
              <w:rPr>
                <w:rFonts w:ascii="Calibri" w:hAnsi="Calibri"/>
                <w:b w:val="0"/>
                <w:sz w:val="16"/>
              </w:rPr>
              <w:t>BO-7 Internal capability</w:t>
            </w:r>
          </w:p>
        </w:tc>
        <w:tc>
          <w:tcPr>
            <w:tcW w:type="dxa" w:w="1701"/>
          </w:tcPr>
          <w:p>
            <w:pPr>
              <w:spacing w:after="20" w:before="20" w:line="240" w:lineRule="auto"/>
            </w:pPr>
            <w:r/>
            <w:r>
              <w:rPr>
                <w:rFonts w:ascii="Calibri" w:hAnsi="Calibri"/>
                <w:b w:val="0"/>
                <w:sz w:val="16"/>
              </w:rPr>
              <w:t>BR-10, BR-11</w:t>
            </w:r>
          </w:p>
        </w:tc>
        <w:tc>
          <w:tcPr>
            <w:tcW w:type="dxa" w:w="3742"/>
          </w:tcPr>
          <w:p>
            <w:pPr>
              <w:spacing w:after="20" w:before="20" w:line="240" w:lineRule="auto"/>
            </w:pPr>
            <w:r/>
            <w:r>
              <w:rPr>
                <w:rFonts w:ascii="Calibri" w:hAnsi="Calibri"/>
                <w:b w:val="0"/>
                <w:sz w:val="16"/>
              </w:rPr>
              <w:t>FR-37, FR-38, FR-45, FR-47</w:t>
            </w:r>
          </w:p>
        </w:tc>
        <w:tc>
          <w:tcPr>
            <w:tcW w:type="dxa" w:w="2268"/>
          </w:tcPr>
          <w:p>
            <w:pPr>
              <w:spacing w:after="20" w:before="20" w:line="240" w:lineRule="auto"/>
            </w:pPr>
            <w:r/>
            <w:r>
              <w:rPr>
                <w:rFonts w:ascii="Calibri" w:hAnsi="Calibri"/>
                <w:b w:val="0"/>
                <w:sz w:val="16"/>
              </w:rPr>
              <w:t>Adoption metric BN-08</w:t>
            </w:r>
          </w:p>
        </w:tc>
      </w:tr>
    </w:tbl>
    <w:p>
      <w:pPr>
        <w:spacing w:after="20"/>
      </w:pPr>
    </w:p>
    <w:p/>
    <w:p>
      <w:pPr>
        <w:spacing w:after="100"/>
        <w:jc w:val="center"/>
      </w:pPr>
      <w:r>
        <w:rPr>
          <w:b w:val="0"/>
          <w:i/>
          <w:color w:val="595959"/>
          <w:sz w:val="17"/>
        </w:rPr>
        <w:t>— End of document —</w:t>
      </w:r>
    </w:p>
    <w:sectPr w:rsidR="00FC693F" w:rsidRPr="0006063C" w:rsidSect="00034616">
      <w:footerReference w:type="default" r:id="rId9"/>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95959"/>
        <w:sz w:val="15"/>
      </w:rPr>
      <w:t xml:space="preserve">Vital Pakistan Trust  |  BRD – Consumption Analysis Dashboard  |  v1.0  |  Internal – Confidential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B57"/>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B57"/>
      <w:sz w:val="23"/>
      <w:szCs w:val="26"/>
    </w:rPr>
  </w:style>
  <w:style w:type="paragraph" w:styleId="Heading3">
    <w:name w:val="heading 3"/>
    <w:basedOn w:val="Normal"/>
    <w:next w:val="Normal"/>
    <w:link w:val="Heading3Char"/>
    <w:uiPriority w:val="9"/>
    <w:unhideWhenUsed/>
    <w:qFormat/>
    <w:rsid w:val="00FC693F"/>
    <w:pPr>
      <w:keepNext/>
      <w:keepLines/>
      <w:spacing w:before="160" w:after="0"/>
      <w:outlineLvl w:val="2"/>
    </w:pPr>
    <w:rPr>
      <w:rFonts w:asciiTheme="majorHAnsi" w:eastAsiaTheme="majorEastAsia" w:hAnsiTheme="majorHAnsi" w:cstheme="majorBidi" w:ascii="Calibri" w:hAnsi="Calibri"/>
      <w:b/>
      <w:bCs/>
      <w:color w:val="59595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