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mbria" w:cs="Cambria" w:eastAsia="Cambria" w:hAnsi="Cambria"/>
          <w:b/>
          <w:bCs/>
          <w:color w:val="2F3C7E"/>
          <w:sz w:val="44"/>
          <w:szCs w:val="44"/>
        </w:rPr>
        <w:t xml:space="preserve">ECOMMERCE HUB</w:t>
      </w:r>
    </w:p>
    <w:p>
      <w:pPr>
        <w:spacing w:after="100"/>
      </w:pPr>
      <w:r>
        <w:rPr>
          <w:rFonts w:ascii="Cambria" w:cs="Cambria" w:eastAsia="Cambria" w:hAnsi="Cambria"/>
          <w:i/>
          <w:iCs/>
          <w:color w:val="1B1F3B"/>
          <w:sz w:val="28"/>
          <w:szCs w:val="28"/>
        </w:rPr>
        <w:t xml:space="preserve">Going Global: Market, Competitors, Features &amp; Honest Risk Assessment</w:t>
      </w:r>
    </w:p>
    <w:p>
      <w:pPr>
        <w:pBdr>
          <w:bottom w:val="single" w:color="CCCCCC" w:sz="6" w:space="8"/>
        </w:pBdr>
        <w:spacing w:after="400"/>
      </w:pPr>
      <w:r>
        <w:rPr>
          <w:color w:val="6B7280"/>
          <w:sz w:val="18"/>
          <w:szCs w:val="18"/>
        </w:rPr>
        <w:t xml:space="preserve">Prepared for Priyam · August 2026 · Confidence tags used throughout: </w:t>
      </w:r>
      <w:r>
        <w:rPr>
          <w:b/>
          <w:bCs/>
          <w:color w:val="1A7A3C"/>
          <w:sz w:val="18"/>
          <w:szCs w:val="18"/>
        </w:rPr>
        <w:t xml:space="preserve">[VERIFIED]</w:t>
      </w:r>
      <w:r>
        <w:rPr>
          <w:color w:val="6B7280"/>
          <w:sz w:val="18"/>
          <w:szCs w:val="18"/>
        </w:rPr>
        <w:t xml:space="preserve"> = independently confirmed source · </w:t>
      </w:r>
      <w:r>
        <w:rPr>
          <w:b/>
          <w:bCs/>
          <w:color w:val="B8860B"/>
          <w:sz w:val="18"/>
          <w:szCs w:val="18"/>
        </w:rPr>
        <w:t xml:space="preserve">[VENDOR CLAIM]</w:t>
      </w:r>
      <w:r>
        <w:rPr>
          <w:color w:val="6B7280"/>
          <w:sz w:val="18"/>
          <w:szCs w:val="18"/>
        </w:rPr>
        <w:t xml:space="preserve"> = company's own marketing only · </w:t>
      </w:r>
      <w:r>
        <w:rPr>
          <w:b/>
          <w:bCs/>
          <w:color w:val="F96167"/>
          <w:sz w:val="18"/>
          <w:szCs w:val="18"/>
        </w:rPr>
        <w:t xml:space="preserve">[INFERENCE]</w:t>
      </w:r>
      <w:r>
        <w:rPr>
          <w:color w:val="6B7280"/>
          <w:sz w:val="18"/>
          <w:szCs w:val="18"/>
        </w:rPr>
        <w:t xml:space="preserve"> = Claude's own synthesis/opinion, not sourced fact</w:t>
      </w:r>
    </w:p>
    <w:p>
      <w:pPr>
        <w:pStyle w:val="Heading1"/>
        <w:spacing w:after="200" w:before="400"/>
      </w:pPr>
      <w:r>
        <w:t xml:space="preserve">Executive Summary</w:t>
      </w:r>
    </w:p>
    <w:p>
      <w:pPr>
        <w:spacing w:after="200" w:line="300"/>
      </w:pPr>
      <w:r>
        <w:t xml:space="preserve">You asked for three things: research this as a global product instead of an India-first one, add features I think would make it more attractive, and put it all in one detailed report. Here it is — but the most important finding comes first, not buried at the end.</w:t>
      </w:r>
    </w:p>
    <w:p>
      <w:pPr>
        <w:spacing w:after="200" w:line="300"/>
      </w:pPr>
      <w:r>
        <w:rPr>
          <w:b/>
          <w:bCs/>
          <w:color w:val="F96167"/>
          <w:sz w:val="18"/>
          <w:szCs w:val="18"/>
        </w:rPr>
        <w:t xml:space="preserve"> [INFERENCE] </w:t>
      </w:r>
      <w:r>
        <w:rPr>
          <w:sz w:val="22"/>
          <w:szCs w:val="22"/>
        </w:rPr>
        <w:t xml:space="preserve">Going global trades away the one verified, defensible advantage this idea currently has. The India-native gap (no major global tool supports Razorpay or Indian logistics) is a specific, source-confirmed hole in the market. "Global" has no equivalent confirmed hole — the same big, funded players already claim to serve the whole world.</w:t>
      </w:r>
    </w:p>
    <w:p>
      <w:pPr>
        <w:spacing w:after="200" w:line="300"/>
      </w:pPr>
      <w:r>
        <w:t xml:space="preserve">That doesn't mean don't do it. It means the honest sequencing matters: prove the India wedge works with real paying customers first, then expand outward using the same underserved-payment-ecosystem pattern in other emerging markets, rather than launching everywhere at once with an unproven product. The detail on why is in Section 2.</w:t>
      </w:r>
    </w:p>
    <w:p>
      <w:pPr>
        <w:spacing w:after="200" w:line="300"/>
      </w:pPr>
      <w:r>
        <w:t xml:space="preserve">Section 3 covers the actual global market size, verified. Section 4 is the full competitive landscape, expanded from India-only to global, including a look at Southeast Asia, Latin America, Europe, and the Middle East. Section 5 is a feature roadmap — my own recommendations for what would make this product genuinely more attractive, clearly separated from what's already validated by research. Section 6 covers business model and go-to-market at global scale. Section 7 is the risk register. Section 8 is the bottom-line recommendation.</w:t>
      </w:r>
    </w:p>
    <w:p>
      <w:pPr>
        <w:pStyle w:val="Heading1"/>
        <w:spacing w:after="200" w:before="400"/>
      </w:pPr>
      <w:r>
        <w:t xml:space="preserve">2. The Global Pivot — What Actually Changes</w:t>
      </w:r>
    </w:p>
    <w:p>
      <w:pPr>
        <w:pStyle w:val="Heading2"/>
        <w:spacing w:after="150" w:before="300"/>
      </w:pPr>
      <w:r>
        <w:t xml:space="preserve">2.1 What you lose</w:t>
      </w:r>
    </w:p>
    <w:p>
      <w:pPr>
        <w:spacing w:after="200" w:line="300"/>
      </w:pPr>
      <w:r>
        <w:t xml:space="preserve">The single most valuable finding across all the research done on this idea so far is narrow and specific: checking Triple Whale's own integration documentation directly confirmed it has zero support for Razorpay or any Indian logistics carrier — and the same is true of Polar Analytics, Northbeam, Rockerbox, Daasity, and Glew. That is a real, checkable hole. It is the reason "Ecommerce Hub, India-first" has a genuine answer to "why can't a customer just use Triple Whale."</w:t>
      </w:r>
    </w:p>
    <w:p>
      <w:pPr>
        <w:spacing w:after="200" w:line="300"/>
      </w:pPr>
      <w:r>
        <w:rPr>
          <w:b/>
          <w:bCs/>
          <w:color w:val="1A7A3C"/>
          <w:sz w:val="18"/>
          <w:szCs w:val="18"/>
        </w:rPr>
        <w:t xml:space="preserve"> [VERIFIED] </w:t>
      </w:r>
      <w:r>
        <w:rPr>
          <w:sz w:val="22"/>
          <w:szCs w:val="22"/>
        </w:rPr>
        <w:t xml:space="preserve">"Global" does not have an equivalent hole. Triple Whale's own help center explicitly states it supports foreign currencies with automatic conversion — meaning it already actively markets itself as usable outside the US.</w:t>
      </w:r>
    </w:p>
    <w:p>
      <w:pPr>
        <w:spacing w:after="200" w:line="300"/>
      </w:pPr>
      <w:r>
        <w:t xml:space="preserve">So the pitch "why can't a customer just use Triple Whale" gets much harder to answer once the target customer is a generic global D2C brand instead of an Indian one.</w:t>
      </w:r>
    </w:p>
    <w:p>
      <w:pPr>
        <w:pStyle w:val="Heading2"/>
        <w:spacing w:after="150" w:before="300"/>
      </w:pPr>
      <w:r>
        <w:t xml:space="preserve">2.2 What you gain</w:t>
      </w:r>
    </w:p>
    <w:p>
      <w:pPr>
        <w:spacing w:after="200" w:line="300"/>
      </w:pPr>
      <w:r>
        <w:t xml:space="preserve">A much bigger total addressable market to point to (Section 3), and a product that isn't capped by one country's growth rate. It also removes the DPDP Act as the only regulatory framework to worry about — global means GDPR (EU), CCPA (California), LGPD (Brazil), and others, each with their own compliance requirements, which is a real cost, not a footnote.</w:t>
      </w:r>
    </w:p>
    <w:p>
      <w:pPr>
        <w:pStyle w:val="Heading2"/>
        <w:spacing w:after="150" w:before="300"/>
      </w:pPr>
      <w:r>
        <w:t xml:space="preserve">2.3 The honest middle path</w:t>
      </w:r>
    </w:p>
    <w:p>
      <w:pPr>
        <w:spacing w:after="200" w:line="300"/>
      </w:pPr>
      <w:r>
        <w:rPr>
          <w:b/>
          <w:bCs/>
          <w:color w:val="F96167"/>
          <w:sz w:val="18"/>
          <w:szCs w:val="18"/>
        </w:rPr>
        <w:t xml:space="preserve"> [INFERENCE] </w:t>
      </w:r>
      <w:r>
        <w:rPr>
          <w:sz w:val="22"/>
          <w:szCs w:val="22"/>
        </w:rPr>
        <w:t xml:space="preserve">The research turned up a pattern worth taking seriously: the same kind of gap that exists for India (a major local payment/logistics ecosystem the big global tools don't integrate) plausibly exists in other emerging markets too — Mercado Pago in Latin America, GrabPay and J&amp;T Express in Southeast Asia, Klarna/iDEAL in parts of Europe. This was NOT independently confirmed in this research pass (the research explicitly could not verify or disprove whether Polar, Northbeam, Rockerbox, Daasity, Glew, Lifetimely, Putler, or Supermetrics support or exclude these) — it is a hypothesis, not a finding.</w:t>
      </w:r>
    </w:p>
    <w:p>
      <w:pPr>
        <w:spacing w:after="200" w:line="300"/>
      </w:pPr>
      <w:r>
        <w:t xml:space="preserve">If that hypothesis holds, the real strategic move is not "India-only" versus "everywhere at once" — it's "win one underserved emerging-payment-ecosystem market first, prove the model, then repeat the same playbook in the next one." That is a fundamentally different, and much more fundable, story than "we built a global analytics tool." It should be validated directly (checking Polar/Putler/Supermetrics docs for Mercado Pago/GrabPay/Klarna support) before being relied on.</w:t>
      </w:r>
    </w:p>
    <w:p>
      <w:pPr>
        <w:pStyle w:val="Heading1"/>
        <w:spacing w:after="200" w:before="400"/>
      </w:pPr>
      <w:r>
        <w:t xml:space="preserve">3. Global Market Opportunity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shd w:fill="2F3C7E" w:val="clear"/>
          </w:tcPr>
          <w:p>
            <w:r>
              <w:rPr>
                <w:b/>
                <w:bCs/>
                <w:color w:val="FFFFFF"/>
                <w:sz w:val="20"/>
                <w:szCs w:val="20"/>
              </w:rPr>
              <w:t xml:space="preserve">Metric</w:t>
            </w:r>
          </w:p>
        </w:tc>
        <w:tc>
          <w:tcPr>
            <w:tcW w:type="dxa" w:w="2400"/>
            <w:shd w:fill="2F3C7E" w:val="clear"/>
          </w:tcPr>
          <w:p>
            <w:r>
              <w:rPr>
                <w:b/>
                <w:bCs/>
                <w:color w:val="FFFFFF"/>
                <w:sz w:val="20"/>
                <w:szCs w:val="20"/>
              </w:rPr>
              <w:t xml:space="preserve">Figure</w:t>
            </w:r>
          </w:p>
        </w:tc>
        <w:tc>
          <w:tcPr>
            <w:tcW w:type="dxa" w:w="2426"/>
            <w:shd w:fill="2F3C7E" w:val="clear"/>
          </w:tcPr>
          <w:p>
            <w:r>
              <w:rPr>
                <w:b/>
                <w:bCs/>
                <w:color w:val="FFFFFF"/>
                <w:sz w:val="20"/>
                <w:szCs w:val="20"/>
              </w:rPr>
              <w:t xml:space="preserve">Source</w:t>
            </w:r>
          </w:p>
        </w:tc>
      </w:tr>
      <w:tr>
        <w:tc>
          <w:tcPr>
            <w:tcW w:type="dxa" w:w="4200"/>
            <w:shd w:fill="FFFFFF" w:val="clear"/>
          </w:tcPr>
          <w:p>
            <w:pPr>
              <w:spacing w:after="60"/>
            </w:pPr>
            <w:r>
              <w:rPr>
                <w:sz w:val="20"/>
                <w:szCs w:val="20"/>
              </w:rPr>
              <w:t xml:space="preserve">Global B2C ecommerce market, 2025</w:t>
            </w:r>
          </w:p>
        </w:tc>
        <w:tc>
          <w:tcPr>
            <w:tcW w:type="dxa" w:w="2400"/>
            <w:shd w:fill="FFFFFF" w:val="clear"/>
          </w:tcPr>
          <w:p>
            <w:pPr>
              <w:spacing w:after="60"/>
            </w:pPr>
            <w:r>
              <w:rPr>
                <w:sz w:val="20"/>
                <w:szCs w:val="20"/>
              </w:rPr>
              <w:t xml:space="preserve">$7.2 trillion</w:t>
            </w:r>
          </w:p>
        </w:tc>
        <w:tc>
          <w:tcPr>
            <w:tcW w:type="dxa" w:w="2426"/>
            <w:shd w:fill="FFFFFF" w:val="clear"/>
          </w:tcPr>
          <w:p>
            <w:pPr>
              <w:spacing w:after="60"/>
            </w:pPr>
            <w:r>
              <w:rPr>
                <w:sz w:val="20"/>
                <w:szCs w:val="20"/>
              </w:rPr>
              <w:t xml:space="preserve">Grand View Research [VERIFIED]</w:t>
            </w:r>
          </w:p>
        </w:tc>
      </w:tr>
      <w:tr>
        <w:tc>
          <w:tcPr>
            <w:tcW w:type="dxa" w:w="4200"/>
            <w:shd w:fill="F7F7F6" w:val="clear"/>
          </w:tcPr>
          <w:p>
            <w:pPr>
              <w:spacing w:after="60"/>
            </w:pPr>
            <w:r>
              <w:rPr>
                <w:sz w:val="20"/>
                <w:szCs w:val="20"/>
              </w:rPr>
              <w:t xml:space="preserve">Global B2C ecommerce market, 2026</w:t>
            </w:r>
          </w:p>
        </w:tc>
        <w:tc>
          <w:tcPr>
            <w:tcW w:type="dxa" w:w="2400"/>
            <w:shd w:fill="F7F7F6" w:val="clear"/>
          </w:tcPr>
          <w:p>
            <w:pPr>
              <w:spacing w:after="60"/>
            </w:pPr>
            <w:r>
              <w:rPr>
                <w:sz w:val="20"/>
                <w:szCs w:val="20"/>
              </w:rPr>
              <w:t xml:space="preserve">$8.5 trillion</w:t>
            </w:r>
          </w:p>
        </w:tc>
        <w:tc>
          <w:tcPr>
            <w:tcW w:type="dxa" w:w="2426"/>
            <w:shd w:fill="F7F7F6" w:val="clear"/>
          </w:tcPr>
          <w:p>
            <w:pPr>
              <w:spacing w:after="60"/>
            </w:pPr>
            <w:r>
              <w:rPr>
                <w:sz w:val="20"/>
                <w:szCs w:val="20"/>
              </w:rPr>
              <w:t xml:space="preserve">Grand View Research [VERIFIED]</w:t>
            </w:r>
          </w:p>
        </w:tc>
      </w:tr>
      <w:tr>
        <w:tc>
          <w:tcPr>
            <w:tcW w:type="dxa" w:w="4200"/>
            <w:shd w:fill="FFFFFF" w:val="clear"/>
          </w:tcPr>
          <w:p>
            <w:pPr>
              <w:spacing w:after="60"/>
            </w:pPr>
            <w:r>
              <w:rPr>
                <w:sz w:val="20"/>
                <w:szCs w:val="20"/>
              </w:rPr>
              <w:t xml:space="preserve">Projected by 2033</w:t>
            </w:r>
          </w:p>
        </w:tc>
        <w:tc>
          <w:tcPr>
            <w:tcW w:type="dxa" w:w="2400"/>
            <w:shd w:fill="FFFFFF" w:val="clear"/>
          </w:tcPr>
          <w:p>
            <w:pPr>
              <w:spacing w:after="60"/>
            </w:pPr>
            <w:r>
              <w:rPr>
                <w:sz w:val="20"/>
                <w:szCs w:val="20"/>
              </w:rPr>
              <w:t xml:space="preserve">$33.5 trillion</w:t>
            </w:r>
          </w:p>
        </w:tc>
        <w:tc>
          <w:tcPr>
            <w:tcW w:type="dxa" w:w="2426"/>
            <w:shd w:fill="FFFFFF" w:val="clear"/>
          </w:tcPr>
          <w:p>
            <w:pPr>
              <w:spacing w:after="60"/>
            </w:pPr>
            <w:r>
              <w:rPr>
                <w:sz w:val="20"/>
                <w:szCs w:val="20"/>
              </w:rPr>
              <w:t xml:space="preserve">Grand View Research [VERIFIED]</w:t>
            </w:r>
          </w:p>
        </w:tc>
      </w:tr>
      <w:tr>
        <w:tc>
          <w:tcPr>
            <w:tcW w:type="dxa" w:w="4200"/>
            <w:shd w:fill="F7F7F6" w:val="clear"/>
          </w:tcPr>
          <w:p>
            <w:pPr>
              <w:spacing w:after="60"/>
            </w:pPr>
            <w:r>
              <w:rPr>
                <w:sz w:val="20"/>
                <w:szCs w:val="20"/>
              </w:rPr>
              <w:t xml:space="preserve">CAGR, 2026–2033</w:t>
            </w:r>
          </w:p>
        </w:tc>
        <w:tc>
          <w:tcPr>
            <w:tcW w:type="dxa" w:w="2400"/>
            <w:shd w:fill="F7F7F6" w:val="clear"/>
          </w:tcPr>
          <w:p>
            <w:pPr>
              <w:spacing w:after="60"/>
            </w:pPr>
            <w:r>
              <w:rPr>
                <w:sz w:val="20"/>
                <w:szCs w:val="20"/>
              </w:rPr>
              <w:t xml:space="preserve">21.7%</w:t>
            </w:r>
          </w:p>
        </w:tc>
        <w:tc>
          <w:tcPr>
            <w:tcW w:type="dxa" w:w="2426"/>
            <w:shd w:fill="F7F7F6" w:val="clear"/>
          </w:tcPr>
          <w:p>
            <w:pPr>
              <w:spacing w:after="60"/>
            </w:pPr>
            <w:r>
              <w:rPr>
                <w:sz w:val="20"/>
                <w:szCs w:val="20"/>
              </w:rPr>
              <w:t xml:space="preserve">Grand View Research [VERIFIED]</w:t>
            </w:r>
          </w:p>
        </w:tc>
      </w:tr>
      <w:tr>
        <w:tc>
          <w:tcPr>
            <w:tcW w:type="dxa" w:w="4200"/>
            <w:shd w:fill="FFFFFF" w:val="clear"/>
          </w:tcPr>
          <w:p>
            <w:pPr>
              <w:spacing w:after="60"/>
            </w:pPr>
            <w:r>
              <w:rPr>
                <w:sz w:val="20"/>
                <w:szCs w:val="20"/>
              </w:rPr>
              <w:t xml:space="preserve">India D2C market, 2026 (for comparison)</w:t>
            </w:r>
          </w:p>
        </w:tc>
        <w:tc>
          <w:tcPr>
            <w:tcW w:type="dxa" w:w="2400"/>
            <w:shd w:fill="FFFFFF" w:val="clear"/>
          </w:tcPr>
          <w:p>
            <w:pPr>
              <w:spacing w:after="60"/>
            </w:pPr>
            <w:r>
              <w:rPr>
                <w:sz w:val="20"/>
                <w:szCs w:val="20"/>
              </w:rPr>
              <w:t xml:space="preserve">$108.76 billion</w:t>
            </w:r>
          </w:p>
        </w:tc>
        <w:tc>
          <w:tcPr>
            <w:tcW w:type="dxa" w:w="2426"/>
            <w:shd w:fill="FFFFFF" w:val="clear"/>
          </w:tcPr>
          <w:p>
            <w:pPr>
              <w:spacing w:after="60"/>
            </w:pPr>
            <w:r>
              <w:rPr>
                <w:sz w:val="20"/>
                <w:szCs w:val="20"/>
              </w:rPr>
              <w:t xml:space="preserve">Mordor Intelligence [VERIFIED]</w:t>
            </w:r>
          </w:p>
        </w:tc>
      </w:tr>
    </w:tbl>
    <w:p>
      <w:pPr>
        <w:spacing w:after="200" w:line="300"/>
      </w:pPr>
      <w:r>
        <w:rPr>
          <w:i/>
          <w:iCs/>
        </w:rPr>
        <w:t xml:space="preserve">Important caveat, stated plainly: this is the broader B2C ecommerce figure, not a D2C-only or software-spend-only figure — Grand View Research does not isolate a separate D2C line item at this scale. Treat it as directional context for how large the market your customers would operate in is, not as a validated software-spend TAM. The same caveat that applied to the India numbers in the pre-seed deck applies here, just at a larger scale.</w:t>
      </w:r>
    </w:p>
    <w:p>
      <w:pPr>
        <w:pStyle w:val="Heading1"/>
        <w:spacing w:after="200" w:before="400"/>
      </w:pPr>
      <w:r>
        <w:t xml:space="preserve">4. Global Competitive Landscape</w:t>
      </w:r>
    </w:p>
    <w:p>
      <w:pPr>
        <w:pStyle w:val="Heading2"/>
        <w:spacing w:after="150" w:before="300"/>
      </w:pPr>
      <w:r>
        <w:t xml:space="preserve">4.1 The established global players (unchanged from India research, now the direct competitive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126"/>
        <w:gridCol w:w="2300"/>
      </w:tblGrid>
      <w:tr>
        <w:trPr>
          <w:tblHeader/>
        </w:trPr>
        <w:tc>
          <w:tcPr>
            <w:tcW w:type="dxa" w:w="1600"/>
            <w:shd w:fill="2F3C7E" w:val="clear"/>
          </w:tcPr>
          <w:p>
            <w:r>
              <w:rPr>
                <w:b/>
                <w:bCs/>
                <w:color w:val="FFFFFF"/>
                <w:sz w:val="20"/>
                <w:szCs w:val="20"/>
              </w:rPr>
              <w:t xml:space="preserve">Company</w:t>
            </w:r>
          </w:p>
        </w:tc>
        <w:tc>
          <w:tcPr>
            <w:tcW w:type="dxa" w:w="3000"/>
            <w:shd w:fill="2F3C7E" w:val="clear"/>
          </w:tcPr>
          <w:p>
            <w:r>
              <w:rPr>
                <w:b/>
                <w:bCs/>
                <w:color w:val="FFFFFF"/>
                <w:sz w:val="20"/>
                <w:szCs w:val="20"/>
              </w:rPr>
              <w:t xml:space="preserve">What it does</w:t>
            </w:r>
          </w:p>
        </w:tc>
        <w:tc>
          <w:tcPr>
            <w:tcW w:type="dxa" w:w="2126"/>
            <w:shd w:fill="2F3C7E" w:val="clear"/>
          </w:tcPr>
          <w:p>
            <w:r>
              <w:rPr>
                <w:b/>
                <w:bCs/>
                <w:color w:val="FFFFFF"/>
                <w:sz w:val="20"/>
                <w:szCs w:val="20"/>
              </w:rPr>
              <w:t xml:space="preserve">Verified pricing / signal</w:t>
            </w:r>
          </w:p>
        </w:tc>
        <w:tc>
          <w:tcPr>
            <w:tcW w:type="dxa" w:w="2300"/>
            <w:shd w:fill="2F3C7E" w:val="clear"/>
          </w:tcPr>
          <w:p>
            <w:r>
              <w:rPr>
                <w:b/>
                <w:bCs/>
                <w:color w:val="FFFFFF"/>
                <w:sz w:val="20"/>
                <w:szCs w:val="20"/>
              </w:rPr>
              <w:t xml:space="preserve">Multi-region support</w:t>
            </w:r>
          </w:p>
        </w:tc>
      </w:tr>
      <w:tr>
        <w:tc>
          <w:tcPr>
            <w:tcW w:type="dxa" w:w="1600"/>
            <w:shd w:fill="FFFFFF" w:val="clear"/>
          </w:tcPr>
          <w:p>
            <w:pPr>
              <w:spacing w:after="60"/>
            </w:pPr>
            <w:r>
              <w:rPr>
                <w:sz w:val="20"/>
                <w:szCs w:val="20"/>
              </w:rPr>
              <w:t xml:space="preserve">Triple Whale</w:t>
            </w:r>
          </w:p>
        </w:tc>
        <w:tc>
          <w:tcPr>
            <w:tcW w:type="dxa" w:w="3000"/>
            <w:shd w:fill="FFFFFF" w:val="clear"/>
          </w:tcPr>
          <w:p>
            <w:pPr>
              <w:spacing w:after="60"/>
            </w:pPr>
            <w:r>
              <w:rPr>
                <w:sz w:val="20"/>
                <w:szCs w:val="20"/>
              </w:rPr>
              <w:t xml:space="preserve">Cross-channel attribution + AI assistant ("Willy")</w:t>
            </w:r>
          </w:p>
        </w:tc>
        <w:tc>
          <w:tcPr>
            <w:tcW w:type="dxa" w:w="2126"/>
            <w:shd w:fill="FFFFFF" w:val="clear"/>
          </w:tcPr>
          <w:p>
            <w:pPr>
              <w:spacing w:after="60"/>
            </w:pPr>
            <w:r>
              <w:rPr>
                <w:sz w:val="20"/>
                <w:szCs w:val="20"/>
              </w:rPr>
              <w:t xml:space="preserve">$124–$375+/mo (G2)</w:t>
            </w:r>
          </w:p>
        </w:tc>
        <w:tc>
          <w:tcPr>
            <w:tcW w:type="dxa" w:w="2300"/>
            <w:shd w:fill="FFFFFF" w:val="clear"/>
          </w:tcPr>
          <w:p>
            <w:pPr>
              <w:spacing w:after="60"/>
            </w:pPr>
            <w:r>
              <w:rPr>
                <w:sz w:val="20"/>
                <w:szCs w:val="20"/>
              </w:rPr>
              <w:t xml:space="preserve">Multi-currency confirmed [VERIFIED] via own help docs</w:t>
            </w:r>
          </w:p>
        </w:tc>
      </w:tr>
      <w:tr>
        <w:tc>
          <w:tcPr>
            <w:tcW w:type="dxa" w:w="1600"/>
            <w:shd w:fill="F7F7F6" w:val="clear"/>
          </w:tcPr>
          <w:p>
            <w:pPr>
              <w:spacing w:after="60"/>
            </w:pPr>
            <w:r>
              <w:rPr>
                <w:sz w:val="20"/>
                <w:szCs w:val="20"/>
              </w:rPr>
              <w:t xml:space="preserve">Polar Analytics</w:t>
            </w:r>
          </w:p>
        </w:tc>
        <w:tc>
          <w:tcPr>
            <w:tcW w:type="dxa" w:w="3000"/>
            <w:shd w:fill="F7F7F6" w:val="clear"/>
          </w:tcPr>
          <w:p>
            <w:pPr>
              <w:spacing w:after="60"/>
            </w:pPr>
            <w:r>
              <w:rPr>
                <w:sz w:val="20"/>
                <w:szCs w:val="20"/>
              </w:rPr>
              <w:t xml:space="preserve">AI-analytics, dedicated Snowflake DB per customer</w:t>
            </w:r>
          </w:p>
        </w:tc>
        <w:tc>
          <w:tcPr>
            <w:tcW w:type="dxa" w:w="2126"/>
            <w:shd w:fill="F7F7F6" w:val="clear"/>
          </w:tcPr>
          <w:p>
            <w:pPr>
              <w:spacing w:after="60"/>
            </w:pPr>
            <w:r>
              <w:rPr>
                <w:sz w:val="20"/>
                <w:szCs w:val="20"/>
              </w:rPr>
              <w:t xml:space="preserve">Sales-gated pricing</w:t>
            </w:r>
          </w:p>
        </w:tc>
        <w:tc>
          <w:tcPr>
            <w:tcW w:type="dxa" w:w="2300"/>
            <w:shd w:fill="F7F7F6" w:val="clear"/>
          </w:tcPr>
          <w:p>
            <w:pPr>
              <w:spacing w:after="60"/>
            </w:pPr>
            <w:r>
              <w:rPr>
                <w:sz w:val="20"/>
                <w:szCs w:val="20"/>
              </w:rPr>
              <w:t xml:space="preserve">Not confirmed either way [gap]</w:t>
            </w:r>
          </w:p>
        </w:tc>
      </w:tr>
      <w:tr>
        <w:tc>
          <w:tcPr>
            <w:tcW w:type="dxa" w:w="1600"/>
            <w:shd w:fill="FFFFFF" w:val="clear"/>
          </w:tcPr>
          <w:p>
            <w:pPr>
              <w:spacing w:after="60"/>
            </w:pPr>
            <w:r>
              <w:rPr>
                <w:sz w:val="20"/>
                <w:szCs w:val="20"/>
              </w:rPr>
              <w:t xml:space="preserve">Northbeam</w:t>
            </w:r>
          </w:p>
        </w:tc>
        <w:tc>
          <w:tcPr>
            <w:tcW w:type="dxa" w:w="3000"/>
            <w:shd w:fill="FFFFFF" w:val="clear"/>
          </w:tcPr>
          <w:p>
            <w:pPr>
              <w:spacing w:after="60"/>
            </w:pPr>
            <w:r>
              <w:rPr>
                <w:sz w:val="20"/>
                <w:szCs w:val="20"/>
              </w:rPr>
              <w:t xml:space="preserve">Attribution / media-mix modeling</w:t>
            </w:r>
          </w:p>
        </w:tc>
        <w:tc>
          <w:tcPr>
            <w:tcW w:type="dxa" w:w="2126"/>
            <w:shd w:fill="FFFFFF" w:val="clear"/>
          </w:tcPr>
          <w:p>
            <w:pPr>
              <w:spacing w:after="60"/>
            </w:pPr>
            <w:r>
              <w:rPr>
                <w:sz w:val="20"/>
                <w:szCs w:val="20"/>
              </w:rPr>
              <w:t xml:space="preserve">Series A, $15M raised</w:t>
            </w:r>
          </w:p>
        </w:tc>
        <w:tc>
          <w:tcPr>
            <w:tcW w:type="dxa" w:w="2300"/>
            <w:shd w:fill="FFFFFF" w:val="clear"/>
          </w:tcPr>
          <w:p>
            <w:pPr>
              <w:spacing w:after="60"/>
            </w:pPr>
            <w:r>
              <w:rPr>
                <w:sz w:val="20"/>
                <w:szCs w:val="20"/>
              </w:rPr>
              <w:t xml:space="preserve">Not confirmed either way [gap]</w:t>
            </w:r>
          </w:p>
        </w:tc>
      </w:tr>
      <w:tr>
        <w:tc>
          <w:tcPr>
            <w:tcW w:type="dxa" w:w="1600"/>
            <w:shd w:fill="F7F7F6" w:val="clear"/>
          </w:tcPr>
          <w:p>
            <w:pPr>
              <w:spacing w:after="60"/>
            </w:pPr>
            <w:r>
              <w:rPr>
                <w:sz w:val="20"/>
                <w:szCs w:val="20"/>
              </w:rPr>
              <w:t xml:space="preserve">Rockerbox</w:t>
            </w:r>
          </w:p>
        </w:tc>
        <w:tc>
          <w:tcPr>
            <w:tcW w:type="dxa" w:w="3000"/>
            <w:shd w:fill="F7F7F6" w:val="clear"/>
          </w:tcPr>
          <w:p>
            <w:pPr>
              <w:spacing w:after="60"/>
            </w:pPr>
            <w:r>
              <w:rPr>
                <w:sz w:val="20"/>
                <w:szCs w:val="20"/>
              </w:rPr>
              <w:t xml:space="preserve">Attribution, larger ad-spend accounts</w:t>
            </w:r>
          </w:p>
        </w:tc>
        <w:tc>
          <w:tcPr>
            <w:tcW w:type="dxa" w:w="2126"/>
            <w:shd w:fill="F7F7F6" w:val="clear"/>
          </w:tcPr>
          <w:p>
            <w:pPr>
              <w:spacing w:after="60"/>
            </w:pPr>
            <w:r>
              <w:rPr>
                <w:sz w:val="20"/>
                <w:szCs w:val="20"/>
              </w:rPr>
              <w:t xml:space="preserve">G2: 47 reviews, 4.6/5</w:t>
            </w:r>
          </w:p>
        </w:tc>
        <w:tc>
          <w:tcPr>
            <w:tcW w:type="dxa" w:w="2300"/>
            <w:shd w:fill="F7F7F6" w:val="clear"/>
          </w:tcPr>
          <w:p>
            <w:pPr>
              <w:spacing w:after="60"/>
            </w:pPr>
            <w:r>
              <w:rPr>
                <w:sz w:val="20"/>
                <w:szCs w:val="20"/>
              </w:rPr>
              <w:t xml:space="preserve">Not confirmed either way [gap]</w:t>
            </w:r>
          </w:p>
        </w:tc>
      </w:tr>
      <w:tr>
        <w:tc>
          <w:tcPr>
            <w:tcW w:type="dxa" w:w="1600"/>
            <w:shd w:fill="FFFFFF" w:val="clear"/>
          </w:tcPr>
          <w:p>
            <w:pPr>
              <w:spacing w:after="60"/>
            </w:pPr>
            <w:r>
              <w:rPr>
                <w:sz w:val="20"/>
                <w:szCs w:val="20"/>
              </w:rPr>
              <w:t xml:space="preserve">Daasity</w:t>
            </w:r>
          </w:p>
        </w:tc>
        <w:tc>
          <w:tcPr>
            <w:tcW w:type="dxa" w:w="3000"/>
            <w:shd w:fill="FFFFFF" w:val="clear"/>
          </w:tcPr>
          <w:p>
            <w:pPr>
              <w:spacing w:after="60"/>
            </w:pPr>
            <w:r>
              <w:rPr>
                <w:sz w:val="20"/>
                <w:szCs w:val="20"/>
              </w:rPr>
              <w:t xml:space="preserve">DataOps/BI, omnichannel (Shopify+Amazon+retail)</w:t>
            </w:r>
          </w:p>
        </w:tc>
        <w:tc>
          <w:tcPr>
            <w:tcW w:type="dxa" w:w="2126"/>
            <w:shd w:fill="FFFFFF" w:val="clear"/>
          </w:tcPr>
          <w:p>
            <w:pPr>
              <w:spacing w:after="60"/>
            </w:pPr>
            <w:r>
              <w:rPr>
                <w:sz w:val="20"/>
                <w:szCs w:val="20"/>
              </w:rPr>
              <w:t xml:space="preserve">G2: 17 reviews, 4.7/5</w:t>
            </w:r>
          </w:p>
        </w:tc>
        <w:tc>
          <w:tcPr>
            <w:tcW w:type="dxa" w:w="2300"/>
            <w:shd w:fill="FFFFFF" w:val="clear"/>
          </w:tcPr>
          <w:p>
            <w:pPr>
              <w:spacing w:after="60"/>
            </w:pPr>
            <w:r>
              <w:rPr>
                <w:sz w:val="20"/>
                <w:szCs w:val="20"/>
              </w:rPr>
              <w:t xml:space="preserve">Not confirmed either way [gap]</w:t>
            </w:r>
          </w:p>
        </w:tc>
      </w:tr>
      <w:tr>
        <w:tc>
          <w:tcPr>
            <w:tcW w:type="dxa" w:w="1600"/>
            <w:shd w:fill="F7F7F6" w:val="clear"/>
          </w:tcPr>
          <w:p>
            <w:pPr>
              <w:spacing w:after="60"/>
            </w:pPr>
            <w:r>
              <w:rPr>
                <w:sz w:val="20"/>
                <w:szCs w:val="20"/>
              </w:rPr>
              <w:t xml:space="preserve">Glew.io</w:t>
            </w:r>
          </w:p>
        </w:tc>
        <w:tc>
          <w:tcPr>
            <w:tcW w:type="dxa" w:w="3000"/>
            <w:shd w:fill="F7F7F6" w:val="clear"/>
          </w:tcPr>
          <w:p>
            <w:pPr>
              <w:spacing w:after="60"/>
            </w:pPr>
            <w:r>
              <w:rPr>
                <w:sz w:val="20"/>
                <w:szCs w:val="20"/>
              </w:rPr>
              <w:t xml:space="preserve">"Commerce Data Cloud", 170+ integrations claimed</w:t>
            </w:r>
          </w:p>
        </w:tc>
        <w:tc>
          <w:tcPr>
            <w:tcW w:type="dxa" w:w="2126"/>
            <w:shd w:fill="F7F7F6" w:val="clear"/>
          </w:tcPr>
          <w:p>
            <w:pPr>
              <w:spacing w:after="60"/>
            </w:pPr>
            <w:r>
              <w:rPr>
                <w:sz w:val="20"/>
                <w:szCs w:val="20"/>
              </w:rPr>
              <w:t xml:space="preserve">G2: 57 reviews, 4.0/5</w:t>
            </w:r>
          </w:p>
        </w:tc>
        <w:tc>
          <w:tcPr>
            <w:tcW w:type="dxa" w:w="2300"/>
            <w:shd w:fill="F7F7F6" w:val="clear"/>
          </w:tcPr>
          <w:p>
            <w:pPr>
              <w:spacing w:after="60"/>
            </w:pPr>
            <w:r>
              <w:rPr>
                <w:sz w:val="20"/>
                <w:szCs w:val="20"/>
              </w:rPr>
              <w:t xml:space="preserve">Not confirmed either way [gap]</w:t>
            </w:r>
          </w:p>
        </w:tc>
      </w:tr>
      <w:tr>
        <w:tc>
          <w:tcPr>
            <w:tcW w:type="dxa" w:w="1600"/>
            <w:shd w:fill="FFFFFF" w:val="clear"/>
          </w:tcPr>
          <w:p>
            <w:pPr>
              <w:spacing w:after="60"/>
            </w:pPr>
            <w:r>
              <w:rPr>
                <w:sz w:val="20"/>
                <w:szCs w:val="20"/>
              </w:rPr>
              <w:t xml:space="preserve">Lifesight</w:t>
            </w:r>
          </w:p>
        </w:tc>
        <w:tc>
          <w:tcPr>
            <w:tcW w:type="dxa" w:w="3000"/>
            <w:shd w:fill="FFFFFF" w:val="clear"/>
          </w:tcPr>
          <w:p>
            <w:pPr>
              <w:spacing w:after="60"/>
            </w:pPr>
            <w:r>
              <w:rPr>
                <w:sz w:val="20"/>
                <w:szCs w:val="20"/>
              </w:rPr>
              <w:t xml:space="preserve">Agentic unified marketing measurement, MMM</w:t>
            </w:r>
          </w:p>
        </w:tc>
        <w:tc>
          <w:tcPr>
            <w:tcW w:type="dxa" w:w="2126"/>
            <w:shd w:fill="FFFFFF" w:val="clear"/>
          </w:tcPr>
          <w:p>
            <w:pPr>
              <w:spacing w:after="60"/>
            </w:pPr>
            <w:r>
              <w:rPr>
                <w:sz w:val="20"/>
                <w:szCs w:val="20"/>
              </w:rPr>
              <w:t xml:space="preserve">G2: 37 reviews, 4.2/5</w:t>
            </w:r>
          </w:p>
        </w:tc>
        <w:tc>
          <w:tcPr>
            <w:tcW w:type="dxa" w:w="2300"/>
            <w:shd w:fill="FFFFFF" w:val="clear"/>
          </w:tcPr>
          <w:p>
            <w:pPr>
              <w:spacing w:after="60"/>
            </w:pPr>
            <w:r>
              <w:rPr>
                <w:sz w:val="20"/>
                <w:szCs w:val="20"/>
              </w:rPr>
              <w:t xml:space="preserve">India/APAC roots [VERIFIED origin]</w:t>
            </w:r>
          </w:p>
        </w:tc>
      </w:tr>
      <w:tr>
        <w:tc>
          <w:tcPr>
            <w:tcW w:type="dxa" w:w="1600"/>
            <w:shd w:fill="F7F7F6" w:val="clear"/>
          </w:tcPr>
          <w:p>
            <w:pPr>
              <w:spacing w:after="60"/>
            </w:pPr>
            <w:r>
              <w:rPr>
                <w:sz w:val="20"/>
                <w:szCs w:val="20"/>
              </w:rPr>
              <w:t xml:space="preserve">Putler</w:t>
            </w:r>
          </w:p>
        </w:tc>
        <w:tc>
          <w:tcPr>
            <w:tcW w:type="dxa" w:w="3000"/>
            <w:shd w:fill="F7F7F6" w:val="clear"/>
          </w:tcPr>
          <w:p>
            <w:pPr>
              <w:spacing w:after="60"/>
            </w:pPr>
            <w:r>
              <w:rPr>
                <w:sz w:val="20"/>
                <w:szCs w:val="20"/>
              </w:rPr>
              <w:t xml:space="preserve">Multichannel BI, revenue-tiered</w:t>
            </w:r>
          </w:p>
        </w:tc>
        <w:tc>
          <w:tcPr>
            <w:tcW w:type="dxa" w:w="2126"/>
            <w:shd w:fill="F7F7F6" w:val="clear"/>
          </w:tcPr>
          <w:p>
            <w:pPr>
              <w:spacing w:after="60"/>
            </w:pPr>
            <w:r>
              <w:rPr>
                <w:sz w:val="20"/>
                <w:szCs w:val="20"/>
              </w:rPr>
              <w:t xml:space="preserve">$20–$750/mo (own site)</w:t>
            </w:r>
          </w:p>
        </w:tc>
        <w:tc>
          <w:tcPr>
            <w:tcW w:type="dxa" w:w="2300"/>
            <w:shd w:fill="F7F7F6" w:val="clear"/>
          </w:tcPr>
          <w:p>
            <w:pPr>
              <w:spacing w:after="60"/>
            </w:pPr>
            <w:r>
              <w:rPr>
                <w:sz w:val="20"/>
                <w:szCs w:val="20"/>
              </w:rPr>
              <w:t xml:space="preserve">Claims native Razorpay; inconsistent with own pricing page [flagged]</w:t>
            </w:r>
          </w:p>
        </w:tc>
      </w:tr>
    </w:tbl>
    <w:p>
      <w:pPr>
        <w:pStyle w:val="Heading2"/>
        <w:spacing w:after="150" w:before="300"/>
      </w:pPr>
      <w:r>
        <w:t xml:space="preserve">4.2 Regional coverage check — Southeast Asia, Latin America, Europe, Middle East</w:t>
      </w:r>
    </w:p>
    <w:p>
      <w:pPr>
        <w:spacing w:after="200" w:line="300"/>
      </w:pPr>
      <w:r>
        <w:rPr>
          <w:b/>
          <w:bCs/>
          <w:color w:val="1A7A3C"/>
          <w:sz w:val="18"/>
          <w:szCs w:val="18"/>
        </w:rPr>
        <w:t xml:space="preserve"> [VERIFIED] </w:t>
      </w:r>
      <w:r>
        <w:rPr>
          <w:sz w:val="22"/>
          <w:szCs w:val="22"/>
        </w:rPr>
        <w:t xml:space="preserve">Southeast Asia: Plugo (Singapore) is a real, funded company — $9M Series A led by Altos Ventures, December 2022 (DealStreetAsia, TechCrunch, Tracxn). It is an ecommerce enabler (storefront + fulfillment, some analytics) rather than a pure unified-analytics dashboard — an adjacent reference point, not a head-to-head competitor.</w:t>
      </w:r>
    </w:p>
    <w:p>
      <w:pPr>
        <w:spacing w:after="200" w:line="300"/>
      </w:pPr>
      <w:r>
        <w:rPr>
          <w:b/>
          <w:bCs/>
          <w:color w:val="F96167"/>
          <w:sz w:val="18"/>
          <w:szCs w:val="18"/>
        </w:rPr>
        <w:t xml:space="preserve"> [HONEST GAP] </w:t>
      </w:r>
      <w:r>
        <w:rPr>
          <w:sz w:val="22"/>
          <w:szCs w:val="22"/>
        </w:rPr>
        <w:t xml:space="preserve">Latin America: no dedicated D2C-brand-facing unified analytics startup was found. Europe (UK/Germany/France): none found. Middle East: none found. Read this correctly — absence of evidence is not evidence of an empty, winnable market. It may equally mean the market is under-documented in English-language search, or that demand is genuinely smaller there. This needs direct, local research before being treated as "open territory."</w:t>
      </w:r>
    </w:p>
    <w:p>
      <w:pPr>
        <w:pStyle w:val="Heading1"/>
        <w:spacing w:after="200" w:before="400"/>
      </w:pPr>
      <w:r>
        <w:t xml:space="preserve">5. Recommended Feature Set — Claude's Own Suggestions</w:t>
      </w:r>
    </w:p>
    <w:p>
      <w:pPr>
        <w:spacing w:after="250" w:line="300"/>
      </w:pPr>
      <w:r>
        <w:rPr>
          <w:b/>
          <w:bCs/>
          <w:color w:val="F96167"/>
          <w:sz w:val="18"/>
          <w:szCs w:val="18"/>
        </w:rPr>
        <w:t xml:space="preserve"> [INFERENCE] </w:t>
      </w:r>
      <w:r>
        <w:rPr>
          <w:sz w:val="22"/>
          <w:szCs w:val="22"/>
        </w:rPr>
        <w:t xml:space="preserve">Everything in this section is my own product judgment, based on what tends to make analytics/BI tools genuinely sticky — none of it is user-validated or requested by any researched customer. Treat this as a brainstorm to react to and prioritize with real founders, not a committed roadmap.</w:t>
      </w:r>
    </w:p>
    <w:p>
      <w:pPr>
        <w:pStyle w:val="Heading2"/>
        <w:spacing w:after="150" w:before="300"/>
      </w:pPr>
      <w:r>
        <w:t xml:space="preserve">5.1 Intelligence layer — what makes the "AI" part actually worth paying for</w:t>
      </w:r>
    </w:p>
    <w:p>
      <w:pPr>
        <w:pStyle w:val="ListParagraph"/>
        <w:numPr>
          <w:ilvl w:val="0"/>
          <w:numId w:val="1"/>
        </w:numPr>
        <w:spacing w:after="120" w:line="280"/>
      </w:pPr>
      <w:r>
        <w:t xml:space="preserve">Natural-language copilot: let a founder type or speak a question ("why did CAC spike Tuesday") and get an answer, not just browse pre-built charts — this is the single feature most likely to make non-technical founders feel the product is doing something for them, not just displaying data.</w:t>
      </w:r>
    </w:p>
    <w:p>
      <w:pPr>
        <w:pStyle w:val="ListParagraph"/>
        <w:numPr>
          <w:ilvl w:val="0"/>
          <w:numId w:val="1"/>
        </w:numPr>
        <w:spacing w:after="120" w:line="280"/>
      </w:pPr>
      <w:r>
        <w:t xml:space="preserve">Proactive anomaly alerts pushed to WhatsApp, Slack, or email — the product should tell you something is wrong before you open the dashboard, not wait for you to notice a dip yourself.</w:t>
      </w:r>
    </w:p>
    <w:p>
      <w:pPr>
        <w:pStyle w:val="ListParagraph"/>
        <w:numPr>
          <w:ilvl w:val="0"/>
          <w:numId w:val="1"/>
        </w:numPr>
        <w:spacing w:after="120" w:line="280"/>
      </w:pPr>
      <w:r>
        <w:t xml:space="preserve">Forecasting: near-term revenue, inventory stockout risk, and CAC trend projections — turns the tool from a rear-view mirror into something forward-looking.</w:t>
      </w:r>
    </w:p>
    <w:p>
      <w:pPr>
        <w:pStyle w:val="ListParagraph"/>
        <w:numPr>
          <w:ilvl w:val="0"/>
          <w:numId w:val="1"/>
        </w:numPr>
        <w:spacing w:after="120" w:line="280"/>
      </w:pPr>
      <w:r>
        <w:t xml:space="preserve">Anonymized industry benchmarking ("your CAC is 18% above similar-sized brands in your category") — this is a genuinely hard data-moat feature to copy once you have enough customers, and a strong reason to stay subscribed.</w:t>
      </w:r>
    </w:p>
    <w:p>
      <w:pPr>
        <w:pStyle w:val="Heading2"/>
        <w:spacing w:after="150" w:before="300"/>
      </w:pPr>
      <w:r>
        <w:t xml:space="preserve">5.2 Growth &amp; marketing depth</w:t>
      </w:r>
    </w:p>
    <w:p>
      <w:pPr>
        <w:pStyle w:val="ListParagraph"/>
        <w:numPr>
          <w:ilvl w:val="0"/>
          <w:numId w:val="1"/>
        </w:numPr>
        <w:spacing w:after="120" w:line="280"/>
      </w:pPr>
      <w:r>
        <w:t xml:space="preserve">Creative fatigue detection — flag when a specific ad creative's performance is declining, tied to spend recommendations.</w:t>
      </w:r>
    </w:p>
    <w:p>
      <w:pPr>
        <w:pStyle w:val="ListParagraph"/>
        <w:numPr>
          <w:ilvl w:val="0"/>
          <w:numId w:val="1"/>
        </w:numPr>
        <w:spacing w:after="120" w:line="280"/>
      </w:pPr>
      <w:r>
        <w:t xml:space="preserve">Cohort and RFM (recency/frequency/monetary) segmentation with retention curves — critical for any brand with repeat-purchase or subscription revenue.</w:t>
      </w:r>
    </w:p>
    <w:p>
      <w:pPr>
        <w:pStyle w:val="ListParagraph"/>
        <w:numPr>
          <w:ilvl w:val="0"/>
          <w:numId w:val="1"/>
        </w:numPr>
        <w:spacing w:after="120" w:line="280"/>
      </w:pPr>
      <w:r>
        <w:t xml:space="preserve">Influencer and affiliate ROI tracking — a growing spend category for D2C brands that's poorly served by pure ad-attribution tools.</w:t>
      </w:r>
    </w:p>
    <w:p>
      <w:pPr>
        <w:pStyle w:val="ListParagraph"/>
        <w:numPr>
          <w:ilvl w:val="0"/>
          <w:numId w:val="1"/>
        </w:numPr>
        <w:spacing w:after="120" w:line="280"/>
      </w:pPr>
      <w:r>
        <w:t xml:space="preserve">Social commerce unification — TikTok Shop, Instagram Shop, Facebook Shop revenue and funnel data in the same view as paid ads.</w:t>
      </w:r>
    </w:p>
    <w:p>
      <w:pPr>
        <w:pStyle w:val="Heading2"/>
        <w:spacing w:after="150" w:before="300"/>
      </w:pPr>
      <w:r>
        <w:t xml:space="preserve">5.3 Operations &amp; trust</w:t>
      </w:r>
    </w:p>
    <w:p>
      <w:pPr>
        <w:pStyle w:val="ListParagraph"/>
        <w:numPr>
          <w:ilvl w:val="0"/>
          <w:numId w:val="1"/>
        </w:numPr>
        <w:spacing w:after="120" w:line="280"/>
      </w:pPr>
      <w:r>
        <w:t xml:space="preserve">Root-cause RTO/return/chargeback analysis — extending the India-specific RTO idea into a general "why are we losing money on fulfillment" feature that travels well to any market with cash-on-delivery or high-return-rate categories.</w:t>
      </w:r>
    </w:p>
    <w:p>
      <w:pPr>
        <w:pStyle w:val="ListParagraph"/>
        <w:numPr>
          <w:ilvl w:val="0"/>
          <w:numId w:val="1"/>
        </w:numPr>
        <w:spacing w:after="120" w:line="280"/>
      </w:pPr>
      <w:r>
        <w:t xml:space="preserve">Customer 360 view — merge on-site behavior, WhatsApp/email conversations, and support tickets into one customer timeline, not just transaction history.</w:t>
      </w:r>
    </w:p>
    <w:p>
      <w:pPr>
        <w:pStyle w:val="ListParagraph"/>
        <w:numPr>
          <w:ilvl w:val="0"/>
          <w:numId w:val="1"/>
        </w:numPr>
        <w:spacing w:after="120" w:line="280"/>
      </w:pPr>
      <w:r>
        <w:t xml:space="preserve">Auto-generated weekly "board report" export (PDF or slide format) — saves founders the manual work of building a report for investors or co-founders.</w:t>
      </w:r>
    </w:p>
    <w:p>
      <w:pPr>
        <w:pStyle w:val="Heading2"/>
        <w:spacing w:after="150" w:before="300"/>
      </w:pPr>
      <w:r>
        <w:t xml:space="preserve">5.4 Scale &amp; collaboration (aimed at agencies and multi-brand operators)</w:t>
      </w:r>
    </w:p>
    <w:p>
      <w:pPr>
        <w:pStyle w:val="ListParagraph"/>
        <w:numPr>
          <w:ilvl w:val="0"/>
          <w:numId w:val="1"/>
        </w:numPr>
        <w:spacing w:after="120" w:line="280"/>
      </w:pPr>
      <w:r>
        <w:t xml:space="preserve">Multi-brand/multi-store rollup view — useful for founders running more than one D2C brand, or agencies managing several clients.</w:t>
      </w:r>
    </w:p>
    <w:p>
      <w:pPr>
        <w:pStyle w:val="ListParagraph"/>
        <w:numPr>
          <w:ilvl w:val="0"/>
          <w:numId w:val="1"/>
        </w:numPr>
        <w:spacing w:after="120" w:line="280"/>
      </w:pPr>
      <w:r>
        <w:t xml:space="preserve">White-label reporting export — lets marketing agencies use the tool for client reporting under their own brand, opening an entirely different sales channel (agencies, not just individual brands).</w:t>
      </w:r>
    </w:p>
    <w:p>
      <w:pPr>
        <w:pStyle w:val="ListParagraph"/>
        <w:numPr>
          <w:ilvl w:val="0"/>
          <w:numId w:val="1"/>
        </w:numPr>
        <w:spacing w:after="120" w:line="280"/>
      </w:pPr>
      <w:r>
        <w:t xml:space="preserve">Data warehouse export / API access — for larger customers who want to pipe the underlying data into their own BI stack rather than being locked into the dashboard.</w:t>
      </w:r>
    </w:p>
    <w:p>
      <w:pPr>
        <w:pStyle w:val="Heading2"/>
        <w:spacing w:after="150" w:before="300"/>
      </w:pPr>
      <w:r>
        <w:t xml:space="preserve">5.5 A note on sequencing</w:t>
      </w:r>
    </w:p>
    <w:p>
      <w:pPr>
        <w:spacing w:after="200" w:line="300"/>
      </w:pPr>
      <w:r>
        <w:rPr>
          <w:i/>
          <w:iCs/>
        </w:rPr>
        <w:t xml:space="preserve">Building all of this before validating demand would be a mistake — this list is deliberately long so you have options to prioritize with real customers, not a checklist to build blind. The single highest-leverage feature to prototype first, based on what makes competitors' reviewers rave (Polar Analytics' G2 reviews specifically praise plain-language insight), is probably the natural-language copilot — it's the most visible, demoable difference from "just another dashboard."</w:t>
      </w:r>
    </w:p>
    <w:p>
      <w:pPr>
        <w:pStyle w:val="Heading1"/>
        <w:spacing w:after="200" w:before="400"/>
      </w:pPr>
      <w:r>
        <w:t xml:space="preserve">6. Business Model &amp; Go-To-Market at Global Scale</w:t>
      </w:r>
    </w:p>
    <w:p>
      <w:pPr>
        <w:pStyle w:val="Heading2"/>
        <w:spacing w:after="150" w:before="300"/>
      </w:pPr>
      <w:r>
        <w:t xml:space="preserve">6.1 Pricing</w:t>
      </w:r>
    </w:p>
    <w:p>
      <w:pPr>
        <w:spacing w:after="200" w:line="300"/>
      </w:pPr>
      <w:r>
        <w:t xml:space="preserve">The India-first pricing in the pre-seed deck ($50–$300/month) was benchmarked against Triple Whale and Putler's real published tiers. At global scale, that same benchmark still roughly holds — Triple Whale's real range is $124–$375+/month — but multi-currency billing, regional payment processing (Stripe vs. Razorpay vs. Mercado Pago vs. GrabPay), and regional tax/VAT handling become real engineering and legal costs that don't exist in an India-only version.</w:t>
      </w:r>
    </w:p>
    <w:p>
      <w:pPr>
        <w:pStyle w:val="Heading2"/>
        <w:spacing w:after="150" w:before="300"/>
      </w:pPr>
      <w:r>
        <w:t xml:space="preserve">6.2 Go-to-market</w:t>
      </w:r>
    </w:p>
    <w:p>
      <w:pPr>
        <w:spacing w:after="200" w:line="300"/>
      </w:pPr>
      <w:r>
        <w:t xml:space="preserve">A global launch has no natural "first community" to reach through founder networks the way an India-first launch does through Indian D2C founder groups. Realistic global channels: Shopify App Store listing (works globally by default, no extra cost), content/SEO targeting specific pain points ("Shopify analytics for [country]"), and — if the emerging-market wedge hypothesis in Section 2.3 holds — repeating the same direct-founder-outreach playbook market by market, not all at once.</w:t>
      </w:r>
    </w:p>
    <w:p>
      <w:pPr>
        <w:pStyle w:val="Heading1"/>
        <w:spacing w:after="200" w:before="400"/>
      </w:pPr>
      <w:r>
        <w:t xml:space="preserve">7. Risk Register — Global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tblHeader/>
        </w:trPr>
        <w:tc>
          <w:tcPr>
            <w:tcW w:type="dxa" w:w="2200"/>
            <w:shd w:fill="2F3C7E" w:val="clear"/>
          </w:tcPr>
          <w:p>
            <w:r>
              <w:rPr>
                <w:b/>
                <w:bCs/>
                <w:color w:val="FFFFFF"/>
                <w:sz w:val="20"/>
                <w:szCs w:val="20"/>
              </w:rPr>
              <w:t xml:space="preserve">Risk</w:t>
            </w:r>
          </w:p>
        </w:tc>
        <w:tc>
          <w:tcPr>
            <w:tcW w:type="dxa" w:w="3200"/>
            <w:shd w:fill="2F3C7E" w:val="clear"/>
          </w:tcPr>
          <w:p>
            <w:r>
              <w:rPr>
                <w:b/>
                <w:bCs/>
                <w:color w:val="FFFFFF"/>
                <w:sz w:val="20"/>
                <w:szCs w:val="20"/>
              </w:rPr>
              <w:t xml:space="preserve">Why it's real</w:t>
            </w:r>
          </w:p>
        </w:tc>
        <w:tc>
          <w:tcPr>
            <w:tcW w:type="dxa" w:w="3626"/>
            <w:shd w:fill="2F3C7E" w:val="clear"/>
          </w:tcPr>
          <w:p>
            <w:r>
              <w:rPr>
                <w:b/>
                <w:bCs/>
                <w:color w:val="FFFFFF"/>
                <w:sz w:val="20"/>
                <w:szCs w:val="20"/>
              </w:rPr>
              <w:t xml:space="preserve">Mitigation</w:t>
            </w:r>
          </w:p>
        </w:tc>
      </w:tr>
      <w:tr>
        <w:tc>
          <w:tcPr>
            <w:tcW w:type="dxa" w:w="2200"/>
            <w:shd w:fill="FFFFFF" w:val="clear"/>
          </w:tcPr>
          <w:p>
            <w:pPr>
              <w:spacing w:after="60"/>
            </w:pPr>
            <w:r>
              <w:rPr>
                <w:sz w:val="20"/>
                <w:szCs w:val="20"/>
              </w:rPr>
              <w:t xml:space="preserve">Loses the one confirmed wedge</w:t>
            </w:r>
          </w:p>
        </w:tc>
        <w:tc>
          <w:tcPr>
            <w:tcW w:type="dxa" w:w="3200"/>
            <w:shd w:fill="FFFFFF" w:val="clear"/>
          </w:tcPr>
          <w:p>
            <w:pPr>
              <w:spacing w:after="60"/>
            </w:pPr>
            <w:r>
              <w:rPr>
                <w:sz w:val="20"/>
                <w:szCs w:val="20"/>
              </w:rPr>
              <w:t xml:space="preserve">India-gap is verified; global-gap is not</w:t>
            </w:r>
          </w:p>
        </w:tc>
        <w:tc>
          <w:tcPr>
            <w:tcW w:type="dxa" w:w="3626"/>
            <w:shd w:fill="FFFFFF" w:val="clear"/>
          </w:tcPr>
          <w:p>
            <w:pPr>
              <w:spacing w:after="60"/>
            </w:pPr>
            <w:r>
              <w:rPr>
                <w:sz w:val="20"/>
                <w:szCs w:val="20"/>
              </w:rPr>
              <w:t xml:space="preserve">Validate the emerging-market-payment-gap hypothesis directly before committing to "global" positioning</w:t>
            </w:r>
          </w:p>
        </w:tc>
      </w:tr>
      <w:tr>
        <w:tc>
          <w:tcPr>
            <w:tcW w:type="dxa" w:w="2200"/>
            <w:shd w:fill="F7F7F6" w:val="clear"/>
          </w:tcPr>
          <w:p>
            <w:pPr>
              <w:spacing w:after="60"/>
            </w:pPr>
            <w:r>
              <w:rPr>
                <w:sz w:val="20"/>
                <w:szCs w:val="20"/>
              </w:rPr>
              <w:t xml:space="preserve">Competing with funded incumbents on their turf</w:t>
            </w:r>
          </w:p>
        </w:tc>
        <w:tc>
          <w:tcPr>
            <w:tcW w:type="dxa" w:w="3200"/>
            <w:shd w:fill="F7F7F6" w:val="clear"/>
          </w:tcPr>
          <w:p>
            <w:pPr>
              <w:spacing w:after="60"/>
            </w:pPr>
            <w:r>
              <w:rPr>
                <w:sz w:val="20"/>
                <w:szCs w:val="20"/>
              </w:rPr>
              <w:t xml:space="preserve">Triple Whale already markets multi-currency support globally</w:t>
            </w:r>
          </w:p>
        </w:tc>
        <w:tc>
          <w:tcPr>
            <w:tcW w:type="dxa" w:w="3626"/>
            <w:shd w:fill="F7F7F6" w:val="clear"/>
          </w:tcPr>
          <w:p>
            <w:pPr>
              <w:spacing w:after="60"/>
            </w:pPr>
            <w:r>
              <w:rPr>
                <w:sz w:val="20"/>
                <w:szCs w:val="20"/>
              </w:rPr>
              <w:t xml:space="preserve">Pick a specific underserved segment (region, vertical, or workflow) rather than "everyone, everywhere"</w:t>
            </w:r>
          </w:p>
        </w:tc>
      </w:tr>
      <w:tr>
        <w:tc>
          <w:tcPr>
            <w:tcW w:type="dxa" w:w="2200"/>
            <w:shd w:fill="FFFFFF" w:val="clear"/>
          </w:tcPr>
          <w:p>
            <w:pPr>
              <w:spacing w:after="60"/>
            </w:pPr>
            <w:r>
              <w:rPr>
                <w:sz w:val="20"/>
                <w:szCs w:val="20"/>
              </w:rPr>
              <w:t xml:space="preserve">Multi-region compliance cost</w:t>
            </w:r>
          </w:p>
        </w:tc>
        <w:tc>
          <w:tcPr>
            <w:tcW w:type="dxa" w:w="3200"/>
            <w:shd w:fill="FFFFFF" w:val="clear"/>
          </w:tcPr>
          <w:p>
            <w:pPr>
              <w:spacing w:after="60"/>
            </w:pPr>
            <w:r>
              <w:rPr>
                <w:sz w:val="20"/>
                <w:szCs w:val="20"/>
              </w:rPr>
              <w:t xml:space="preserve">GDPR, CCPA, LGPD, and others apply simultaneously</w:t>
            </w:r>
          </w:p>
        </w:tc>
        <w:tc>
          <w:tcPr>
            <w:tcW w:type="dxa" w:w="3626"/>
            <w:shd w:fill="FFFFFF" w:val="clear"/>
          </w:tcPr>
          <w:p>
            <w:pPr>
              <w:spacing w:after="60"/>
            </w:pPr>
            <w:r>
              <w:rPr>
                <w:sz w:val="20"/>
                <w:szCs w:val="20"/>
              </w:rPr>
              <w:t xml:space="preserve">Sequence market entry so compliance work is incremental, not all at once</w:t>
            </w:r>
          </w:p>
        </w:tc>
      </w:tr>
      <w:tr>
        <w:tc>
          <w:tcPr>
            <w:tcW w:type="dxa" w:w="2200"/>
            <w:shd w:fill="F7F7F6" w:val="clear"/>
          </w:tcPr>
          <w:p>
            <w:pPr>
              <w:spacing w:after="60"/>
            </w:pPr>
            <w:r>
              <w:rPr>
                <w:sz w:val="20"/>
                <w:szCs w:val="20"/>
              </w:rPr>
              <w:t xml:space="preserve">Feature list scope creep</w:t>
            </w:r>
          </w:p>
        </w:tc>
        <w:tc>
          <w:tcPr>
            <w:tcW w:type="dxa" w:w="3200"/>
            <w:shd w:fill="F7F7F6" w:val="clear"/>
          </w:tcPr>
          <w:p>
            <w:pPr>
              <w:spacing w:after="60"/>
            </w:pPr>
            <w:r>
              <w:rPr>
                <w:sz w:val="20"/>
                <w:szCs w:val="20"/>
              </w:rPr>
              <w:t xml:space="preserve">Section 5's list is long and unvalidated</w:t>
            </w:r>
          </w:p>
        </w:tc>
        <w:tc>
          <w:tcPr>
            <w:tcW w:type="dxa" w:w="3626"/>
            <w:shd w:fill="F7F7F6" w:val="clear"/>
          </w:tcPr>
          <w:p>
            <w:pPr>
              <w:spacing w:after="60"/>
            </w:pPr>
            <w:r>
              <w:rPr>
                <w:sz w:val="20"/>
                <w:szCs w:val="20"/>
              </w:rPr>
              <w:t xml:space="preserve">Prioritize with real customer interviews before building more than a thin first version</w:t>
            </w:r>
          </w:p>
        </w:tc>
      </w:tr>
      <w:tr>
        <w:tc>
          <w:tcPr>
            <w:tcW w:type="dxa" w:w="2200"/>
            <w:shd w:fill="FFFFFF" w:val="clear"/>
          </w:tcPr>
          <w:p>
            <w:pPr>
              <w:spacing w:after="60"/>
            </w:pPr>
            <w:r>
              <w:rPr>
                <w:sz w:val="20"/>
                <w:szCs w:val="20"/>
              </w:rPr>
              <w:t xml:space="preserve">No natural first community</w:t>
            </w:r>
          </w:p>
        </w:tc>
        <w:tc>
          <w:tcPr>
            <w:tcW w:type="dxa" w:w="3200"/>
            <w:shd w:fill="FFFFFF" w:val="clear"/>
          </w:tcPr>
          <w:p>
            <w:pPr>
              <w:spacing w:after="60"/>
            </w:pPr>
            <w:r>
              <w:rPr>
                <w:sz w:val="20"/>
                <w:szCs w:val="20"/>
              </w:rPr>
              <w:t xml:space="preserve">Global has no single founder network to tap</w:t>
            </w:r>
          </w:p>
        </w:tc>
        <w:tc>
          <w:tcPr>
            <w:tcW w:type="dxa" w:w="3626"/>
            <w:shd w:fill="FFFFFF" w:val="clear"/>
          </w:tcPr>
          <w:p>
            <w:pPr>
              <w:spacing w:after="60"/>
            </w:pPr>
            <w:r>
              <w:rPr>
                <w:sz w:val="20"/>
                <w:szCs w:val="20"/>
              </w:rPr>
              <w:t xml:space="preserve">Fall back to a market-by-market repeat of the India playbook rather than a simultaneous global launch</w:t>
            </w:r>
          </w:p>
        </w:tc>
      </w:tr>
    </w:tbl>
    <w:p>
      <w:pPr>
        <w:pStyle w:val="Heading1"/>
        <w:spacing w:after="200" w:before="400"/>
      </w:pPr>
      <w:r>
        <w:t xml:space="preserve">8. Bottom Line</w:t>
      </w:r>
    </w:p>
    <w:p>
      <w:pPr>
        <w:spacing w:after="200" w:line="300"/>
      </w:pPr>
      <w:r>
        <w:rPr>
          <w:b/>
          <w:bCs/>
          <w:color w:val="F96167"/>
          <w:sz w:val="18"/>
          <w:szCs w:val="18"/>
        </w:rPr>
        <w:t xml:space="preserve"> [INFERENCE] </w:t>
      </w:r>
      <w:r>
        <w:rPr>
          <w:sz w:val="22"/>
          <w:szCs w:val="22"/>
        </w:rPr>
        <w:t xml:space="preserve">Global is a stronger story for a pitch deck and a weaker starting point for an actual solo-founder build. The honest recommendation: keep the India-first go-to-market and validation plan exactly as it is (the 10–20 founder interviews are still the very next step, unchanged by any of this), but design the product architecture from day one so it isn't hard-coded to India-only — generic currency/locale handling, a plug-in-style integration layer for payment/logistics providers — so that once the India wedge is proven, the same playbook can be repeated in one adjacent emerging market at a time, rather than needing to be rebuilt from scratch.</w:t>
      </w:r>
    </w:p>
    <w:p>
      <w:pPr>
        <w:spacing w:after="200" w:line="300"/>
      </w:pPr>
      <w:r>
        <w:t xml:space="preserve">That gets you the global ambition without giving up the one piece of evidence that currently makes this idea defensible.</w:t>
      </w:r>
    </w:p>
    <w:p>
      <w:pPr>
        <w:pStyle w:val="Heading1"/>
        <w:spacing w:after="200" w:before="400"/>
      </w:pPr>
      <w:r>
        <w:t xml:space="preserve">Sources</w:t>
      </w:r>
    </w:p>
    <w:p>
      <w:pPr>
        <w:spacing w:after="200" w:line="300"/>
      </w:pPr>
      <w:r>
        <w:rPr>
          <w:i/>
          <w:iCs/>
        </w:rPr>
        <w:t xml:space="preserve">Grand View Research — B2C E-commerce Market Size And Share Report, 2026–2033. Mordor Intelligence — India D2C E-commerce Market Analysis (2026). Triple Whale Help Center — currency support article. DealStreetAsia, TechCrunch, Tracxn — Plugo Series A coverage. G2 review pages and vendor pricing pages for Triple Whale, Polar Analytics, Northbeam, Rockerbox, Daasity, Glew.io, Lifesight, Putler (carried forward from the original India-focused research pass). All confidence tags reflect the discipline established in the Ecommerce Hub vault research: verified facts are independently confirmed via primary sources; vendor claims are marketing-only; inference is Claude's own synthesis, always flagged as such.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rFonts w:ascii="Cambria" w:cs="Cambria" w:eastAsia="Cambria" w:hAnsi="Cambria"/>
      <w:b/>
      <w:bCs/>
      <w:color w:val="2F3C7E"/>
      <w:sz w:val="32"/>
      <w:szCs w:val="32"/>
    </w:rPr>
  </w:style>
  <w:style w:type="paragraph" w:styleId="Heading2">
    <w:name w:val="Heading 2"/>
    <w:basedOn w:val="Normal"/>
    <w:next w:val="Normal"/>
    <w:qFormat/>
    <w:pPr>
      <w:spacing w:after="150" w:before="300"/>
    </w:pPr>
    <w:rPr>
      <w:rFonts w:ascii="Cambria" w:cs="Cambria" w:eastAsia="Cambria" w:hAnsi="Cambria"/>
      <w:b/>
      <w:bCs/>
      <w:color w:val="F9616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2026-08-29T17:00:16.824Z</dcterms:created>
  <dcterms:modified xsi:type="dcterms:W3CDTF">2026-08-29T17:00:16.824Z</dcterms:modified>
</cp:coreProperties>
</file>

<file path=docProps/custom.xml><?xml version="1.0" encoding="utf-8"?>
<Properties xmlns="http://schemas.openxmlformats.org/officeDocument/2006/custom-properties" xmlns:vt="http://schemas.openxmlformats.org/officeDocument/2006/docPropsVTypes"/>
</file>