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shd w:fill="1F2A5C" w:val="clear"/>
            <w:tcMar>
              <w:top w:type="dxa" w:w="3600"/>
              <w:left w:type="dxa" w:w="1200"/>
              <w:bottom w:type="dxa" w:w="3600"/>
              <w:right w:type="dxa" w:w="1200"/>
            </w:tcMar>
          </w:tcPr>
          <w:p>
            <w:pPr>
              <w:spacing w:after="240"/>
            </w:pPr>
            <w:r>
              <w:rPr>
                <w:rFonts w:ascii="Cambria" w:cs="Cambria" w:eastAsia="Cambria" w:hAnsi="Cambria"/>
                <w:b/>
                <w:bCs/>
                <w:color w:val="FFFFFF"/>
                <w:sz w:val="56"/>
                <w:szCs w:val="56"/>
              </w:rPr>
              <w:t xml:space="preserve">ECOMMERCE HUB</w:t>
            </w:r>
          </w:p>
          <w:p>
            <w:pPr>
              <w:pBdr>
                <w:bottom w:val="single" w:color="F96167" w:sz="4" w:space="12"/>
              </w:pBdr>
              <w:spacing w:after="160"/>
            </w:pPr>
            <w:r>
              <w:rPr>
                <w:b/>
                <w:bCs/>
                <w:color w:val="F9E795"/>
                <w:spacing w:val="30"/>
                <w:sz w:val="22"/>
                <w:szCs w:val="22"/>
              </w:rPr>
              <w:t xml:space="preserve">GOING GLOBAL</w:t>
            </w:r>
          </w:p>
          <w:p>
            <w:pPr>
              <w:spacing w:after="800"/>
            </w:pPr>
            <w:r>
              <w:rPr>
                <w:rFonts w:ascii="Cambria" w:cs="Cambria" w:eastAsia="Cambria" w:hAnsi="Cambria"/>
                <w:i/>
                <w:iCs/>
                <w:color w:val="D8DCF0"/>
                <w:sz w:val="30"/>
                <w:szCs w:val="30"/>
              </w:rPr>
              <w:t xml:space="preserve">Market, Competitors, Feature Roadmap &amp; an Honest Risk Assessment</w:t>
            </w:r>
          </w:p>
          <w:p>
            <w:pPr>
              <w:spacing w:after="120"/>
            </w:pPr>
            <w:r>
              <w:rPr>
                <w:color w:val="9AA3C7"/>
                <w:sz w:val="20"/>
                <w:szCs w:val="20"/>
              </w:rPr>
              <w:t xml:space="preserve">Prepared for Priyam  ·  August 2026</w:t>
            </w:r>
          </w:p>
          <w:p>
            <w:r>
              <w:rPr>
                <w:b/>
                <w:bCs/>
                <w:color w:val="FFFFFF"/>
                <w:sz w:val="16"/>
                <w:szCs w:val="16"/>
                <w:shd w:fill="1A7A3C" w:val="clear"/>
              </w:rPr>
              <w:t xml:space="preserve"> VERIFIED </w:t>
            </w:r>
            <w:r>
              <w:rPr>
                <w:color w:val="9AA3C7"/>
                <w:sz w:val="16"/>
                <w:szCs w:val="16"/>
              </w:rPr>
              <w:t xml:space="preserve">  independently confirmed source     </w:t>
            </w:r>
            <w:r>
              <w:rPr>
                <w:b/>
                <w:bCs/>
                <w:color w:val="FFFFFF"/>
                <w:sz w:val="16"/>
                <w:szCs w:val="16"/>
                <w:shd w:fill="B8860B" w:val="clear"/>
              </w:rPr>
              <w:t xml:space="preserve"> VENDOR CLAIM </w:t>
            </w:r>
            <w:r>
              <w:rPr>
                <w:color w:val="9AA3C7"/>
                <w:sz w:val="16"/>
                <w:szCs w:val="16"/>
              </w:rPr>
              <w:t xml:space="preserve">  company's own marketing     </w:t>
            </w:r>
            <w:r>
              <w:rPr>
                <w:b/>
                <w:bCs/>
                <w:color w:val="FFFFFF"/>
                <w:sz w:val="16"/>
                <w:szCs w:val="16"/>
                <w:shd w:fill="F96167" w:val="clear"/>
              </w:rPr>
              <w:t xml:space="preserve"> INFERENCE </w:t>
            </w:r>
            <w:r>
              <w:rPr>
                <w:color w:val="9AA3C7"/>
                <w:sz w:val="16"/>
                <w:szCs w:val="16"/>
              </w:rPr>
              <w:t xml:space="preserve">  original synthesis, not a sourced fact</w:t>
            </w:r>
          </w:p>
        </w:tc>
      </w:tr>
    </w:tbl>
    <w:p>
      <w:pPr>
        <w:sectPr>
          <w:pgSz w:w="12240" w:h="15840" w:orient="portrait"/>
          <w:pgMar w:top="0" w:right="0" w:bottom="0" w:left="0" w:header="708" w:footer="708" w:gutter="0"/>
          <w:pgNumType/>
          <w:docGrid w:linePitch="360"/>
        </w:sectPr>
      </w:pPr>
    </w:p>
    <w:p>
      <w:pPr>
        <w:pStyle w:val="Heading1"/>
        <w:pBdr>
          <w:top w:val="single" w:color="F96167" w:sz="14" w:space="8"/>
        </w:pBdr>
        <w:spacing w:after="40" w:before="420"/>
      </w:pPr>
      <w:r>
        <w:rPr>
          <w:rFonts w:ascii="Cambria" w:cs="Cambria" w:eastAsia="Cambria" w:hAnsi="Cambria"/>
          <w:b/>
          <w:bCs/>
          <w:color w:val="2F3C7E"/>
          <w:sz w:val="32"/>
          <w:szCs w:val="32"/>
        </w:rPr>
        <w:t xml:space="preserve">Executive Summary</w:t>
      </w:r>
    </w:p>
    <w:p>
      <w:pPr>
        <w:spacing w:after="200" w:line="300"/>
      </w:pPr>
      <w:r>
        <w:rPr>
          <w:color w:val="1B1F3B"/>
        </w:rPr>
        <w:t xml:space="preserve">You asked for three things: research this as a global product instead of an India-first one, add features I think would make it more attractive, and put it all in one detailed, easy-to-scan report — including a proper phased plan that starts with India immersion. Here it is, most important finding first, not buried at the end.</w:t>
      </w:r>
    </w:p>
    <w:p>
      <w:pPr>
        <w:spacing w:after="200" w:line="300"/>
      </w:pPr>
      <w:r>
        <w:rPr>
          <w:b/>
          <w:bCs/>
          <w:color w:val="FFFFFF"/>
          <w:sz w:val="17"/>
          <w:szCs w:val="17"/>
          <w:shd w:fill="F96167" w:val="clear"/>
        </w:rPr>
        <w:t xml:space="preserve"> INFERENCE </w:t>
      </w:r>
      <w:r>
        <w:rPr>
          <w:sz w:val="22"/>
          <w:szCs w:val="22"/>
        </w:rPr>
        <w:t xml:space="preserve">  Going global trades away the one verified, defensible advantage this idea currently has. The India-native gap (no major global tool supports Razorpay or Indian logistics) is a specific, source-confirmed hole in the market. "Global" has no equivalent confirmed hole — the same big, funded players already claim to serve the whole world.</w:t>
      </w:r>
    </w:p>
    <w:p>
      <w:pPr>
        <w:spacing w:after="200" w:line="300"/>
      </w:pPr>
      <w:r>
        <w:rPr>
          <w:color w:val="1B1F3B"/>
        </w:rPr>
        <w:t xml:space="preserve">That doesn't mean don't do it — it means sequencing matters. Section 2 lays out why. Section 8 turns that into the actual phased roadmap: India immersion first, global earned later, not assumed up front.</w:t>
      </w:r>
    </w:p>
    <w:p>
      <w:pPr>
        <w:pStyle w:val="Heading1"/>
        <w:pBdr>
          <w:top w:val="single" w:color="F96167" w:sz="14" w:space="8"/>
        </w:pBdr>
        <w:spacing w:after="40" w:before="420"/>
      </w:pPr>
      <w:r>
        <w:rPr>
          <w:rFonts w:ascii="Cambria" w:cs="Cambria" w:eastAsia="Cambria" w:hAnsi="Cambria"/>
          <w:b/>
          <w:bCs/>
          <w:color w:val="2F3C7E"/>
          <w:sz w:val="32"/>
          <w:szCs w:val="32"/>
        </w:rPr>
        <w:t xml:space="preserve">2. The Global Pivot — What Actually Changes</w:t>
      </w:r>
    </w:p>
    <w:p>
      <w:pPr>
        <w:pStyle w:val="Heading2"/>
        <w:spacing w:after="140" w:before="280"/>
      </w:pPr>
      <w:r>
        <w:rPr>
          <w:rFonts w:ascii="Cambria" w:cs="Cambria" w:eastAsia="Cambria" w:hAnsi="Cambria"/>
          <w:b/>
          <w:bCs/>
          <w:color w:val="F96167"/>
          <w:sz w:val="26"/>
          <w:szCs w:val="26"/>
        </w:rPr>
        <w:t xml:space="preserve">2.1 What you lose</w:t>
      </w:r>
    </w:p>
    <w:p>
      <w:pPr>
        <w:spacing w:after="200" w:line="300"/>
      </w:pPr>
      <w:r>
        <w:rPr>
          <w:color w:val="1B1F3B"/>
        </w:rPr>
        <w:t xml:space="preserve">Checking Triple Whale's own integration documentation directly confirmed it has zero support for Razorpay or any Indian logistics carrier — the same is true of Polar Analytics, Northbeam, Rockerbox, Daasity, and Glew. That is a real, checkable hole, and the reason "India-first" has a genuine answer to "why can't a customer just use Triple Whale."</w:t>
      </w:r>
    </w:p>
    <w:p>
      <w:pPr>
        <w:spacing w:after="200" w:line="300"/>
      </w:pPr>
      <w:r>
        <w:rPr>
          <w:b/>
          <w:bCs/>
          <w:color w:val="FFFFFF"/>
          <w:sz w:val="17"/>
          <w:szCs w:val="17"/>
          <w:shd w:fill="1A7A3C" w:val="clear"/>
        </w:rPr>
        <w:t xml:space="preserve"> VERIFIED </w:t>
      </w:r>
      <w:r>
        <w:rPr>
          <w:sz w:val="22"/>
          <w:szCs w:val="22"/>
        </w:rPr>
        <w:t xml:space="preserve">  "Global" does not have an equivalent hole. Triple Whale's own help center explicitly states it supports foreign currencies with automatic conversion — it already actively markets itself as usable outside the US.</w:t>
      </w:r>
    </w:p>
    <w:p>
      <w:pPr>
        <w:pStyle w:val="Heading2"/>
        <w:spacing w:after="140" w:before="280"/>
      </w:pPr>
      <w:r>
        <w:rPr>
          <w:rFonts w:ascii="Cambria" w:cs="Cambria" w:eastAsia="Cambria" w:hAnsi="Cambria"/>
          <w:b/>
          <w:bCs/>
          <w:color w:val="F96167"/>
          <w:sz w:val="26"/>
          <w:szCs w:val="26"/>
        </w:rPr>
        <w:t xml:space="preserve">2.2 What you gain</w:t>
      </w:r>
    </w:p>
    <w:p>
      <w:pPr>
        <w:spacing w:after="200" w:line="300"/>
      </w:pPr>
      <w:r>
        <w:rPr>
          <w:color w:val="1B1F3B"/>
        </w:rPr>
        <w:t xml:space="preserve">A much bigger total addressable market to point to (Section 3), and a product not capped by one country's growth rate. It also trades the DPDP Act for GDPR, CCPA, LGPD, and others simultaneously — a real cost, not a footnote.</w:t>
      </w:r>
    </w:p>
    <w:p>
      <w:pPr>
        <w:pStyle w:val="Heading2"/>
        <w:spacing w:after="140" w:before="280"/>
      </w:pPr>
      <w:r>
        <w:rPr>
          <w:rFonts w:ascii="Cambria" w:cs="Cambria" w:eastAsia="Cambria" w:hAnsi="Cambria"/>
          <w:b/>
          <w:bCs/>
          <w:color w:val="F96167"/>
          <w:sz w:val="26"/>
          <w:szCs w:val="26"/>
        </w:rPr>
        <w:t xml:space="preserve">2.3 The honest middle path</w:t>
      </w:r>
    </w:p>
    <w:p>
      <w:pPr>
        <w:spacing w:after="200" w:line="300"/>
      </w:pPr>
      <w:r>
        <w:rPr>
          <w:b/>
          <w:bCs/>
          <w:color w:val="FFFFFF"/>
          <w:sz w:val="17"/>
          <w:szCs w:val="17"/>
          <w:shd w:fill="F96167" w:val="clear"/>
        </w:rPr>
        <w:t xml:space="preserve"> INFERENCE </w:t>
      </w:r>
      <w:r>
        <w:rPr>
          <w:sz w:val="22"/>
          <w:szCs w:val="22"/>
        </w:rPr>
        <w:t xml:space="preserve">  The same kind of gap that exists for India — a major local payment/logistics ecosystem the big global tools don't integrate — plausibly exists elsewhere too: Mercado Pago in Latin America, GrabPay and J&amp;T Express in Southeast Asia, Klarna/iDEAL in parts of Europe. This was NOT independently confirmed in this research pass — it is a hypothesis to validate directly, not a finding to build on yet.</w:t>
      </w:r>
    </w:p>
    <w:p>
      <w:pPr>
        <w:pStyle w:val="Heading1"/>
        <w:pBdr>
          <w:top w:val="single" w:color="F96167" w:sz="14" w:space="8"/>
        </w:pBdr>
        <w:spacing w:after="40" w:before="420"/>
      </w:pPr>
      <w:r>
        <w:rPr>
          <w:rFonts w:ascii="Cambria" w:cs="Cambria" w:eastAsia="Cambria" w:hAnsi="Cambria"/>
          <w:b/>
          <w:bCs/>
          <w:color w:val="2F3C7E"/>
          <w:sz w:val="32"/>
          <w:szCs w:val="32"/>
        </w:rPr>
        <w:t xml:space="preserve">3. Market Opportunity — India Now, Global Later</w:t>
      </w:r>
    </w:p>
    <w:p>
      <w:pPr>
        <w:spacing w:after="200" w:line="300"/>
      </w:pPr>
      <w:r>
        <w:rPr>
          <w:color w:val="1B1F3B"/>
        </w:rPr>
        <w:t xml:space="preserve">Both numbers below describe a category that is still taking shape, not one already won by a single incumbent. None of the eight competitors in Section 4 is more than a handful of years old, and no player has consolidated either the India or the global segment yet — the argument for entering now is that the market is already large and still forming, not large and already settled.</w:t>
      </w:r>
    </w:p>
    <w:p>
      <w:pPr>
        <w:pStyle w:val="Heading2"/>
        <w:spacing w:after="140" w:before="280"/>
      </w:pPr>
      <w:r>
        <w:rPr>
          <w:rFonts w:ascii="Cambria" w:cs="Cambria" w:eastAsia="Cambria" w:hAnsi="Cambria"/>
          <w:b/>
          <w:bCs/>
          <w:color w:val="F96167"/>
          <w:sz w:val="26"/>
          <w:szCs w:val="26"/>
        </w:rPr>
        <w:t xml:space="preserve">3.1 India, today's focus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F7F7F6" w:val="clear"/>
            <w:tcMar>
              <w:top w:type="dxa" w:w="160"/>
              <w:left w:type="dxa" w:w="160"/>
              <w:bottom w:type="dxa" w:w="160"/>
              <w:right w:type="dxa" w:w="160"/>
            </w:tcMar>
          </w:tcPr>
          <w:p>
            <w:pPr>
              <w:spacing w:after="60"/>
            </w:pPr>
            <w:r>
              <w:rPr>
                <w:rFonts w:ascii="Cambria" w:cs="Cambria" w:eastAsia="Cambria" w:hAnsi="Cambria"/>
                <w:b/>
                <w:bCs/>
                <w:color w:val="2F3C7E"/>
                <w:sz w:val="34"/>
                <w:szCs w:val="34"/>
              </w:rPr>
              <w:t xml:space="preserve">$108.76B</w:t>
            </w:r>
          </w:p>
          <w:p>
            <w:r>
              <w:rPr>
                <w:color w:val="6B7280"/>
                <w:sz w:val="17"/>
                <w:szCs w:val="17"/>
              </w:rPr>
              <w:t xml:space="preserve">India D2C market, 2026</w:t>
            </w:r>
          </w:p>
        </w:tc>
        <w:tc>
          <w:tcPr>
            <w:tcW w:type="dxa" w:w="3008"/>
            <w:shd w:fill="F7F7F6" w:val="clear"/>
            <w:tcMar>
              <w:top w:type="dxa" w:w="160"/>
              <w:left w:type="dxa" w:w="160"/>
              <w:bottom w:type="dxa" w:w="160"/>
              <w:right w:type="dxa" w:w="160"/>
            </w:tcMar>
          </w:tcPr>
          <w:p>
            <w:pPr>
              <w:spacing w:after="60"/>
            </w:pPr>
            <w:r>
              <w:rPr>
                <w:rFonts w:ascii="Cambria" w:cs="Cambria" w:eastAsia="Cambria" w:hAnsi="Cambria"/>
                <w:b/>
                <w:bCs/>
                <w:color w:val="2F3C7E"/>
                <w:sz w:val="34"/>
                <w:szCs w:val="34"/>
              </w:rPr>
              <w:t xml:space="preserve">24.3%</w:t>
            </w:r>
          </w:p>
          <w:p>
            <w:r>
              <w:rPr>
                <w:color w:val="6B7280"/>
                <w:sz w:val="17"/>
                <w:szCs w:val="17"/>
              </w:rPr>
              <w:t xml:space="preserve">CAGR through 2031</w:t>
            </w:r>
          </w:p>
        </w:tc>
        <w:tc>
          <w:tcPr>
            <w:tcW w:type="dxa" w:w="3008"/>
            <w:shd w:fill="F7F7F6" w:val="clear"/>
            <w:tcMar>
              <w:top w:type="dxa" w:w="160"/>
              <w:left w:type="dxa" w:w="160"/>
              <w:bottom w:type="dxa" w:w="160"/>
              <w:right w:type="dxa" w:w="160"/>
            </w:tcMar>
          </w:tcPr>
          <w:p>
            <w:pPr>
              <w:spacing w:after="60"/>
            </w:pPr>
            <w:r>
              <w:rPr>
                <w:rFonts w:ascii="Cambria" w:cs="Cambria" w:eastAsia="Cambria" w:hAnsi="Cambria"/>
                <w:b/>
                <w:bCs/>
                <w:color w:val="2F3C7E"/>
                <w:sz w:val="34"/>
                <w:szCs w:val="34"/>
              </w:rPr>
              <w:t xml:space="preserve">$322.1B</w:t>
            </w:r>
          </w:p>
          <w:p>
            <w:r>
              <w:rPr>
                <w:color w:val="6B7280"/>
                <w:sz w:val="17"/>
                <w:szCs w:val="17"/>
              </w:rPr>
              <w:t xml:space="preserve">Projected India market, 2031</w:t>
            </w:r>
          </w:p>
        </w:tc>
      </w:tr>
    </w:tbl>
    <w:p>
      <w:pPr>
        <w:spacing w:after="120"/>
      </w:pPr>
    </w:p>
    <w:p>
      <w:pPr>
        <w:spacing w:after="100"/>
      </w:pPr>
      <w:r>
        <w:drawing>
          <wp:inline distT="0" distB="0" distL="0" distR="0">
            <wp:extent cx="603504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35040" cy="3108960"/>
                    </a:xfrm>
                    <a:prstGeom prst="rect">
                      <a:avLst/>
                    </a:prstGeom>
                  </pic:spPr>
                </pic:pic>
              </a:graphicData>
            </a:graphic>
          </wp:inline>
        </w:drawing>
      </w:r>
    </w:p>
    <w:p>
      <w:pPr>
        <w:spacing w:after="260"/>
      </w:pPr>
      <w:r>
        <w:rPr>
          <w:i/>
          <w:iCs/>
          <w:color w:val="6B7280"/>
          <w:sz w:val="17"/>
          <w:szCs w:val="17"/>
        </w:rPr>
        <w:t xml:space="preserve">Modeled from the two verified endpoints (2026, 2031) using Mordor Intelligence's 24.3% CAGR — not a year-by-year reported figure.</w:t>
      </w:r>
    </w:p>
    <w:p>
      <w:pPr>
        <w:pStyle w:val="Heading2"/>
        <w:spacing w:after="140" w:before="280"/>
      </w:pPr>
      <w:r>
        <w:rPr>
          <w:rFonts w:ascii="Cambria" w:cs="Cambria" w:eastAsia="Cambria" w:hAnsi="Cambria"/>
          <w:b/>
          <w:bCs/>
          <w:color w:val="F96167"/>
          <w:sz w:val="26"/>
          <w:szCs w:val="26"/>
        </w:rPr>
        <w:t xml:space="preserve">3.2 Global, the category this grows into</w:t>
      </w:r>
    </w:p>
    <w:p>
      <w:pPr>
        <w:spacing w:after="100"/>
      </w:pPr>
      <w:r>
        <w:drawing>
          <wp:inline distT="0" distB="0" distL="0" distR="0">
            <wp:extent cx="603504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5040" cy="3108960"/>
                    </a:xfrm>
                    <a:prstGeom prst="rect">
                      <a:avLst/>
                    </a:prstGeom>
                  </pic:spPr>
                </pic:pic>
              </a:graphicData>
            </a:graphic>
          </wp:inline>
        </w:drawing>
      </w:r>
    </w:p>
    <w:p>
      <w:pPr>
        <w:spacing w:after="260"/>
      </w:pPr>
      <w:r>
        <w:rPr>
          <w:i/>
          <w:iCs/>
          <w:color w:val="6B7280"/>
          <w:sz w:val="17"/>
          <w:szCs w:val="17"/>
        </w:rPr>
        <w:t xml:space="preserve">Modeled from Grand View Research's verified 2026 ($8.5T) and 2033 ($33.5T) endpoints at a 21.7% CAGR. This is the broader B2C ecommerce figure, not a D2C-only or software-spend figure — treat as directional context, not a validated SaaS TAM.</w:t>
      </w:r>
    </w:p>
    <w:p>
      <w:pPr>
        <w:pStyle w:val="Heading1"/>
        <w:pBdr>
          <w:top w:val="single" w:color="F96167" w:sz="14" w:space="8"/>
        </w:pBdr>
        <w:spacing w:after="40" w:before="420"/>
      </w:pPr>
      <w:r>
        <w:rPr>
          <w:rFonts w:ascii="Cambria" w:cs="Cambria" w:eastAsia="Cambria" w:hAnsi="Cambria"/>
          <w:b/>
          <w:bCs/>
          <w:color w:val="2F3C7E"/>
          <w:sz w:val="32"/>
          <w:szCs w:val="32"/>
        </w:rPr>
        <w:t xml:space="preserve">4. Global Competitive Landscape</w:t>
      </w:r>
    </w:p>
    <w:p>
      <w:pPr>
        <w:pStyle w:val="Heading2"/>
        <w:spacing w:after="140" w:before="280"/>
      </w:pPr>
      <w:r>
        <w:rPr>
          <w:rFonts w:ascii="Cambria" w:cs="Cambria" w:eastAsia="Cambria" w:hAnsi="Cambria"/>
          <w:b/>
          <w:bCs/>
          <w:color w:val="F96167"/>
          <w:sz w:val="26"/>
          <w:szCs w:val="26"/>
        </w:rPr>
        <w:t xml:space="preserve">4.1 The established global players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126"/>
        <w:gridCol w:w="2300"/>
      </w:tblGrid>
      <w:tr>
        <w:trPr>
          <w:tblHeader/>
        </w:trPr>
        <w:tc>
          <w:tcPr>
            <w:tcW w:type="dxa" w:w="1600"/>
            <w:shd w:fill="2F3C7E" w:val="clear"/>
            <w:vAlign w:val="center"/>
          </w:tcPr>
          <w:p>
            <w:r>
              <w:rPr>
                <w:b/>
                <w:bCs/>
                <w:color w:val="FFFFFF"/>
                <w:sz w:val="20"/>
                <w:szCs w:val="20"/>
              </w:rPr>
              <w:t xml:space="preserve">Company</w:t>
            </w:r>
          </w:p>
        </w:tc>
        <w:tc>
          <w:tcPr>
            <w:tcW w:type="dxa" w:w="3000"/>
            <w:shd w:fill="2F3C7E" w:val="clear"/>
            <w:vAlign w:val="center"/>
          </w:tcPr>
          <w:p>
            <w:r>
              <w:rPr>
                <w:b/>
                <w:bCs/>
                <w:color w:val="FFFFFF"/>
                <w:sz w:val="20"/>
                <w:szCs w:val="20"/>
              </w:rPr>
              <w:t xml:space="preserve">Flagship offering</w:t>
            </w:r>
          </w:p>
        </w:tc>
        <w:tc>
          <w:tcPr>
            <w:tcW w:type="dxa" w:w="2126"/>
            <w:shd w:fill="2F3C7E" w:val="clear"/>
            <w:vAlign w:val="center"/>
          </w:tcPr>
          <w:p>
            <w:r>
              <w:rPr>
                <w:b/>
                <w:bCs/>
                <w:color w:val="FFFFFF"/>
                <w:sz w:val="20"/>
                <w:szCs w:val="20"/>
              </w:rPr>
              <w:t xml:space="preserve">Verified pricing / signal</w:t>
            </w:r>
          </w:p>
        </w:tc>
        <w:tc>
          <w:tcPr>
            <w:tcW w:type="dxa" w:w="2300"/>
            <w:shd w:fill="2F3C7E" w:val="clear"/>
            <w:vAlign w:val="center"/>
          </w:tcPr>
          <w:p>
            <w:r>
              <w:rPr>
                <w:b/>
                <w:bCs/>
                <w:color w:val="FFFFFF"/>
                <w:sz w:val="20"/>
                <w:szCs w:val="20"/>
              </w:rPr>
              <w:t xml:space="preserve">Multi-region support</w:t>
            </w:r>
          </w:p>
        </w:tc>
      </w:tr>
      <w:tr>
        <w:tc>
          <w:tcPr>
            <w:tcW w:type="dxa" w:w="1600"/>
            <w:shd w:fill="FFFFFF" w:val="clear"/>
          </w:tcPr>
          <w:p>
            <w:pPr>
              <w:spacing w:after="60"/>
            </w:pPr>
            <w:r>
              <w:rPr>
                <w:sz w:val="20"/>
                <w:szCs w:val="20"/>
              </w:rPr>
              <w:t xml:space="preserve">Triple Whale</w:t>
            </w:r>
          </w:p>
        </w:tc>
        <w:tc>
          <w:tcPr>
            <w:tcW w:type="dxa" w:w="3000"/>
            <w:shd w:fill="FFFFFF" w:val="clear"/>
          </w:tcPr>
          <w:p>
            <w:pPr>
              <w:spacing w:after="60"/>
            </w:pPr>
            <w:r>
              <w:rPr>
                <w:sz w:val="20"/>
                <w:szCs w:val="20"/>
              </w:rPr>
              <w:t xml:space="preserve">Cross-channel attribution + AI assistant ("Willy")</w:t>
            </w:r>
          </w:p>
        </w:tc>
        <w:tc>
          <w:tcPr>
            <w:tcW w:type="dxa" w:w="2126"/>
            <w:shd w:fill="FFFFFF" w:val="clear"/>
          </w:tcPr>
          <w:p>
            <w:pPr>
              <w:spacing w:after="60"/>
            </w:pPr>
            <w:r>
              <w:rPr>
                <w:sz w:val="20"/>
                <w:szCs w:val="20"/>
              </w:rPr>
              <w:t xml:space="preserve">$124–$375+/mo (G2)</w:t>
            </w:r>
          </w:p>
        </w:tc>
        <w:tc>
          <w:tcPr>
            <w:tcW w:type="dxa" w:w="2300"/>
            <w:shd w:fill="FFFFFF" w:val="clear"/>
          </w:tcPr>
          <w:p>
            <w:pPr>
              <w:spacing w:after="60"/>
            </w:pPr>
            <w:r>
              <w:rPr>
                <w:sz w:val="20"/>
                <w:szCs w:val="20"/>
              </w:rPr>
              <w:t xml:space="preserve">Multi-currency confirmed [VERIFIED]</w:t>
            </w:r>
          </w:p>
        </w:tc>
      </w:tr>
      <w:tr>
        <w:tc>
          <w:tcPr>
            <w:tcW w:type="dxa" w:w="1600"/>
            <w:shd w:fill="F7F7F6" w:val="clear"/>
          </w:tcPr>
          <w:p>
            <w:pPr>
              <w:spacing w:after="60"/>
            </w:pPr>
            <w:r>
              <w:rPr>
                <w:sz w:val="20"/>
                <w:szCs w:val="20"/>
              </w:rPr>
              <w:t xml:space="preserve">Polar Analytics</w:t>
            </w:r>
          </w:p>
        </w:tc>
        <w:tc>
          <w:tcPr>
            <w:tcW w:type="dxa" w:w="3000"/>
            <w:shd w:fill="F7F7F6" w:val="clear"/>
          </w:tcPr>
          <w:p>
            <w:pPr>
              <w:spacing w:after="60"/>
            </w:pPr>
            <w:r>
              <w:rPr>
                <w:sz w:val="20"/>
                <w:szCs w:val="20"/>
              </w:rPr>
              <w:t xml:space="preserve">AI-analytics, dedicated Snowflake DB per customer</w:t>
            </w:r>
          </w:p>
        </w:tc>
        <w:tc>
          <w:tcPr>
            <w:tcW w:type="dxa" w:w="2126"/>
            <w:shd w:fill="F7F7F6" w:val="clear"/>
          </w:tcPr>
          <w:p>
            <w:pPr>
              <w:spacing w:after="60"/>
            </w:pPr>
            <w:r>
              <w:rPr>
                <w:sz w:val="20"/>
                <w:szCs w:val="20"/>
              </w:rPr>
              <w:t xml:space="preserve">Sales-gated pricing</w:t>
            </w:r>
          </w:p>
        </w:tc>
        <w:tc>
          <w:tcPr>
            <w:tcW w:type="dxa" w:w="2300"/>
            <w:shd w:fill="F7F7F6" w:val="clear"/>
          </w:tcPr>
          <w:p>
            <w:pPr>
              <w:spacing w:after="60"/>
            </w:pPr>
            <w:r>
              <w:rPr>
                <w:sz w:val="20"/>
                <w:szCs w:val="20"/>
              </w:rPr>
              <w:t xml:space="preserve">Not confirmed either way</w:t>
            </w:r>
          </w:p>
        </w:tc>
      </w:tr>
      <w:tr>
        <w:tc>
          <w:tcPr>
            <w:tcW w:type="dxa" w:w="1600"/>
            <w:shd w:fill="FFFFFF" w:val="clear"/>
          </w:tcPr>
          <w:p>
            <w:pPr>
              <w:spacing w:after="60"/>
            </w:pPr>
            <w:r>
              <w:rPr>
                <w:sz w:val="20"/>
                <w:szCs w:val="20"/>
              </w:rPr>
              <w:t xml:space="preserve">Northbeam</w:t>
            </w:r>
          </w:p>
        </w:tc>
        <w:tc>
          <w:tcPr>
            <w:tcW w:type="dxa" w:w="3000"/>
            <w:shd w:fill="FFFFFF" w:val="clear"/>
          </w:tcPr>
          <w:p>
            <w:pPr>
              <w:spacing w:after="60"/>
            </w:pPr>
            <w:r>
              <w:rPr>
                <w:sz w:val="20"/>
                <w:szCs w:val="20"/>
              </w:rPr>
              <w:t xml:space="preserve">Attribution / media-mix modeling</w:t>
            </w:r>
          </w:p>
        </w:tc>
        <w:tc>
          <w:tcPr>
            <w:tcW w:type="dxa" w:w="2126"/>
            <w:shd w:fill="FFFFFF" w:val="clear"/>
          </w:tcPr>
          <w:p>
            <w:pPr>
              <w:spacing w:after="60"/>
            </w:pPr>
            <w:r>
              <w:rPr>
                <w:sz w:val="20"/>
                <w:szCs w:val="20"/>
              </w:rPr>
              <w:t xml:space="preserve">Series A, $15M raised</w:t>
            </w:r>
          </w:p>
        </w:tc>
        <w:tc>
          <w:tcPr>
            <w:tcW w:type="dxa" w:w="2300"/>
            <w:shd w:fill="FFFFFF" w:val="clear"/>
          </w:tcPr>
          <w:p>
            <w:pPr>
              <w:spacing w:after="60"/>
            </w:pPr>
            <w:r>
              <w:rPr>
                <w:sz w:val="20"/>
                <w:szCs w:val="20"/>
              </w:rPr>
              <w:t xml:space="preserve">Not confirmed either way</w:t>
            </w:r>
          </w:p>
        </w:tc>
      </w:tr>
      <w:tr>
        <w:tc>
          <w:tcPr>
            <w:tcW w:type="dxa" w:w="1600"/>
            <w:shd w:fill="F7F7F6" w:val="clear"/>
          </w:tcPr>
          <w:p>
            <w:pPr>
              <w:spacing w:after="60"/>
            </w:pPr>
            <w:r>
              <w:rPr>
                <w:sz w:val="20"/>
                <w:szCs w:val="20"/>
              </w:rPr>
              <w:t xml:space="preserve">Rockerbox</w:t>
            </w:r>
          </w:p>
        </w:tc>
        <w:tc>
          <w:tcPr>
            <w:tcW w:type="dxa" w:w="3000"/>
            <w:shd w:fill="F7F7F6" w:val="clear"/>
          </w:tcPr>
          <w:p>
            <w:pPr>
              <w:spacing w:after="60"/>
            </w:pPr>
            <w:r>
              <w:rPr>
                <w:sz w:val="20"/>
                <w:szCs w:val="20"/>
              </w:rPr>
              <w:t xml:space="preserve">Attribution, larger ad-spend accounts</w:t>
            </w:r>
          </w:p>
        </w:tc>
        <w:tc>
          <w:tcPr>
            <w:tcW w:type="dxa" w:w="2126"/>
            <w:shd w:fill="F7F7F6" w:val="clear"/>
          </w:tcPr>
          <w:p>
            <w:pPr>
              <w:spacing w:after="60"/>
            </w:pPr>
            <w:r>
              <w:rPr>
                <w:sz w:val="20"/>
                <w:szCs w:val="20"/>
              </w:rPr>
              <w:t xml:space="preserve">G2: 47 reviews, 4.6/5</w:t>
            </w:r>
          </w:p>
        </w:tc>
        <w:tc>
          <w:tcPr>
            <w:tcW w:type="dxa" w:w="2300"/>
            <w:shd w:fill="F7F7F6" w:val="clear"/>
          </w:tcPr>
          <w:p>
            <w:pPr>
              <w:spacing w:after="60"/>
            </w:pPr>
            <w:r>
              <w:rPr>
                <w:sz w:val="20"/>
                <w:szCs w:val="20"/>
              </w:rPr>
              <w:t xml:space="preserve">Not confirmed either way</w:t>
            </w:r>
          </w:p>
        </w:tc>
      </w:tr>
      <w:tr>
        <w:tc>
          <w:tcPr>
            <w:tcW w:type="dxa" w:w="1600"/>
            <w:shd w:fill="FFFFFF" w:val="clear"/>
          </w:tcPr>
          <w:p>
            <w:pPr>
              <w:spacing w:after="60"/>
            </w:pPr>
            <w:r>
              <w:rPr>
                <w:sz w:val="20"/>
                <w:szCs w:val="20"/>
              </w:rPr>
              <w:t xml:space="preserve">Daasity</w:t>
            </w:r>
          </w:p>
        </w:tc>
        <w:tc>
          <w:tcPr>
            <w:tcW w:type="dxa" w:w="3000"/>
            <w:shd w:fill="FFFFFF" w:val="clear"/>
          </w:tcPr>
          <w:p>
            <w:pPr>
              <w:spacing w:after="60"/>
            </w:pPr>
            <w:r>
              <w:rPr>
                <w:sz w:val="20"/>
                <w:szCs w:val="20"/>
              </w:rPr>
              <w:t xml:space="preserve">DataOps/BI, omnichannel (Shopify+Amazon+retail)</w:t>
            </w:r>
          </w:p>
        </w:tc>
        <w:tc>
          <w:tcPr>
            <w:tcW w:type="dxa" w:w="2126"/>
            <w:shd w:fill="FFFFFF" w:val="clear"/>
          </w:tcPr>
          <w:p>
            <w:pPr>
              <w:spacing w:after="60"/>
            </w:pPr>
            <w:r>
              <w:rPr>
                <w:sz w:val="20"/>
                <w:szCs w:val="20"/>
              </w:rPr>
              <w:t xml:space="preserve">G2: 17 reviews, 4.7/5</w:t>
            </w:r>
          </w:p>
        </w:tc>
        <w:tc>
          <w:tcPr>
            <w:tcW w:type="dxa" w:w="2300"/>
            <w:shd w:fill="FFFFFF" w:val="clear"/>
          </w:tcPr>
          <w:p>
            <w:pPr>
              <w:spacing w:after="60"/>
            </w:pPr>
            <w:r>
              <w:rPr>
                <w:sz w:val="20"/>
                <w:szCs w:val="20"/>
              </w:rPr>
              <w:t xml:space="preserve">Not confirmed either way</w:t>
            </w:r>
          </w:p>
        </w:tc>
      </w:tr>
      <w:tr>
        <w:tc>
          <w:tcPr>
            <w:tcW w:type="dxa" w:w="1600"/>
            <w:shd w:fill="F7F7F6" w:val="clear"/>
          </w:tcPr>
          <w:p>
            <w:pPr>
              <w:spacing w:after="60"/>
            </w:pPr>
            <w:r>
              <w:rPr>
                <w:sz w:val="20"/>
                <w:szCs w:val="20"/>
              </w:rPr>
              <w:t xml:space="preserve">Glew.io</w:t>
            </w:r>
          </w:p>
        </w:tc>
        <w:tc>
          <w:tcPr>
            <w:tcW w:type="dxa" w:w="3000"/>
            <w:shd w:fill="F7F7F6" w:val="clear"/>
          </w:tcPr>
          <w:p>
            <w:pPr>
              <w:spacing w:after="60"/>
            </w:pPr>
            <w:r>
              <w:rPr>
                <w:sz w:val="20"/>
                <w:szCs w:val="20"/>
              </w:rPr>
              <w:t xml:space="preserve">"Commerce Data Cloud", 170+ integrations claimed</w:t>
            </w:r>
          </w:p>
        </w:tc>
        <w:tc>
          <w:tcPr>
            <w:tcW w:type="dxa" w:w="2126"/>
            <w:shd w:fill="F7F7F6" w:val="clear"/>
          </w:tcPr>
          <w:p>
            <w:pPr>
              <w:spacing w:after="60"/>
            </w:pPr>
            <w:r>
              <w:rPr>
                <w:sz w:val="20"/>
                <w:szCs w:val="20"/>
              </w:rPr>
              <w:t xml:space="preserve">G2: 57 reviews, 4.0/5</w:t>
            </w:r>
          </w:p>
        </w:tc>
        <w:tc>
          <w:tcPr>
            <w:tcW w:type="dxa" w:w="2300"/>
            <w:shd w:fill="F7F7F6" w:val="clear"/>
          </w:tcPr>
          <w:p>
            <w:pPr>
              <w:spacing w:after="60"/>
            </w:pPr>
            <w:r>
              <w:rPr>
                <w:sz w:val="20"/>
                <w:szCs w:val="20"/>
              </w:rPr>
              <w:t xml:space="preserve">Not confirmed either way</w:t>
            </w:r>
          </w:p>
        </w:tc>
      </w:tr>
      <w:tr>
        <w:tc>
          <w:tcPr>
            <w:tcW w:type="dxa" w:w="1600"/>
            <w:shd w:fill="FFFFFF" w:val="clear"/>
          </w:tcPr>
          <w:p>
            <w:pPr>
              <w:spacing w:after="60"/>
            </w:pPr>
            <w:r>
              <w:rPr>
                <w:sz w:val="20"/>
                <w:szCs w:val="20"/>
              </w:rPr>
              <w:t xml:space="preserve">Lifesight</w:t>
            </w:r>
          </w:p>
        </w:tc>
        <w:tc>
          <w:tcPr>
            <w:tcW w:type="dxa" w:w="3000"/>
            <w:shd w:fill="FFFFFF" w:val="clear"/>
          </w:tcPr>
          <w:p>
            <w:pPr>
              <w:spacing w:after="60"/>
            </w:pPr>
            <w:r>
              <w:rPr>
                <w:sz w:val="20"/>
                <w:szCs w:val="20"/>
              </w:rPr>
              <w:t xml:space="preserve">Agentic unified marketing measurement, MMM</w:t>
            </w:r>
          </w:p>
        </w:tc>
        <w:tc>
          <w:tcPr>
            <w:tcW w:type="dxa" w:w="2126"/>
            <w:shd w:fill="FFFFFF" w:val="clear"/>
          </w:tcPr>
          <w:p>
            <w:pPr>
              <w:spacing w:after="60"/>
            </w:pPr>
            <w:r>
              <w:rPr>
                <w:sz w:val="20"/>
                <w:szCs w:val="20"/>
              </w:rPr>
              <w:t xml:space="preserve">G2: 37 reviews, 4.2/5</w:t>
            </w:r>
          </w:p>
        </w:tc>
        <w:tc>
          <w:tcPr>
            <w:tcW w:type="dxa" w:w="2300"/>
            <w:shd w:fill="FFFFFF" w:val="clear"/>
          </w:tcPr>
          <w:p>
            <w:pPr>
              <w:spacing w:after="60"/>
            </w:pPr>
            <w:r>
              <w:rPr>
                <w:sz w:val="20"/>
                <w:szCs w:val="20"/>
              </w:rPr>
              <w:t xml:space="preserve">India/APAC roots [VERIFIED origin]</w:t>
            </w:r>
          </w:p>
        </w:tc>
      </w:tr>
      <w:tr>
        <w:tc>
          <w:tcPr>
            <w:tcW w:type="dxa" w:w="1600"/>
            <w:shd w:fill="F7F7F6" w:val="clear"/>
          </w:tcPr>
          <w:p>
            <w:pPr>
              <w:spacing w:after="60"/>
            </w:pPr>
            <w:r>
              <w:rPr>
                <w:sz w:val="20"/>
                <w:szCs w:val="20"/>
              </w:rPr>
              <w:t xml:space="preserve">Putler</w:t>
            </w:r>
          </w:p>
        </w:tc>
        <w:tc>
          <w:tcPr>
            <w:tcW w:type="dxa" w:w="3000"/>
            <w:shd w:fill="F7F7F6" w:val="clear"/>
          </w:tcPr>
          <w:p>
            <w:pPr>
              <w:spacing w:after="60"/>
            </w:pPr>
            <w:r>
              <w:rPr>
                <w:sz w:val="20"/>
                <w:szCs w:val="20"/>
              </w:rPr>
              <w:t xml:space="preserve">Multichannel BI, revenue-tiered</w:t>
            </w:r>
          </w:p>
        </w:tc>
        <w:tc>
          <w:tcPr>
            <w:tcW w:type="dxa" w:w="2126"/>
            <w:shd w:fill="F7F7F6" w:val="clear"/>
          </w:tcPr>
          <w:p>
            <w:pPr>
              <w:spacing w:after="60"/>
            </w:pPr>
            <w:r>
              <w:rPr>
                <w:sz w:val="20"/>
                <w:szCs w:val="20"/>
              </w:rPr>
              <w:t xml:space="preserve">$20–$750/mo (own site)</w:t>
            </w:r>
          </w:p>
        </w:tc>
        <w:tc>
          <w:tcPr>
            <w:tcW w:type="dxa" w:w="2300"/>
            <w:shd w:fill="F7F7F6" w:val="clear"/>
          </w:tcPr>
          <w:p>
            <w:pPr>
              <w:spacing w:after="60"/>
            </w:pPr>
            <w:r>
              <w:rPr>
                <w:sz w:val="20"/>
                <w:szCs w:val="20"/>
              </w:rPr>
              <w:t xml:space="preserve">Claims native Razorpay; inconsistent with own pricing [flagged]</w:t>
            </w:r>
          </w:p>
        </w:tc>
      </w:tr>
    </w:tbl>
    <w:p>
      <w:pPr>
        <w:pStyle w:val="Heading2"/>
        <w:spacing w:after="140" w:before="280"/>
      </w:pPr>
      <w:r>
        <w:rPr>
          <w:rFonts w:ascii="Cambria" w:cs="Cambria" w:eastAsia="Cambria" w:hAnsi="Cambria"/>
          <w:b/>
          <w:bCs/>
          <w:color w:val="F96167"/>
          <w:sz w:val="26"/>
          <w:szCs w:val="26"/>
        </w:rPr>
        <w:t xml:space="preserve">4.2 Regional coverage check</w:t>
      </w:r>
    </w:p>
    <w:p>
      <w:pPr>
        <w:spacing w:after="200" w:line="300"/>
      </w:pPr>
      <w:r>
        <w:rPr>
          <w:b/>
          <w:bCs/>
          <w:color w:val="FFFFFF"/>
          <w:sz w:val="17"/>
          <w:szCs w:val="17"/>
          <w:shd w:fill="1A7A3C" w:val="clear"/>
        </w:rPr>
        <w:t xml:space="preserve"> VERIFIED </w:t>
      </w:r>
      <w:r>
        <w:rPr>
          <w:sz w:val="22"/>
          <w:szCs w:val="22"/>
        </w:rPr>
        <w:t xml:space="preserve">  Southeast Asia: Plugo (Singapore) is real and funded — $9M Series A led by Altos Ventures, Dec 2022 (DealStreetAsia, TechCrunch, Tracxn). It's an ecommerce enabler (storefront + fulfillment, some analytics), not a pure analytics dashboard — adjacent, not head-to-head.</w:t>
      </w:r>
    </w:p>
    <w:p>
      <w:pPr>
        <w:spacing w:after="200" w:line="300"/>
      </w:pPr>
      <w:r>
        <w:rPr>
          <w:b/>
          <w:bCs/>
          <w:color w:val="FFFFFF"/>
          <w:sz w:val="17"/>
          <w:szCs w:val="17"/>
          <w:shd w:fill="F96167" w:val="clear"/>
        </w:rPr>
        <w:t xml:space="preserve"> HONEST GAP </w:t>
      </w:r>
      <w:r>
        <w:rPr>
          <w:sz w:val="22"/>
          <w:szCs w:val="22"/>
        </w:rPr>
        <w:t xml:space="preserve">  Latin America, Europe (UK/Germany/France), Middle East: no dedicated D2C analytics competitor found. Absence of evidence is not evidence of an empty, winnable market — it may mean under-documented markets, not open ones. Needs direct local research before being treated as "open territory."</w:t>
      </w:r>
    </w:p>
    <w:p>
      <w:pPr>
        <w:pStyle w:val="Heading1"/>
        <w:pBdr>
          <w:top w:val="single" w:color="F96167" w:sz="14" w:space="8"/>
        </w:pBdr>
        <w:spacing w:after="40" w:before="420"/>
      </w:pPr>
      <w:r>
        <w:rPr>
          <w:rFonts w:ascii="Cambria" w:cs="Cambria" w:eastAsia="Cambria" w:hAnsi="Cambria"/>
          <w:b/>
          <w:bCs/>
          <w:color w:val="2F3C7E"/>
          <w:sz w:val="32"/>
          <w:szCs w:val="32"/>
        </w:rPr>
        <w:t xml:space="preserve">5. Recommended Feature Set &amp; Product Vision</w:t>
      </w:r>
    </w:p>
    <w:p>
      <w:pPr>
        <w:spacing w:after="200" w:line="300"/>
      </w:pPr>
      <w:r>
        <w:rPr>
          <w:b/>
          <w:bCs/>
          <w:color w:val="FFFFFF"/>
          <w:sz w:val="17"/>
          <w:szCs w:val="17"/>
          <w:shd w:fill="F96167" w:val="clear"/>
        </w:rPr>
        <w:t xml:space="preserve"> INFERENCE </w:t>
      </w:r>
      <w:r>
        <w:rPr>
          <w:sz w:val="22"/>
          <w:szCs w:val="22"/>
        </w:rPr>
        <w:t xml:space="preserve">  Everything below is product judgment on what makes analytics/BI tools genuinely sticky — a prioritization menu for real founder conversations, not a committed roadmap or something already user-validated.</w:t>
      </w:r>
    </w:p>
    <w:p>
      <w:pPr>
        <w:pStyle w:val="Heading2"/>
        <w:spacing w:after="140" w:before="280"/>
      </w:pPr>
      <w:r>
        <w:rPr>
          <w:rFonts w:ascii="Cambria" w:cs="Cambria" w:eastAsia="Cambria" w:hAnsi="Cambria"/>
          <w:b/>
          <w:bCs/>
          <w:color w:val="F96167"/>
          <w:sz w:val="26"/>
          <w:szCs w:val="26"/>
        </w:rPr>
        <w:t xml:space="preserve">5.1 Intelligence layer</w:t>
      </w:r>
    </w:p>
    <w:p>
      <w:pPr>
        <w:pStyle w:val="ListParagraph"/>
        <w:numPr>
          <w:ilvl w:val="0"/>
          <w:numId w:val="1"/>
        </w:numPr>
        <w:spacing w:after="120" w:line="280"/>
      </w:pPr>
      <w:r>
        <w:t xml:space="preserve">Private, brand-trained AI model — the flagship long-term differentiator. Instead of a generic model answering from public data, this is trained continuously on each brand's own sales, inventory, and customer history. It moves the product from "here's what happened" to "here's what to do next": which SKUs to discount before they go stale, which channel is under- or over-funded, which customer cohort is about to churn and what offer might save them. The model gets sharper the longer a brand stays on the platform — a data flywheel that's genuinely hard for a dashboard-only competitor to copy. This is a build target for the India Scale phase (Section 8), not a feature live today.</w:t>
      </w:r>
    </w:p>
    <w:p>
      <w:pPr>
        <w:pStyle w:val="ListParagraph"/>
        <w:numPr>
          <w:ilvl w:val="0"/>
          <w:numId w:val="1"/>
        </w:numPr>
        <w:spacing w:after="120" w:line="280"/>
      </w:pPr>
      <w:r>
        <w:t xml:space="preserve">Natural-language copilot — ask a question ("why did CAC spike Tuesday"), get an answer, not another chart. The fastest, most demoable step toward the brand-trained AI above, and the single most likely feature to make the product feel alive to non-technical founders.</w:t>
      </w:r>
    </w:p>
    <w:p>
      <w:pPr>
        <w:pStyle w:val="ListParagraph"/>
        <w:numPr>
          <w:ilvl w:val="0"/>
          <w:numId w:val="1"/>
        </w:numPr>
        <w:spacing w:after="120" w:line="280"/>
      </w:pPr>
      <w:r>
        <w:t xml:space="preserve">Proactive anomaly alerts pushed to WhatsApp, Slack, or email — the product should flag problems before you notice them yourself.</w:t>
      </w:r>
    </w:p>
    <w:p>
      <w:pPr>
        <w:pStyle w:val="ListParagraph"/>
        <w:numPr>
          <w:ilvl w:val="0"/>
          <w:numId w:val="1"/>
        </w:numPr>
        <w:spacing w:after="120" w:line="280"/>
      </w:pPr>
      <w:r>
        <w:t xml:space="preserve">Forecasting — near-term revenue, inventory stockout risk, CAC trend projections.</w:t>
      </w:r>
    </w:p>
    <w:p>
      <w:pPr>
        <w:pStyle w:val="ListParagraph"/>
        <w:numPr>
          <w:ilvl w:val="0"/>
          <w:numId w:val="1"/>
        </w:numPr>
        <w:spacing w:after="120" w:line="280"/>
      </w:pPr>
      <w:r>
        <w:t xml:space="preserve">Anonymized industry benchmarking — a genuinely hard-to-copy data moat once you have enough customers.</w:t>
      </w:r>
    </w:p>
    <w:p>
      <w:pPr>
        <w:pStyle w:val="Heading2"/>
        <w:spacing w:after="140" w:before="280"/>
      </w:pPr>
      <w:r>
        <w:rPr>
          <w:rFonts w:ascii="Cambria" w:cs="Cambria" w:eastAsia="Cambria" w:hAnsi="Cambria"/>
          <w:b/>
          <w:bCs/>
          <w:color w:val="F96167"/>
          <w:sz w:val="26"/>
          <w:szCs w:val="26"/>
        </w:rPr>
        <w:t xml:space="preserve">5.2 Growth &amp; marketing depth</w:t>
      </w:r>
    </w:p>
    <w:p>
      <w:pPr>
        <w:pStyle w:val="ListParagraph"/>
        <w:numPr>
          <w:ilvl w:val="0"/>
          <w:numId w:val="1"/>
        </w:numPr>
        <w:spacing w:after="120" w:line="280"/>
      </w:pPr>
      <w:r>
        <w:t xml:space="preserve">Creative fatigue detection tied to spend recommendations.</w:t>
      </w:r>
    </w:p>
    <w:p>
      <w:pPr>
        <w:pStyle w:val="ListParagraph"/>
        <w:numPr>
          <w:ilvl w:val="0"/>
          <w:numId w:val="1"/>
        </w:numPr>
        <w:spacing w:after="120" w:line="280"/>
      </w:pPr>
      <w:r>
        <w:t xml:space="preserve">Cohort and RFM segmentation with retention curves — critical for repeat-purchase or subscription brands.</w:t>
      </w:r>
    </w:p>
    <w:p>
      <w:pPr>
        <w:pStyle w:val="ListParagraph"/>
        <w:numPr>
          <w:ilvl w:val="0"/>
          <w:numId w:val="1"/>
        </w:numPr>
        <w:spacing w:after="120" w:line="280"/>
      </w:pPr>
      <w:r>
        <w:t xml:space="preserve">Influencer and affiliate ROI tracking — a growing, poorly-served spend category.</w:t>
      </w:r>
    </w:p>
    <w:p>
      <w:pPr>
        <w:pStyle w:val="ListParagraph"/>
        <w:numPr>
          <w:ilvl w:val="0"/>
          <w:numId w:val="1"/>
        </w:numPr>
        <w:spacing w:after="120" w:line="280"/>
      </w:pPr>
      <w:r>
        <w:t xml:space="preserve">Social commerce unification — TikTok Shop, Instagram Shop, Facebook Shop in one funnel view.</w:t>
      </w:r>
    </w:p>
    <w:p>
      <w:pPr>
        <w:pStyle w:val="Heading2"/>
        <w:spacing w:after="140" w:before="280"/>
      </w:pPr>
      <w:r>
        <w:rPr>
          <w:rFonts w:ascii="Cambria" w:cs="Cambria" w:eastAsia="Cambria" w:hAnsi="Cambria"/>
          <w:b/>
          <w:bCs/>
          <w:color w:val="F96167"/>
          <w:sz w:val="26"/>
          <w:szCs w:val="26"/>
        </w:rPr>
        <w:t xml:space="preserve">5.3 Operations &amp; trust</w:t>
      </w:r>
    </w:p>
    <w:p>
      <w:pPr>
        <w:pStyle w:val="ListParagraph"/>
        <w:numPr>
          <w:ilvl w:val="0"/>
          <w:numId w:val="1"/>
        </w:numPr>
        <w:spacing w:after="120" w:line="280"/>
      </w:pPr>
      <w:r>
        <w:t xml:space="preserve">Root-cause RTO/return/chargeback analysis — the India RTO idea generalized to any high-COD or high-return category.</w:t>
      </w:r>
    </w:p>
    <w:p>
      <w:pPr>
        <w:pStyle w:val="ListParagraph"/>
        <w:numPr>
          <w:ilvl w:val="0"/>
          <w:numId w:val="1"/>
        </w:numPr>
        <w:spacing w:after="120" w:line="280"/>
      </w:pPr>
      <w:r>
        <w:t xml:space="preserve">Customer 360 view — on-site behavior, WhatsApp/email, and support tickets in one timeline.</w:t>
      </w:r>
    </w:p>
    <w:p>
      <w:pPr>
        <w:pStyle w:val="ListParagraph"/>
        <w:numPr>
          <w:ilvl w:val="0"/>
          <w:numId w:val="1"/>
        </w:numPr>
        <w:spacing w:after="120" w:line="280"/>
      </w:pPr>
      <w:r>
        <w:t xml:space="preserve">Auto-generated weekly board report export (PDF/slide) — saves manual reporting work.</w:t>
      </w:r>
    </w:p>
    <w:p>
      <w:pPr>
        <w:pStyle w:val="Heading2"/>
        <w:spacing w:after="140" w:before="280"/>
      </w:pPr>
      <w:r>
        <w:rPr>
          <w:rFonts w:ascii="Cambria" w:cs="Cambria" w:eastAsia="Cambria" w:hAnsi="Cambria"/>
          <w:b/>
          <w:bCs/>
          <w:color w:val="F96167"/>
          <w:sz w:val="26"/>
          <w:szCs w:val="26"/>
        </w:rPr>
        <w:t xml:space="preserve">5.4 Scale &amp; collaboration</w:t>
      </w:r>
    </w:p>
    <w:p>
      <w:pPr>
        <w:pStyle w:val="ListParagraph"/>
        <w:numPr>
          <w:ilvl w:val="0"/>
          <w:numId w:val="1"/>
        </w:numPr>
        <w:spacing w:after="120" w:line="280"/>
      </w:pPr>
      <w:r>
        <w:t xml:space="preserve">Multi-brand/multi-store rollup for founders or agencies running more than one brand.</w:t>
      </w:r>
    </w:p>
    <w:p>
      <w:pPr>
        <w:pStyle w:val="ListParagraph"/>
        <w:numPr>
          <w:ilvl w:val="0"/>
          <w:numId w:val="1"/>
        </w:numPr>
        <w:spacing w:after="120" w:line="280"/>
      </w:pPr>
      <w:r>
        <w:t xml:space="preserve">White-label reporting — opens agencies as an entirely separate sales channel.</w:t>
      </w:r>
    </w:p>
    <w:p>
      <w:pPr>
        <w:pStyle w:val="ListParagraph"/>
        <w:numPr>
          <w:ilvl w:val="0"/>
          <w:numId w:val="1"/>
        </w:numPr>
        <w:spacing w:after="120" w:line="280"/>
      </w:pPr>
      <w:r>
        <w:t xml:space="preserve">Data warehouse export / API access for larger customers who want their own BI stack.</w:t>
      </w:r>
    </w:p>
    <w:p>
      <w:pPr>
        <w:spacing w:after="200" w:line="300"/>
      </w:pPr>
      <w:r>
        <w:rPr>
          <w:i/>
          <w:iCs/>
          <w:color w:val="1B1F3B"/>
        </w:rPr>
        <w:t xml:space="preserve">Highest-leverage feature to prototype first: the natural-language copilot — the most visible, demoable difference from "just another dashboard," and the exact thing Polar Analytics' own reviewers praise.</w:t>
      </w:r>
    </w:p>
    <w:p>
      <w:pPr>
        <w:pStyle w:val="Heading1"/>
        <w:pBdr>
          <w:top w:val="single" w:color="F96167" w:sz="14" w:space="8"/>
        </w:pBdr>
        <w:spacing w:after="40" w:before="420"/>
      </w:pPr>
      <w:r>
        <w:rPr>
          <w:rFonts w:ascii="Cambria" w:cs="Cambria" w:eastAsia="Cambria" w:hAnsi="Cambria"/>
          <w:b/>
          <w:bCs/>
          <w:color w:val="2F3C7E"/>
          <w:sz w:val="32"/>
          <w:szCs w:val="32"/>
        </w:rPr>
        <w:t xml:space="preserve">6. Business Model &amp; Go-To-Market at Global Scale</w:t>
      </w:r>
    </w:p>
    <w:p>
      <w:pPr>
        <w:spacing w:after="200" w:line="300"/>
      </w:pPr>
      <w:r>
        <w:rPr>
          <w:color w:val="1B1F3B"/>
        </w:rPr>
        <w:t xml:space="preserve">The India-first pricing ($50–$300/month) was benchmarked against Triple Whale and Putler's real published tiers, and roughly holds globally — but multi-currency billing, regional payment processing (Stripe vs. Razorpay vs. Mercado Pago vs. GrabPay), and regional tax/VAT handling become real engineering and legal costs that don't exist in an India-only version.</w:t>
      </w:r>
    </w:p>
    <w:p>
      <w:pPr>
        <w:spacing w:after="200" w:line="300"/>
      </w:pPr>
      <w:r>
        <w:rPr>
          <w:color w:val="1B1F3B"/>
        </w:rPr>
        <w:t xml:space="preserve">A global launch has no natural "first community" the way India-first has Indian D2C founder groups. Realistic global channels: Shopify App Store (global by default), SEO targeting country-specific pain points, and — if the emerging-market hypothesis in 2.3 holds — repeating the direct-founder-outreach playbook market by market.</w:t>
      </w:r>
    </w:p>
    <w:p>
      <w:pPr>
        <w:pStyle w:val="Heading1"/>
        <w:pBdr>
          <w:top w:val="single" w:color="F96167" w:sz="14" w:space="8"/>
        </w:pBdr>
        <w:spacing w:after="40" w:before="420"/>
      </w:pPr>
      <w:r>
        <w:rPr>
          <w:rFonts w:ascii="Cambria" w:cs="Cambria" w:eastAsia="Cambria" w:hAnsi="Cambria"/>
          <w:b/>
          <w:bCs/>
          <w:color w:val="2F3C7E"/>
          <w:sz w:val="32"/>
          <w:szCs w:val="32"/>
        </w:rPr>
        <w:t xml:space="preserve">7. Risk Register — Global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shd w:fill="2F3C7E" w:val="clear"/>
            <w:vAlign w:val="center"/>
          </w:tcPr>
          <w:p>
            <w:r>
              <w:rPr>
                <w:b/>
                <w:bCs/>
                <w:color w:val="FFFFFF"/>
                <w:sz w:val="20"/>
                <w:szCs w:val="20"/>
              </w:rPr>
              <w:t xml:space="preserve">Risk</w:t>
            </w:r>
          </w:p>
        </w:tc>
        <w:tc>
          <w:tcPr>
            <w:tcW w:type="dxa" w:w="3200"/>
            <w:shd w:fill="2F3C7E" w:val="clear"/>
            <w:vAlign w:val="center"/>
          </w:tcPr>
          <w:p>
            <w:r>
              <w:rPr>
                <w:b/>
                <w:bCs/>
                <w:color w:val="FFFFFF"/>
                <w:sz w:val="20"/>
                <w:szCs w:val="20"/>
              </w:rPr>
              <w:t xml:space="preserve">Why it's real</w:t>
            </w:r>
          </w:p>
        </w:tc>
        <w:tc>
          <w:tcPr>
            <w:tcW w:type="dxa" w:w="3626"/>
            <w:shd w:fill="2F3C7E" w:val="clear"/>
            <w:vAlign w:val="center"/>
          </w:tcPr>
          <w:p>
            <w:r>
              <w:rPr>
                <w:b/>
                <w:bCs/>
                <w:color w:val="FFFFFF"/>
                <w:sz w:val="20"/>
                <w:szCs w:val="20"/>
              </w:rPr>
              <w:t xml:space="preserve">Mitigation</w:t>
            </w:r>
          </w:p>
        </w:tc>
      </w:tr>
      <w:tr>
        <w:tc>
          <w:tcPr>
            <w:tcW w:type="dxa" w:w="2200"/>
            <w:shd w:fill="FFFFFF" w:val="clear"/>
          </w:tcPr>
          <w:p>
            <w:pPr>
              <w:spacing w:after="60"/>
            </w:pPr>
            <w:r>
              <w:rPr>
                <w:sz w:val="20"/>
                <w:szCs w:val="20"/>
              </w:rPr>
              <w:t xml:space="preserve">Loses the one confirmed wedge</w:t>
            </w:r>
          </w:p>
        </w:tc>
        <w:tc>
          <w:tcPr>
            <w:tcW w:type="dxa" w:w="3200"/>
            <w:shd w:fill="FFFFFF" w:val="clear"/>
          </w:tcPr>
          <w:p>
            <w:pPr>
              <w:spacing w:after="60"/>
            </w:pPr>
            <w:r>
              <w:rPr>
                <w:sz w:val="20"/>
                <w:szCs w:val="20"/>
              </w:rPr>
              <w:t xml:space="preserve">India-gap is verified; global-gap is not</w:t>
            </w:r>
          </w:p>
        </w:tc>
        <w:tc>
          <w:tcPr>
            <w:tcW w:type="dxa" w:w="3626"/>
            <w:shd w:fill="FFFFFF" w:val="clear"/>
          </w:tcPr>
          <w:p>
            <w:pPr>
              <w:spacing w:after="60"/>
            </w:pPr>
            <w:r>
              <w:rPr>
                <w:sz w:val="20"/>
                <w:szCs w:val="20"/>
              </w:rPr>
              <w:t xml:space="preserve">Validate the emerging-market-payment-gap hypothesis directly before positioning as "global"</w:t>
            </w:r>
          </w:p>
        </w:tc>
      </w:tr>
      <w:tr>
        <w:tc>
          <w:tcPr>
            <w:tcW w:type="dxa" w:w="2200"/>
            <w:shd w:fill="F7F7F6" w:val="clear"/>
          </w:tcPr>
          <w:p>
            <w:pPr>
              <w:spacing w:after="60"/>
            </w:pPr>
            <w:r>
              <w:rPr>
                <w:sz w:val="20"/>
                <w:szCs w:val="20"/>
              </w:rPr>
              <w:t xml:space="preserve">Competing with funded incumbents on their turf</w:t>
            </w:r>
          </w:p>
        </w:tc>
        <w:tc>
          <w:tcPr>
            <w:tcW w:type="dxa" w:w="3200"/>
            <w:shd w:fill="F7F7F6" w:val="clear"/>
          </w:tcPr>
          <w:p>
            <w:pPr>
              <w:spacing w:after="60"/>
            </w:pPr>
            <w:r>
              <w:rPr>
                <w:sz w:val="20"/>
                <w:szCs w:val="20"/>
              </w:rPr>
              <w:t xml:space="preserve">Triple Whale already markets multi-currency support globally</w:t>
            </w:r>
          </w:p>
        </w:tc>
        <w:tc>
          <w:tcPr>
            <w:tcW w:type="dxa" w:w="3626"/>
            <w:shd w:fill="F7F7F6" w:val="clear"/>
          </w:tcPr>
          <w:p>
            <w:pPr>
              <w:spacing w:after="60"/>
            </w:pPr>
            <w:r>
              <w:rPr>
                <w:sz w:val="20"/>
                <w:szCs w:val="20"/>
              </w:rPr>
              <w:t xml:space="preserve">Pick a specific underserved segment rather than "everyone, everywhere"</w:t>
            </w:r>
          </w:p>
        </w:tc>
      </w:tr>
      <w:tr>
        <w:tc>
          <w:tcPr>
            <w:tcW w:type="dxa" w:w="2200"/>
            <w:shd w:fill="FFFFFF" w:val="clear"/>
          </w:tcPr>
          <w:p>
            <w:pPr>
              <w:spacing w:after="60"/>
            </w:pPr>
            <w:r>
              <w:rPr>
                <w:sz w:val="20"/>
                <w:szCs w:val="20"/>
              </w:rPr>
              <w:t xml:space="preserve">Multi-region compliance cost</w:t>
            </w:r>
          </w:p>
        </w:tc>
        <w:tc>
          <w:tcPr>
            <w:tcW w:type="dxa" w:w="3200"/>
            <w:shd w:fill="FFFFFF" w:val="clear"/>
          </w:tcPr>
          <w:p>
            <w:pPr>
              <w:spacing w:after="60"/>
            </w:pPr>
            <w:r>
              <w:rPr>
                <w:sz w:val="20"/>
                <w:szCs w:val="20"/>
              </w:rPr>
              <w:t xml:space="preserve">GDPR, CCPA, LGPD apply simultaneously</w:t>
            </w:r>
          </w:p>
        </w:tc>
        <w:tc>
          <w:tcPr>
            <w:tcW w:type="dxa" w:w="3626"/>
            <w:shd w:fill="FFFFFF" w:val="clear"/>
          </w:tcPr>
          <w:p>
            <w:pPr>
              <w:spacing w:after="60"/>
            </w:pPr>
            <w:r>
              <w:rPr>
                <w:sz w:val="20"/>
                <w:szCs w:val="20"/>
              </w:rPr>
              <w:t xml:space="preserve">Sequence market entry so compliance work is incremental</w:t>
            </w:r>
          </w:p>
        </w:tc>
      </w:tr>
      <w:tr>
        <w:tc>
          <w:tcPr>
            <w:tcW w:type="dxa" w:w="2200"/>
            <w:shd w:fill="F7F7F6" w:val="clear"/>
          </w:tcPr>
          <w:p>
            <w:pPr>
              <w:spacing w:after="60"/>
            </w:pPr>
            <w:r>
              <w:rPr>
                <w:sz w:val="20"/>
                <w:szCs w:val="20"/>
              </w:rPr>
              <w:t xml:space="preserve">Feature list scope creep</w:t>
            </w:r>
          </w:p>
        </w:tc>
        <w:tc>
          <w:tcPr>
            <w:tcW w:type="dxa" w:w="3200"/>
            <w:shd w:fill="F7F7F6" w:val="clear"/>
          </w:tcPr>
          <w:p>
            <w:pPr>
              <w:spacing w:after="60"/>
            </w:pPr>
            <w:r>
              <w:rPr>
                <w:sz w:val="20"/>
                <w:szCs w:val="20"/>
              </w:rPr>
              <w:t xml:space="preserve">Section 5's list is long and unvalidated</w:t>
            </w:r>
          </w:p>
        </w:tc>
        <w:tc>
          <w:tcPr>
            <w:tcW w:type="dxa" w:w="3626"/>
            <w:shd w:fill="F7F7F6" w:val="clear"/>
          </w:tcPr>
          <w:p>
            <w:pPr>
              <w:spacing w:after="60"/>
            </w:pPr>
            <w:r>
              <w:rPr>
                <w:sz w:val="20"/>
                <w:szCs w:val="20"/>
              </w:rPr>
              <w:t xml:space="preserve">Prioritize with real customer interviews before building more than a thin first version</w:t>
            </w:r>
          </w:p>
        </w:tc>
      </w:tr>
      <w:tr>
        <w:tc>
          <w:tcPr>
            <w:tcW w:type="dxa" w:w="2200"/>
            <w:shd w:fill="FFFFFF" w:val="clear"/>
          </w:tcPr>
          <w:p>
            <w:pPr>
              <w:spacing w:after="60"/>
            </w:pPr>
            <w:r>
              <w:rPr>
                <w:sz w:val="20"/>
                <w:szCs w:val="20"/>
              </w:rPr>
              <w:t xml:space="preserve">No natural first community</w:t>
            </w:r>
          </w:p>
        </w:tc>
        <w:tc>
          <w:tcPr>
            <w:tcW w:type="dxa" w:w="3200"/>
            <w:shd w:fill="FFFFFF" w:val="clear"/>
          </w:tcPr>
          <w:p>
            <w:pPr>
              <w:spacing w:after="60"/>
            </w:pPr>
            <w:r>
              <w:rPr>
                <w:sz w:val="20"/>
                <w:szCs w:val="20"/>
              </w:rPr>
              <w:t xml:space="preserve">Global has no single founder network to tap</w:t>
            </w:r>
          </w:p>
        </w:tc>
        <w:tc>
          <w:tcPr>
            <w:tcW w:type="dxa" w:w="3626"/>
            <w:shd w:fill="FFFFFF" w:val="clear"/>
          </w:tcPr>
          <w:p>
            <w:pPr>
              <w:spacing w:after="60"/>
            </w:pPr>
            <w:r>
              <w:rPr>
                <w:sz w:val="20"/>
                <w:szCs w:val="20"/>
              </w:rPr>
              <w:t xml:space="preserve">Fall back to a market-by-market repeat of the India playbook</w:t>
            </w:r>
          </w:p>
        </w:tc>
      </w:tr>
    </w:tbl>
    <w:p>
      <w:pPr>
        <w:pStyle w:val="Heading1"/>
        <w:pBdr>
          <w:top w:val="single" w:color="F96167" w:sz="14" w:space="8"/>
        </w:pBdr>
        <w:spacing w:after="40" w:before="420"/>
      </w:pPr>
      <w:r>
        <w:rPr>
          <w:rFonts w:ascii="Cambria" w:cs="Cambria" w:eastAsia="Cambria" w:hAnsi="Cambria"/>
          <w:b/>
          <w:bCs/>
          <w:color w:val="2F3C7E"/>
          <w:sz w:val="32"/>
          <w:szCs w:val="32"/>
        </w:rPr>
        <w:t xml:space="preserve">8. The Phased Plan — India Immersion First</w:t>
      </w:r>
    </w:p>
    <w:p>
      <w:pPr>
        <w:spacing w:after="200" w:line="300"/>
      </w:pPr>
      <w:r>
        <w:rPr>
          <w:color w:val="1B1F3B"/>
        </w:rPr>
        <w:t xml:space="preserve">This is the answer to "what do I actually do": prove the India wedge completely before spending a single dollar on global positioning. Outreach to Indian D2C brand founders is already underway — early conversations are being used right now to pressure-test the feature list in Section 5 and finalize which integrations matter most, before any production code is written. The table below is the same roadmap used in the pitch deck — phases 01–02 are what a pre-seed raise completes; 03–05 are the vision that path validates, not something being asked for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shd w:fill="F96167" w:val="clear"/>
            <w:tcMar>
              <w:top w:type="dxa" w:w="120"/>
              <w:left w:type="dxa" w:w="140"/>
              <w:bottom w:type="dxa" w:w="100"/>
              <w:right w:type="dxa" w:w="140"/>
            </w:tcMar>
          </w:tcPr>
          <w:p>
            <w:r>
              <w:rPr>
                <w:b/>
                <w:bCs/>
                <w:color w:val="FFFFFF"/>
                <w:sz w:val="19"/>
                <w:szCs w:val="19"/>
              </w:rPr>
              <w:t xml:space="preserve">01 · Validate</w:t>
            </w:r>
          </w:p>
        </w:tc>
        <w:tc>
          <w:tcPr>
            <w:tcW w:type="dxa" w:w="1805"/>
            <w:shd w:fill="F96167" w:val="clear"/>
            <w:tcMar>
              <w:top w:type="dxa" w:w="120"/>
              <w:left w:type="dxa" w:w="140"/>
              <w:bottom w:type="dxa" w:w="100"/>
              <w:right w:type="dxa" w:w="140"/>
            </w:tcMar>
          </w:tcPr>
          <w:p>
            <w:r>
              <w:rPr>
                <w:b/>
                <w:bCs/>
                <w:color w:val="FFFFFF"/>
                <w:sz w:val="19"/>
                <w:szCs w:val="19"/>
              </w:rPr>
              <w:t xml:space="preserve">02 · India MVP</w:t>
            </w:r>
          </w:p>
        </w:tc>
        <w:tc>
          <w:tcPr>
            <w:tcW w:type="dxa" w:w="1805"/>
            <w:shd w:fill="2F3C7E" w:val="clear"/>
            <w:tcMar>
              <w:top w:type="dxa" w:w="120"/>
              <w:left w:type="dxa" w:w="140"/>
              <w:bottom w:type="dxa" w:w="100"/>
              <w:right w:type="dxa" w:w="140"/>
            </w:tcMar>
          </w:tcPr>
          <w:p>
            <w:r>
              <w:rPr>
                <w:b/>
                <w:bCs/>
                <w:color w:val="FFFFFF"/>
                <w:sz w:val="19"/>
                <w:szCs w:val="19"/>
              </w:rPr>
              <w:t xml:space="preserve">03 · India Scale</w:t>
            </w:r>
          </w:p>
        </w:tc>
        <w:tc>
          <w:tcPr>
            <w:tcW w:type="dxa" w:w="1805"/>
            <w:shd w:fill="2F3C7E" w:val="clear"/>
            <w:tcMar>
              <w:top w:type="dxa" w:w="120"/>
              <w:left w:type="dxa" w:w="140"/>
              <w:bottom w:type="dxa" w:w="100"/>
              <w:right w:type="dxa" w:w="140"/>
            </w:tcMar>
          </w:tcPr>
          <w:p>
            <w:r>
              <w:rPr>
                <w:b/>
                <w:bCs/>
                <w:color w:val="FFFFFF"/>
                <w:sz w:val="19"/>
                <w:szCs w:val="19"/>
              </w:rPr>
              <w:t xml:space="preserve">04 · 1st Adjacent Market</w:t>
            </w:r>
          </w:p>
        </w:tc>
        <w:tc>
          <w:tcPr>
            <w:tcW w:type="dxa" w:w="1805"/>
            <w:shd w:fill="2F3C7E" w:val="clear"/>
            <w:tcMar>
              <w:top w:type="dxa" w:w="120"/>
              <w:left w:type="dxa" w:w="140"/>
              <w:bottom w:type="dxa" w:w="100"/>
              <w:right w:type="dxa" w:w="140"/>
            </w:tcMar>
          </w:tcPr>
          <w:p>
            <w:r>
              <w:rPr>
                <w:b/>
                <w:bCs/>
                <w:color w:val="FFFFFF"/>
                <w:sz w:val="19"/>
                <w:szCs w:val="19"/>
              </w:rPr>
              <w:t xml:space="preserve">05 · Multi-Market</w:t>
            </w:r>
          </w:p>
        </w:tc>
      </w:tr>
      <w:tr>
        <w:tc>
          <w:tcPr>
            <w:tcW w:type="dxa" w:w="1805"/>
            <w:shd w:fill="FFE3E4" w:val="clear"/>
            <w:tcMar>
              <w:top w:type="dxa" w:w="80"/>
              <w:left w:type="dxa" w:w="140"/>
              <w:bottom w:type="dxa" w:w="80"/>
              <w:right w:type="dxa" w:w="140"/>
            </w:tcMar>
          </w:tcPr>
          <w:p>
            <w:r>
              <w:rPr>
                <w:i/>
                <w:iCs/>
                <w:color w:val="B23A3E"/>
                <w:sz w:val="17"/>
                <w:szCs w:val="17"/>
              </w:rPr>
              <w:t xml:space="preserve">Sep–Oct 2026</w:t>
            </w:r>
          </w:p>
        </w:tc>
        <w:tc>
          <w:tcPr>
            <w:tcW w:type="dxa" w:w="1805"/>
            <w:shd w:fill="FFE3E4" w:val="clear"/>
            <w:tcMar>
              <w:top w:type="dxa" w:w="80"/>
              <w:left w:type="dxa" w:w="140"/>
              <w:bottom w:type="dxa" w:w="80"/>
              <w:right w:type="dxa" w:w="140"/>
            </w:tcMar>
          </w:tcPr>
          <w:p>
            <w:r>
              <w:rPr>
                <w:i/>
                <w:iCs/>
                <w:color w:val="B23A3E"/>
                <w:sz w:val="17"/>
                <w:szCs w:val="17"/>
              </w:rPr>
              <w:t xml:space="preserve">Nov 2026–Feb 2027</w:t>
            </w:r>
          </w:p>
        </w:tc>
        <w:tc>
          <w:tcPr>
            <w:tcW w:type="dxa" w:w="1805"/>
            <w:shd w:fill="E8EAF3" w:val="clear"/>
            <w:tcMar>
              <w:top w:type="dxa" w:w="80"/>
              <w:left w:type="dxa" w:w="140"/>
              <w:bottom w:type="dxa" w:w="80"/>
              <w:right w:type="dxa" w:w="140"/>
            </w:tcMar>
          </w:tcPr>
          <w:p>
            <w:r>
              <w:rPr>
                <w:i/>
                <w:iCs/>
                <w:color w:val="3D4A8A"/>
                <w:sz w:val="17"/>
                <w:szCs w:val="17"/>
              </w:rPr>
              <w:t xml:space="preserve">2027 H1</w:t>
            </w:r>
          </w:p>
        </w:tc>
        <w:tc>
          <w:tcPr>
            <w:tcW w:type="dxa" w:w="1805"/>
            <w:shd w:fill="E8EAF3" w:val="clear"/>
            <w:tcMar>
              <w:top w:type="dxa" w:w="80"/>
              <w:left w:type="dxa" w:w="140"/>
              <w:bottom w:type="dxa" w:w="80"/>
              <w:right w:type="dxa" w:w="140"/>
            </w:tcMar>
          </w:tcPr>
          <w:p>
            <w:r>
              <w:rPr>
                <w:i/>
                <w:iCs/>
                <w:color w:val="3D4A8A"/>
                <w:sz w:val="17"/>
                <w:szCs w:val="17"/>
              </w:rPr>
              <w:t xml:space="preserve">2027 H2</w:t>
            </w:r>
          </w:p>
        </w:tc>
        <w:tc>
          <w:tcPr>
            <w:tcW w:type="dxa" w:w="1805"/>
            <w:shd w:fill="E8EAF3" w:val="clear"/>
            <w:tcMar>
              <w:top w:type="dxa" w:w="80"/>
              <w:left w:type="dxa" w:w="140"/>
              <w:bottom w:type="dxa" w:w="80"/>
              <w:right w:type="dxa" w:w="140"/>
            </w:tcMar>
          </w:tcPr>
          <w:p>
            <w:r>
              <w:rPr>
                <w:i/>
                <w:iCs/>
                <w:color w:val="3D4A8A"/>
                <w:sz w:val="17"/>
                <w:szCs w:val="17"/>
              </w:rPr>
              <w:t xml:space="preserve">2028+</w:t>
            </w:r>
          </w:p>
        </w:tc>
      </w:tr>
      <w:tr>
        <w:tc>
          <w:tcPr>
            <w:tcW w:type="dxa" w:w="1805"/>
            <w:shd w:fill="FFF3F3" w:val="clear"/>
            <w:tcMar>
              <w:top w:type="dxa" w:w="100"/>
              <w:left w:type="dxa" w:w="140"/>
              <w:bottom w:type="dxa" w:w="140"/>
              <w:right w:type="dxa" w:w="140"/>
            </w:tcMar>
          </w:tcPr>
          <w:p>
            <w:pPr>
              <w:spacing w:after="80"/>
            </w:pPr>
            <w:r>
              <w:rPr>
                <w:color w:val="1B1F3B"/>
                <w:sz w:val="17"/>
                <w:szCs w:val="17"/>
              </w:rPr>
              <w:t xml:space="preserve">Founder conversations already underway. 10–20 India D2C brands total. Kill criteria set, zero production code yet.</w:t>
            </w:r>
          </w:p>
          <w:p>
            <w:r>
              <w:rPr>
                <w:b/>
                <w:bCs/>
                <w:color w:val="F96167"/>
                <w:sz w:val="14"/>
                <w:szCs w:val="14"/>
              </w:rPr>
              <w:t xml:space="preserve">THIS RAISE</w:t>
            </w:r>
          </w:p>
        </w:tc>
        <w:tc>
          <w:tcPr>
            <w:tcW w:type="dxa" w:w="1805"/>
            <w:shd w:fill="FFF3F3" w:val="clear"/>
            <w:tcMar>
              <w:top w:type="dxa" w:w="100"/>
              <w:left w:type="dxa" w:w="140"/>
              <w:bottom w:type="dxa" w:w="140"/>
              <w:right w:type="dxa" w:w="140"/>
            </w:tcMar>
          </w:tcPr>
          <w:p>
            <w:pPr>
              <w:spacing w:after="80"/>
            </w:pPr>
            <w:r>
              <w:rPr>
                <w:color w:val="1B1F3B"/>
                <w:sz w:val="17"/>
                <w:szCs w:val="17"/>
              </w:rPr>
              <w:t xml:space="preserve">3 core integrations live. 5–10 paying design-partner brands.</w:t>
            </w:r>
          </w:p>
          <w:p>
            <w:r>
              <w:rPr>
                <w:b/>
                <w:bCs/>
                <w:color w:val="F96167"/>
                <w:sz w:val="14"/>
                <w:szCs w:val="14"/>
              </w:rPr>
              <w:t xml:space="preserve">THIS RAISE</w:t>
            </w:r>
          </w:p>
        </w:tc>
        <w:tc>
          <w:tcPr>
            <w:tcW w:type="dxa" w:w="1805"/>
            <w:shd w:fill="F2F3F9" w:val="clear"/>
            <w:tcMar>
              <w:top w:type="dxa" w:w="100"/>
              <w:left w:type="dxa" w:w="140"/>
              <w:bottom w:type="dxa" w:w="140"/>
              <w:right w:type="dxa" w:w="140"/>
            </w:tcMar>
          </w:tcPr>
          <w:p>
            <w:pPr>
              <w:spacing w:after="80"/>
            </w:pPr>
            <w:r>
              <w:rPr>
                <w:color w:val="1B1F3B"/>
                <w:sz w:val="17"/>
                <w:szCs w:val="17"/>
              </w:rPr>
              <w:t xml:space="preserve">Full feature set incl. AI copilot. 30+ paying brands. Unit economics proven.</w:t>
            </w:r>
          </w:p>
          <w:p/>
        </w:tc>
        <w:tc>
          <w:tcPr>
            <w:tcW w:type="dxa" w:w="1805"/>
            <w:shd w:fill="F2F3F9" w:val="clear"/>
            <w:tcMar>
              <w:top w:type="dxa" w:w="100"/>
              <w:left w:type="dxa" w:w="140"/>
              <w:bottom w:type="dxa" w:w="140"/>
              <w:right w:type="dxa" w:w="140"/>
            </w:tcMar>
          </w:tcPr>
          <w:p>
            <w:pPr>
              <w:spacing w:after="80"/>
            </w:pPr>
            <w:r>
              <w:rPr>
                <w:color w:val="1B1F3B"/>
                <w:sz w:val="17"/>
                <w:szCs w:val="17"/>
              </w:rPr>
              <w:t xml:space="preserve">Test the same payment-ecosystem-gap thesis in one new market (SEA or LatAm).</w:t>
            </w:r>
          </w:p>
          <w:p/>
        </w:tc>
        <w:tc>
          <w:tcPr>
            <w:tcW w:type="dxa" w:w="1805"/>
            <w:shd w:fill="F2F3F9" w:val="clear"/>
            <w:tcMar>
              <w:top w:type="dxa" w:w="100"/>
              <w:left w:type="dxa" w:w="140"/>
              <w:bottom w:type="dxa" w:w="140"/>
              <w:right w:type="dxa" w:w="140"/>
            </w:tcMar>
          </w:tcPr>
          <w:p>
            <w:pPr>
              <w:spacing w:after="80"/>
            </w:pPr>
            <w:r>
              <w:rPr>
                <w:color w:val="1B1F3B"/>
                <w:sz w:val="17"/>
                <w:szCs w:val="17"/>
              </w:rPr>
              <w:t xml:space="preserve">Repeat the proven playbook market-by-market. Global positioning, now earned.</w:t>
            </w:r>
          </w:p>
          <w:p/>
        </w:tc>
      </w:tr>
    </w:tbl>
    <w:p>
      <w:pPr>
        <w:spacing w:after="200"/>
      </w:pPr>
    </w:p>
    <w:p>
      <w:pPr>
        <w:pStyle w:val="Heading1"/>
        <w:pBdr>
          <w:top w:val="single" w:color="F96167" w:sz="14" w:space="8"/>
        </w:pBdr>
        <w:spacing w:after="40" w:before="420"/>
      </w:pPr>
      <w:r>
        <w:rPr>
          <w:rFonts w:ascii="Cambria" w:cs="Cambria" w:eastAsia="Cambria" w:hAnsi="Cambria"/>
          <w:b/>
          <w:bCs/>
          <w:color w:val="2F3C7E"/>
          <w:sz w:val="32"/>
          <w:szCs w:val="32"/>
        </w:rPr>
        <w:t xml:space="preserve">9. Bottom Line</w:t>
      </w:r>
    </w:p>
    <w:p>
      <w:pPr>
        <w:spacing w:after="200" w:line="300"/>
      </w:pPr>
      <w:r>
        <w:rPr>
          <w:b/>
          <w:bCs/>
          <w:color w:val="FFFFFF"/>
          <w:sz w:val="17"/>
          <w:szCs w:val="17"/>
          <w:shd w:fill="F96167" w:val="clear"/>
        </w:rPr>
        <w:t xml:space="preserve"> INFERENCE </w:t>
      </w:r>
      <w:r>
        <w:rPr>
          <w:sz w:val="22"/>
          <w:szCs w:val="22"/>
        </w:rPr>
        <w:t xml:space="preserve">  Global is a stronger story for a pitch deck and a weaker starting point for an actual solo-founder build. The recommendation: keep the India-first validation plan exactly as it is — the founder conversations already underway are the thing to finish, not restart — but design the product architecture from day one so it isn't hard-coded to India-only (generic currency/locale handling, a plug-in-style integration layer for payment/logistics providers), so the same playbook can be repeated in one adjacent emerging market at a time once the India wedge is proven.</w:t>
      </w:r>
    </w:p>
    <w:p>
      <w:pPr>
        <w:spacing w:after="200" w:line="300"/>
      </w:pPr>
      <w:r>
        <w:rPr>
          <w:color w:val="1B1F3B"/>
        </w:rPr>
        <w:t xml:space="preserve">That gets you the global ambition without giving up the one piece of evidence that currently makes this idea defensible.</w:t>
      </w:r>
    </w:p>
    <w:p>
      <w:pPr>
        <w:pStyle w:val="Heading1"/>
        <w:pBdr>
          <w:top w:val="single" w:color="F96167" w:sz="14" w:space="8"/>
        </w:pBdr>
        <w:spacing w:after="40" w:before="420"/>
      </w:pPr>
      <w:r>
        <w:rPr>
          <w:rFonts w:ascii="Cambria" w:cs="Cambria" w:eastAsia="Cambria" w:hAnsi="Cambria"/>
          <w:b/>
          <w:bCs/>
          <w:color w:val="2F3C7E"/>
          <w:sz w:val="32"/>
          <w:szCs w:val="32"/>
        </w:rPr>
        <w:t xml:space="preserve">Sources</w:t>
      </w:r>
    </w:p>
    <w:p>
      <w:pPr>
        <w:spacing w:after="200" w:line="300"/>
      </w:pPr>
      <w:r>
        <w:rPr>
          <w:i/>
          <w:iCs/>
          <w:color w:val="1B1F3B"/>
        </w:rPr>
        <w:t xml:space="preserve">Grand View Research — B2C E-commerce Market Size And Share Report, 2026–2033. Mordor Intelligence — India D2C E-commerce Market Analysis (2026). Triple Whale Help Center — currency support article. DealStreetAsia, TechCrunch, Tracxn — Plugo Series A coverage. G2 review pages and vendor pricing pages for Triple Whale, Polar Analytics, Northbeam, Rockerbox, Daasity, Glew.io, Lifesight, Putler. All confidence tags reflect the discipline established across the Ecommerce Hub vault research: verified facts are independently confirmed via primary sources; vendor claims are marketing-only; inference is original synthesis, always flagged as such.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fee592cb2467679827c5b8b7ecc6912bad5717.png"/><Relationship Id="rId8" Type="http://schemas.openxmlformats.org/officeDocument/2006/relationships/image" Target="media/b0cf5eb8305b119dc6a306ec979fadab226ad52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2026-08-29T17:42:21.635Z</dcterms:created>
  <dcterms:modified xsi:type="dcterms:W3CDTF">2026-08-29T17:42:21.635Z</dcterms:modified>
</cp:coreProperties>
</file>

<file path=docProps/custom.xml><?xml version="1.0" encoding="utf-8"?>
<Properties xmlns="http://schemas.openxmlformats.org/officeDocument/2006/custom-properties" xmlns:vt="http://schemas.openxmlformats.org/officeDocument/2006/docPropsVTypes"/>
</file>