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0"/>
      </w:tblGrid>
      <w:tr>
        <w:tc>
          <w:tcPr>
            <w:tcW w:type="dxa" w:w="12240"/>
            <w:shd w:fill="1F2A5C" w:val="clear"/>
            <w:tcMar>
              <w:top w:type="dxa" w:w="3600"/>
              <w:left w:type="dxa" w:w="1200"/>
              <w:bottom w:type="dxa" w:w="3600"/>
              <w:right w:type="dxa" w:w="1200"/>
            </w:tcMar>
          </w:tcPr>
          <w:p>
            <w:pPr>
              <w:spacing w:after="2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ECOMMERCE HUB</w:t>
            </w:r>
          </w:p>
          <w:p>
            <w:pPr>
              <w:pBdr>
                <w:bottom w:val="single" w:color="F96167" w:sz="4" w:space="12"/>
              </w:pBdr>
              <w:spacing w:after="160"/>
            </w:pPr>
            <w:r>
              <w:rPr>
                <w:b/>
                <w:bCs/>
                <w:color w:val="F9E795"/>
                <w:spacing w:val="30"/>
                <w:sz w:val="22"/>
                <w:szCs w:val="22"/>
              </w:rPr>
              <w:t xml:space="preserve">GOING GLOBAL</w:t>
            </w:r>
          </w:p>
          <w:p>
            <w:pPr>
              <w:spacing w:after="800"/>
            </w:pPr>
            <w:r>
              <w:rPr>
                <w:rFonts w:ascii="Cambria" w:cs="Cambria" w:eastAsia="Cambria" w:hAnsi="Cambria"/>
                <w:i/>
                <w:iCs/>
                <w:color w:val="D8DCF0"/>
                <w:sz w:val="30"/>
                <w:szCs w:val="30"/>
              </w:rPr>
              <w:t xml:space="preserve">Market, Competitors, Feature Roadmap &amp; an Honest Risk Assessment</w:t>
            </w:r>
          </w:p>
          <w:p>
            <w:pPr>
              <w:spacing w:after="120"/>
            </w:pPr>
            <w:r>
              <w:rPr>
                <w:color w:val="9AA3C7"/>
                <w:sz w:val="20"/>
                <w:szCs w:val="20"/>
              </w:rPr>
              <w:t xml:space="preserve">Prepared for Priyam  ·  August 2026</w:t>
            </w:r>
          </w:p>
          <w:p>
            <w:r>
              <w:rPr>
                <w:b/>
                <w:bCs/>
                <w:color w:val="FFFFFF"/>
                <w:sz w:val="16"/>
                <w:szCs w:val="16"/>
                <w:shd w:fill="1A7A3C" w:val="clear"/>
              </w:rPr>
              <w:t xml:space="preserve"> VERIFIED </w:t>
            </w:r>
            <w:r>
              <w:rPr>
                <w:color w:val="9AA3C7"/>
                <w:sz w:val="16"/>
                <w:szCs w:val="16"/>
              </w:rPr>
              <w:t xml:space="preserve">  independently confirmed source     </w:t>
            </w:r>
            <w:r>
              <w:rPr>
                <w:b/>
                <w:bCs/>
                <w:color w:val="FFFFFF"/>
                <w:sz w:val="16"/>
                <w:szCs w:val="16"/>
                <w:shd w:fill="B8860B" w:val="clear"/>
              </w:rPr>
              <w:t xml:space="preserve"> VENDOR CLAIM </w:t>
            </w:r>
            <w:r>
              <w:rPr>
                <w:color w:val="9AA3C7"/>
                <w:sz w:val="16"/>
                <w:szCs w:val="16"/>
              </w:rPr>
              <w:t xml:space="preserve">  company's own marketing     </w:t>
            </w:r>
            <w:r>
              <w:rPr>
                <w:b/>
                <w:bCs/>
                <w:color w:val="FFFFFF"/>
                <w:sz w:val="16"/>
                <w:szCs w:val="16"/>
                <w:shd w:fill="F96167" w:val="clear"/>
              </w:rPr>
              <w:t xml:space="preserve"> INFERENCE </w:t>
            </w:r>
            <w:r>
              <w:rPr>
                <w:color w:val="9AA3C7"/>
                <w:sz w:val="16"/>
                <w:szCs w:val="16"/>
              </w:rPr>
              <w:t xml:space="preserve">  Claude's own synthesis, not sourced fact</w:t>
            </w:r>
          </w:p>
        </w:tc>
      </w:tr>
    </w:tbl>
    <w:p>
      <w:pPr>
        <w:sectPr>
          <w:pgSz w:w="12240" w:h="1584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Executive Summary</w:t>
      </w:r>
    </w:p>
    <w:p>
      <w:pPr>
        <w:spacing w:after="200" w:line="300"/>
      </w:pPr>
      <w:r>
        <w:rPr>
          <w:color w:val="1B1F3B"/>
        </w:rPr>
        <w:t xml:space="preserve">You asked for three things: research this as a global product instead of an India-first one, add features I think would make it more attractive, and put it all in one detailed, easy-to-scan report — including a proper phased plan that starts with India immersion. Here it is, most important finding first, not buried at the end.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F96167" w:val="clear"/>
        </w:rPr>
        <w:t xml:space="preserve"> INFERENCE </w:t>
      </w:r>
      <w:r>
        <w:rPr>
          <w:sz w:val="22"/>
          <w:szCs w:val="22"/>
        </w:rPr>
        <w:t xml:space="preserve">  Going global trades away the one verified, defensible advantage this idea currently has. The India-native gap (no major global tool supports Razorpay or Indian logistics) is a specific, source-confirmed hole in the market. "Global" has no equivalent confirmed hole — the same big, funded players already claim to serve the whole world.</w:t>
      </w:r>
    </w:p>
    <w:p>
      <w:pPr>
        <w:spacing w:after="200" w:line="300"/>
      </w:pPr>
      <w:r>
        <w:rPr>
          <w:color w:val="1B1F3B"/>
        </w:rPr>
        <w:t xml:space="preserve">That doesn't mean don't do it — it means sequencing matters. Section 2 lays out why. Section 8 turns that into the actual phased roadmap: India immersion first, global earned later, not assumed up front.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2. The Global Pivot — What Actually Changes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2.1 What you lose</w:t>
      </w:r>
    </w:p>
    <w:p>
      <w:pPr>
        <w:spacing w:after="200" w:line="300"/>
      </w:pPr>
      <w:r>
        <w:rPr>
          <w:color w:val="1B1F3B"/>
        </w:rPr>
        <w:t xml:space="preserve">Checking Triple Whale's own integration documentation directly confirmed it has zero support for Razorpay or any Indian logistics carrier — the same is true of Polar Analytics, Northbeam, Rockerbox, Daasity, and Glew. That is a real, checkable hole, and the reason "India-first" has a genuine answer to "why can't a customer just use Triple Whale."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1A7A3C" w:val="clear"/>
        </w:rPr>
        <w:t xml:space="preserve"> VERIFIED </w:t>
      </w:r>
      <w:r>
        <w:rPr>
          <w:sz w:val="22"/>
          <w:szCs w:val="22"/>
        </w:rPr>
        <w:t xml:space="preserve">  "Global" does not have an equivalent hole. Triple Whale's own help center explicitly states it supports foreign currencies with automatic conversion — it already actively markets itself as usable outside the US.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2.2 What you gain</w:t>
      </w:r>
    </w:p>
    <w:p>
      <w:pPr>
        <w:spacing w:after="200" w:line="300"/>
      </w:pPr>
      <w:r>
        <w:rPr>
          <w:color w:val="1B1F3B"/>
        </w:rPr>
        <w:t xml:space="preserve">A much bigger total addressable market to point to (Section 3), and a product not capped by one country's growth rate. It also trades the DPDP Act for GDPR, CCPA, LGPD, and others simultaneously — a real cost, not a footnote.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2.3 The honest middle path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F96167" w:val="clear"/>
        </w:rPr>
        <w:t xml:space="preserve"> INFERENCE </w:t>
      </w:r>
      <w:r>
        <w:rPr>
          <w:sz w:val="22"/>
          <w:szCs w:val="22"/>
        </w:rPr>
        <w:t xml:space="preserve">  The same kind of gap that exists for India — a major local payment/logistics ecosystem the big global tools don't integrate — plausibly exists elsewhere too: Mercado Pago in Latin America, GrabPay and J&amp;T Express in Southeast Asia, Klarna/iDEAL in parts of Europe. This was NOT independently confirmed in this research pass — it is a hypothesis to validate directly, not a finding to build on yet.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3. Market Opportunity — India Now, Global Later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3.1 India, today's focus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7F7F6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Cambria" w:cs="Cambria" w:eastAsia="Cambria" w:hAnsi="Cambria"/>
                <w:b/>
                <w:bCs/>
                <w:color w:val="2F3C7E"/>
                <w:sz w:val="34"/>
                <w:szCs w:val="34"/>
              </w:rPr>
              <w:t xml:space="preserve">$108.76B</w:t>
            </w:r>
          </w:p>
          <w:p>
            <w:r>
              <w:rPr>
                <w:color w:val="6B7280"/>
                <w:sz w:val="17"/>
                <w:szCs w:val="17"/>
              </w:rPr>
              <w:t xml:space="preserve">India D2C market, 2026</w:t>
            </w:r>
          </w:p>
        </w:tc>
        <w:tc>
          <w:tcPr>
            <w:tcW w:type="dxa" w:w="3008"/>
            <w:shd w:fill="F7F7F6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Cambria" w:cs="Cambria" w:eastAsia="Cambria" w:hAnsi="Cambria"/>
                <w:b/>
                <w:bCs/>
                <w:color w:val="2F3C7E"/>
                <w:sz w:val="34"/>
                <w:szCs w:val="34"/>
              </w:rPr>
              <w:t xml:space="preserve">24.3%</w:t>
            </w:r>
          </w:p>
          <w:p>
            <w:r>
              <w:rPr>
                <w:color w:val="6B7280"/>
                <w:sz w:val="17"/>
                <w:szCs w:val="17"/>
              </w:rPr>
              <w:t xml:space="preserve">CAGR through 2031</w:t>
            </w:r>
          </w:p>
        </w:tc>
        <w:tc>
          <w:tcPr>
            <w:tcW w:type="dxa" w:w="3008"/>
            <w:shd w:fill="F7F7F6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Cambria" w:cs="Cambria" w:eastAsia="Cambria" w:hAnsi="Cambria"/>
                <w:b/>
                <w:bCs/>
                <w:color w:val="2F3C7E"/>
                <w:sz w:val="34"/>
                <w:szCs w:val="34"/>
              </w:rPr>
              <w:t xml:space="preserve">$322.1B</w:t>
            </w:r>
          </w:p>
          <w:p>
            <w:r>
              <w:rPr>
                <w:color w:val="6B7280"/>
                <w:sz w:val="17"/>
                <w:szCs w:val="17"/>
              </w:rPr>
              <w:t xml:space="preserve">Projected India market, 2031</w:t>
            </w:r>
          </w:p>
        </w:tc>
      </w:tr>
    </w:tbl>
    <w:p>
      <w:pPr>
        <w:spacing w:after="120"/>
      </w:pPr>
    </w:p>
    <w:p>
      <w:pPr>
        <w:spacing w:after="100"/>
      </w:pPr>
      <w:r>
        <w:drawing>
          <wp:inline distT="0" distB="0" distL="0" distR="0">
            <wp:extent cx="6035040" cy="31089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B7280"/>
          <w:sz w:val="17"/>
          <w:szCs w:val="17"/>
        </w:rPr>
        <w:t xml:space="preserve">Modeled from the two verified endpoints (2026, 2031) using Mordor Intelligence's 24.3% CAGR — not a year-by-year reported figure.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3.2 Global, the category this grows into</w:t>
      </w:r>
    </w:p>
    <w:p>
      <w:pPr>
        <w:spacing w:after="100"/>
      </w:pPr>
      <w:r>
        <w:drawing>
          <wp:inline distT="0" distB="0" distL="0" distR="0">
            <wp:extent cx="6035040" cy="31089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B7280"/>
          <w:sz w:val="17"/>
          <w:szCs w:val="17"/>
        </w:rPr>
        <w:t xml:space="preserve">Modeled from Grand View Research's verified 2026 ($8.5T) and 2033 ($33.5T) endpoints at a 21.7% CAGR. This is the broader B2C ecommerce figure, not a D2C-only or software-spend figure — treat as directional context, not a validated SaaS TAM.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4. Global Competitive Landscape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4.1 The established global players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126"/>
        <w:gridCol w:w="2300"/>
      </w:tblGrid>
      <w:tr>
        <w:trPr>
          <w:tblHeader/>
        </w:trPr>
        <w:tc>
          <w:tcPr>
            <w:tcW w:type="dxa" w:w="1600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3000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2126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Verified pricing / signal</w:t>
            </w:r>
          </w:p>
        </w:tc>
        <w:tc>
          <w:tcPr>
            <w:tcW w:type="dxa" w:w="2300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Multi-region support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Triple Whale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Cross-channel attribution + AI assistant ("Willy")</w:t>
            </w:r>
          </w:p>
        </w:tc>
        <w:tc>
          <w:tcPr>
            <w:tcW w:type="dxa" w:w="21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$124–$375+/mo (G2)</w:t>
            </w:r>
          </w:p>
        </w:tc>
        <w:tc>
          <w:tcPr>
            <w:tcW w:type="dxa" w:w="23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Multi-currency confirmed [VERIFIED]</w:t>
            </w:r>
          </w:p>
        </w:tc>
      </w:tr>
      <w:tr>
        <w:tc>
          <w:tcPr>
            <w:tcW w:type="dxa" w:w="16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Polar Analytics</w:t>
            </w:r>
          </w:p>
        </w:tc>
        <w:tc>
          <w:tcPr>
            <w:tcW w:type="dxa" w:w="30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AI-analytics, dedicated Snowflake DB per customer</w:t>
            </w:r>
          </w:p>
        </w:tc>
        <w:tc>
          <w:tcPr>
            <w:tcW w:type="dxa" w:w="21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Sales-gated pricing</w:t>
            </w:r>
          </w:p>
        </w:tc>
        <w:tc>
          <w:tcPr>
            <w:tcW w:type="dxa" w:w="23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Not confirmed either way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Northbeam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Attribution / media-mix modeling</w:t>
            </w:r>
          </w:p>
        </w:tc>
        <w:tc>
          <w:tcPr>
            <w:tcW w:type="dxa" w:w="21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Series A, $15M raised</w:t>
            </w:r>
          </w:p>
        </w:tc>
        <w:tc>
          <w:tcPr>
            <w:tcW w:type="dxa" w:w="23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Not confirmed either way</w:t>
            </w:r>
          </w:p>
        </w:tc>
      </w:tr>
      <w:tr>
        <w:tc>
          <w:tcPr>
            <w:tcW w:type="dxa" w:w="16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Rockerbox</w:t>
            </w:r>
          </w:p>
        </w:tc>
        <w:tc>
          <w:tcPr>
            <w:tcW w:type="dxa" w:w="30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Attribution, larger ad-spend accounts</w:t>
            </w:r>
          </w:p>
        </w:tc>
        <w:tc>
          <w:tcPr>
            <w:tcW w:type="dxa" w:w="21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G2: 47 reviews, 4.6/5</w:t>
            </w:r>
          </w:p>
        </w:tc>
        <w:tc>
          <w:tcPr>
            <w:tcW w:type="dxa" w:w="23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Not confirmed either way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Daasity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DataOps/BI, omnichannel (Shopify+Amazon+retail)</w:t>
            </w:r>
          </w:p>
        </w:tc>
        <w:tc>
          <w:tcPr>
            <w:tcW w:type="dxa" w:w="21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G2: 17 reviews, 4.7/5</w:t>
            </w:r>
          </w:p>
        </w:tc>
        <w:tc>
          <w:tcPr>
            <w:tcW w:type="dxa" w:w="23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Not confirmed either way</w:t>
            </w:r>
          </w:p>
        </w:tc>
      </w:tr>
      <w:tr>
        <w:tc>
          <w:tcPr>
            <w:tcW w:type="dxa" w:w="16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Glew.io</w:t>
            </w:r>
          </w:p>
        </w:tc>
        <w:tc>
          <w:tcPr>
            <w:tcW w:type="dxa" w:w="30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"Commerce Data Cloud", 170+ integrations claimed</w:t>
            </w:r>
          </w:p>
        </w:tc>
        <w:tc>
          <w:tcPr>
            <w:tcW w:type="dxa" w:w="21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G2: 57 reviews, 4.0/5</w:t>
            </w:r>
          </w:p>
        </w:tc>
        <w:tc>
          <w:tcPr>
            <w:tcW w:type="dxa" w:w="23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Not confirmed either way</w:t>
            </w:r>
          </w:p>
        </w:tc>
      </w:tr>
      <w:tr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Lifesight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Agentic unified marketing measurement, MMM</w:t>
            </w:r>
          </w:p>
        </w:tc>
        <w:tc>
          <w:tcPr>
            <w:tcW w:type="dxa" w:w="21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G2: 37 reviews, 4.2/5</w:t>
            </w:r>
          </w:p>
        </w:tc>
        <w:tc>
          <w:tcPr>
            <w:tcW w:type="dxa" w:w="23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India/APAC roots [VERIFIED origin]</w:t>
            </w:r>
          </w:p>
        </w:tc>
      </w:tr>
      <w:tr>
        <w:tc>
          <w:tcPr>
            <w:tcW w:type="dxa" w:w="16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Putler</w:t>
            </w:r>
          </w:p>
        </w:tc>
        <w:tc>
          <w:tcPr>
            <w:tcW w:type="dxa" w:w="30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Multichannel BI, revenue-tiered</w:t>
            </w:r>
          </w:p>
        </w:tc>
        <w:tc>
          <w:tcPr>
            <w:tcW w:type="dxa" w:w="21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$20–$750/mo (own site)</w:t>
            </w:r>
          </w:p>
        </w:tc>
        <w:tc>
          <w:tcPr>
            <w:tcW w:type="dxa" w:w="23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Claims native Razorpay; inconsistent with own pricing [flagged]</w:t>
            </w:r>
          </w:p>
        </w:tc>
      </w:tr>
    </w:tbl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4.2 Regional coverage check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1A7A3C" w:val="clear"/>
        </w:rPr>
        <w:t xml:space="preserve"> VERIFIED </w:t>
      </w:r>
      <w:r>
        <w:rPr>
          <w:sz w:val="22"/>
          <w:szCs w:val="22"/>
        </w:rPr>
        <w:t xml:space="preserve">  Southeast Asia: Plugo (Singapore) is real and funded — $9M Series A led by Altos Ventures, Dec 2022 (DealStreetAsia, TechCrunch, Tracxn). It's an ecommerce enabler (storefront + fulfillment, some analytics), not a pure analytics dashboard — adjacent, not head-to-head.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F96167" w:val="clear"/>
        </w:rPr>
        <w:t xml:space="preserve"> HONEST GAP </w:t>
      </w:r>
      <w:r>
        <w:rPr>
          <w:sz w:val="22"/>
          <w:szCs w:val="22"/>
        </w:rPr>
        <w:t xml:space="preserve">  Latin America, Europe (UK/Germany/France), Middle East: no dedicated D2C analytics competitor found. Absence of evidence is not evidence of an empty, winnable market — it may mean under-documented markets, not open ones. Needs direct local research before being treated as "open territory."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5. Recommended Feature Set — Claude's Own Suggestions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F96167" w:val="clear"/>
        </w:rPr>
        <w:t xml:space="preserve"> INFERENCE </w:t>
      </w:r>
      <w:r>
        <w:rPr>
          <w:sz w:val="22"/>
          <w:szCs w:val="22"/>
        </w:rPr>
        <w:t xml:space="preserve">  Everything below is my own product judgment on what makes analytics/BI tools genuinely sticky — none of it is user-validated. Treat this as a prioritization menu for real founder conversations, not a committed roadmap.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5.1 Intelligence layer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Natural-language copilot — ask a question ("why did CAC spike Tuesday"), get an answer, not another chart. Most likely single feature to make the product feel alive to non-technical founders.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Proactive anomaly alerts pushed to WhatsApp, Slack, or email — the product should flag problems before you notice them yourself.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Forecasting — near-term revenue, inventory stockout risk, CAC trend projections.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Anonymized industry benchmarking — a genuinely hard-to-copy data moat once you have enough customers.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5.2 Growth &amp; marketing depth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Creative fatigue detection tied to spend recommendations.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Cohort and RFM segmentation with retention curves — critical for repeat-purchase or subscription brands.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Influencer and affiliate ROI tracking — a growing, poorly-served spend category.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Social commerce unification — TikTok Shop, Instagram Shop, Facebook Shop in one funnel view.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5.3 Operations &amp; trust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Root-cause RTO/return/chargeback analysis — the India RTO idea generalized to any high-COD or high-return category.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Customer 360 view — on-site behavior, WhatsApp/email, and support tickets in one timeline.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Auto-generated weekly board report export (PDF/slide) — saves manual reporting work.</w:t>
      </w:r>
    </w:p>
    <w:p>
      <w:pPr>
        <w:pStyle w:val="Heading2"/>
        <w:spacing w:after="140" w:before="280"/>
      </w:pPr>
      <w:r>
        <w:rPr>
          <w:rFonts w:ascii="Cambria" w:cs="Cambria" w:eastAsia="Cambria" w:hAnsi="Cambria"/>
          <w:b/>
          <w:bCs/>
          <w:color w:val="F96167"/>
          <w:sz w:val="26"/>
          <w:szCs w:val="26"/>
        </w:rPr>
        <w:t xml:space="preserve">5.4 Scale &amp; collaboration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Multi-brand/multi-store rollup for founders or agencies running more than one brand.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White-label reporting — opens agencies as an entirely separate sales channel.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t xml:space="preserve">Data warehouse export / API access for larger customers who want their own BI stack.</w:t>
      </w:r>
    </w:p>
    <w:p>
      <w:pPr>
        <w:spacing w:after="200" w:line="300"/>
      </w:pPr>
      <w:r>
        <w:rPr>
          <w:i/>
          <w:iCs/>
          <w:color w:val="1B1F3B"/>
        </w:rPr>
        <w:t xml:space="preserve">Highest-leverage feature to prototype first: the natural-language copilot — the most visible, demoable difference from "just another dashboard," and the exact thing Polar Analytics' own reviewers praise.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6. Business Model &amp; Go-To-Market at Global Scale</w:t>
      </w:r>
    </w:p>
    <w:p>
      <w:pPr>
        <w:spacing w:after="200" w:line="300"/>
      </w:pPr>
      <w:r>
        <w:rPr>
          <w:color w:val="1B1F3B"/>
        </w:rPr>
        <w:t xml:space="preserve">The India-first pricing ($50–$300/month) was benchmarked against Triple Whale and Putler's real published tiers, and roughly holds globally — but multi-currency billing, regional payment processing (Stripe vs. Razorpay vs. Mercado Pago vs. GrabPay), and regional tax/VAT handling become real engineering and legal costs that don't exist in an India-only version.</w:t>
      </w:r>
    </w:p>
    <w:p>
      <w:pPr>
        <w:spacing w:after="200" w:line="300"/>
      </w:pPr>
      <w:r>
        <w:rPr>
          <w:color w:val="1B1F3B"/>
        </w:rPr>
        <w:t xml:space="preserve">A global launch has no natural "first community" the way India-first has Indian D2C founder groups. Realistic global channels: Shopify App Store (global by default), SEO targeting country-specific pain points, and — if the emerging-market hypothesis in 2.3 holds — repeating the direct-founder-outreach playbook market by market.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7. Risk Register — Global Scope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200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it's real</w:t>
            </w:r>
          </w:p>
        </w:tc>
        <w:tc>
          <w:tcPr>
            <w:tcW w:type="dxa" w:w="3626"/>
            <w:shd w:fill="2F3C7E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Loses the one confirmed wedge</w:t>
            </w:r>
          </w:p>
        </w:tc>
        <w:tc>
          <w:tcPr>
            <w:tcW w:type="dxa" w:w="3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India-gap is verified; global-gap is not</w:t>
            </w:r>
          </w:p>
        </w:tc>
        <w:tc>
          <w:tcPr>
            <w:tcW w:type="dxa" w:w="36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Validate the emerging-market-payment-gap hypothesis directly before positioning as "global"</w:t>
            </w:r>
          </w:p>
        </w:tc>
      </w:tr>
      <w:tr>
        <w:tc>
          <w:tcPr>
            <w:tcW w:type="dxa" w:w="22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Competing with funded incumbents on their turf</w:t>
            </w:r>
          </w:p>
        </w:tc>
        <w:tc>
          <w:tcPr>
            <w:tcW w:type="dxa" w:w="32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Triple Whale already markets multi-currency support globally</w:t>
            </w:r>
          </w:p>
        </w:tc>
        <w:tc>
          <w:tcPr>
            <w:tcW w:type="dxa" w:w="36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Pick a specific underserved segment rather than "everyone, everywhere"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Multi-region compliance cost</w:t>
            </w:r>
          </w:p>
        </w:tc>
        <w:tc>
          <w:tcPr>
            <w:tcW w:type="dxa" w:w="3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GDPR, CCPA, LGPD apply simultaneously</w:t>
            </w:r>
          </w:p>
        </w:tc>
        <w:tc>
          <w:tcPr>
            <w:tcW w:type="dxa" w:w="36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Sequence market entry so compliance work is incremental</w:t>
            </w:r>
          </w:p>
        </w:tc>
      </w:tr>
      <w:tr>
        <w:tc>
          <w:tcPr>
            <w:tcW w:type="dxa" w:w="22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Feature list scope creep</w:t>
            </w:r>
          </w:p>
        </w:tc>
        <w:tc>
          <w:tcPr>
            <w:tcW w:type="dxa" w:w="3200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Section 5's list is long and unvalidated</w:t>
            </w:r>
          </w:p>
        </w:tc>
        <w:tc>
          <w:tcPr>
            <w:tcW w:type="dxa" w:w="3626"/>
            <w:shd w:fill="F7F7F6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Prioritize with real customer interviews before building more than a thin first version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No natural first community</w:t>
            </w:r>
          </w:p>
        </w:tc>
        <w:tc>
          <w:tcPr>
            <w:tcW w:type="dxa" w:w="3200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Global has no single founder network to tap</w:t>
            </w:r>
          </w:p>
        </w:tc>
        <w:tc>
          <w:tcPr>
            <w:tcW w:type="dxa" w:w="3626"/>
            <w:shd w:fill="FFFFFF" w:val="clear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Fall back to a market-by-market repeat of the India playbook</w:t>
            </w:r>
          </w:p>
        </w:tc>
      </w:tr>
    </w:tbl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8. The Phased Plan — India Immersion First</w:t>
      </w:r>
    </w:p>
    <w:p>
      <w:pPr>
        <w:spacing w:after="200" w:line="300"/>
      </w:pPr>
      <w:r>
        <w:rPr>
          <w:color w:val="1B1F3B"/>
        </w:rPr>
        <w:t xml:space="preserve">This is the answer to "what do I actually do": prove the India wedge completely before spending a single dollar on global positioning. The table below is the same roadmap used in the pitch deck — phases 01–02 are what a pre-seed raise funds; 03–05 are the vision that path validates, not something being asked for today.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F96167" w:val="clear"/>
            <w:tcMar>
              <w:top w:type="dxa" w:w="12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01 · Validate</w:t>
            </w:r>
          </w:p>
        </w:tc>
        <w:tc>
          <w:tcPr>
            <w:tcW w:type="dxa" w:w="1805"/>
            <w:shd w:fill="F96167" w:val="clear"/>
            <w:tcMar>
              <w:top w:type="dxa" w:w="12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02 · India MVP</w:t>
            </w:r>
          </w:p>
        </w:tc>
        <w:tc>
          <w:tcPr>
            <w:tcW w:type="dxa" w:w="1805"/>
            <w:shd w:fill="2F3C7E" w:val="clear"/>
            <w:tcMar>
              <w:top w:type="dxa" w:w="12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03 · India Scale</w:t>
            </w:r>
          </w:p>
        </w:tc>
        <w:tc>
          <w:tcPr>
            <w:tcW w:type="dxa" w:w="1805"/>
            <w:shd w:fill="2F3C7E" w:val="clear"/>
            <w:tcMar>
              <w:top w:type="dxa" w:w="12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04 · 1st Adjacent Market</w:t>
            </w:r>
          </w:p>
        </w:tc>
        <w:tc>
          <w:tcPr>
            <w:tcW w:type="dxa" w:w="1805"/>
            <w:shd w:fill="2F3C7E" w:val="clear"/>
            <w:tcMar>
              <w:top w:type="dxa" w:w="12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05 · Multi-Market</w:t>
            </w:r>
          </w:p>
        </w:tc>
      </w:tr>
      <w:tr>
        <w:tc>
          <w:tcPr>
            <w:tcW w:type="dxa" w:w="1805"/>
            <w:shd w:fill="FFE3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i/>
                <w:iCs/>
                <w:color w:val="B23A3E"/>
                <w:sz w:val="17"/>
                <w:szCs w:val="17"/>
              </w:rPr>
              <w:t xml:space="preserve">Sep–Oct 2026</w:t>
            </w:r>
          </w:p>
        </w:tc>
        <w:tc>
          <w:tcPr>
            <w:tcW w:type="dxa" w:w="1805"/>
            <w:shd w:fill="FFE3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i/>
                <w:iCs/>
                <w:color w:val="B23A3E"/>
                <w:sz w:val="17"/>
                <w:szCs w:val="17"/>
              </w:rPr>
              <w:t xml:space="preserve">Nov 2026–Feb 2027</w:t>
            </w:r>
          </w:p>
        </w:tc>
        <w:tc>
          <w:tcPr>
            <w:tcW w:type="dxa" w:w="1805"/>
            <w:shd w:fill="E8EA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i/>
                <w:iCs/>
                <w:color w:val="3D4A8A"/>
                <w:sz w:val="17"/>
                <w:szCs w:val="17"/>
              </w:rPr>
              <w:t xml:space="preserve">2027 H1</w:t>
            </w:r>
          </w:p>
        </w:tc>
        <w:tc>
          <w:tcPr>
            <w:tcW w:type="dxa" w:w="1805"/>
            <w:shd w:fill="E8EA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i/>
                <w:iCs/>
                <w:color w:val="3D4A8A"/>
                <w:sz w:val="17"/>
                <w:szCs w:val="17"/>
              </w:rPr>
              <w:t xml:space="preserve">2027 H2</w:t>
            </w:r>
          </w:p>
        </w:tc>
        <w:tc>
          <w:tcPr>
            <w:tcW w:type="dxa" w:w="1805"/>
            <w:shd w:fill="E8EA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i/>
                <w:iCs/>
                <w:color w:val="3D4A8A"/>
                <w:sz w:val="17"/>
                <w:szCs w:val="17"/>
              </w:rPr>
              <w:t xml:space="preserve">2028+</w:t>
            </w:r>
          </w:p>
        </w:tc>
      </w:tr>
      <w:tr>
        <w:tc>
          <w:tcPr>
            <w:tcW w:type="dxa" w:w="1805"/>
            <w:shd w:fill="FFF3F3" w:val="clear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80"/>
            </w:pPr>
            <w:r>
              <w:rPr>
                <w:color w:val="1B1F3B"/>
                <w:sz w:val="17"/>
                <w:szCs w:val="17"/>
              </w:rPr>
              <w:t xml:space="preserve">10–20 India founder interviews. Kill criteria set. Zero production code.</w:t>
            </w:r>
          </w:p>
          <w:p>
            <w:r>
              <w:rPr>
                <w:b/>
                <w:bCs/>
                <w:color w:val="F96167"/>
                <w:sz w:val="14"/>
                <w:szCs w:val="14"/>
              </w:rPr>
              <w:t xml:space="preserve">THIS RAISE</w:t>
            </w:r>
          </w:p>
        </w:tc>
        <w:tc>
          <w:tcPr>
            <w:tcW w:type="dxa" w:w="1805"/>
            <w:shd w:fill="FFF3F3" w:val="clear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80"/>
            </w:pPr>
            <w:r>
              <w:rPr>
                <w:color w:val="1B1F3B"/>
                <w:sz w:val="17"/>
                <w:szCs w:val="17"/>
              </w:rPr>
              <w:t xml:space="preserve">3 core integrations live. 5–10 paying design-partner brands.</w:t>
            </w:r>
          </w:p>
          <w:p>
            <w:r>
              <w:rPr>
                <w:b/>
                <w:bCs/>
                <w:color w:val="F96167"/>
                <w:sz w:val="14"/>
                <w:szCs w:val="14"/>
              </w:rPr>
              <w:t xml:space="preserve">THIS RAISE</w:t>
            </w:r>
          </w:p>
        </w:tc>
        <w:tc>
          <w:tcPr>
            <w:tcW w:type="dxa" w:w="1805"/>
            <w:shd w:fill="F2F3F9" w:val="clear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80"/>
            </w:pPr>
            <w:r>
              <w:rPr>
                <w:color w:val="1B1F3B"/>
                <w:sz w:val="17"/>
                <w:szCs w:val="17"/>
              </w:rPr>
              <w:t xml:space="preserve">Full feature set incl. AI copilot. 30+ paying brands. Unit economics proven.</w:t>
            </w:r>
          </w:p>
          <w:p/>
        </w:tc>
        <w:tc>
          <w:tcPr>
            <w:tcW w:type="dxa" w:w="1805"/>
            <w:shd w:fill="F2F3F9" w:val="clear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80"/>
            </w:pPr>
            <w:r>
              <w:rPr>
                <w:color w:val="1B1F3B"/>
                <w:sz w:val="17"/>
                <w:szCs w:val="17"/>
              </w:rPr>
              <w:t xml:space="preserve">Test the same payment-ecosystem-gap thesis in one new market (SEA or LatAm).</w:t>
            </w:r>
          </w:p>
          <w:p/>
        </w:tc>
        <w:tc>
          <w:tcPr>
            <w:tcW w:type="dxa" w:w="1805"/>
            <w:shd w:fill="F2F3F9" w:val="clear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80"/>
            </w:pPr>
            <w:r>
              <w:rPr>
                <w:color w:val="1B1F3B"/>
                <w:sz w:val="17"/>
                <w:szCs w:val="17"/>
              </w:rPr>
              <w:t xml:space="preserve">Repeat the proven playbook market-by-market. Global positioning, now earned.</w:t>
            </w:r>
          </w:p>
          <w:p/>
        </w:tc>
      </w:tr>
    </w:tbl>
    <w:p>
      <w:pPr>
        <w:spacing w:after="200"/>
      </w:pP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9. Bottom Line</w:t>
      </w:r>
    </w:p>
    <w:p>
      <w:pPr>
        <w:spacing w:after="200" w:line="300"/>
      </w:pPr>
      <w:r>
        <w:rPr>
          <w:b/>
          <w:bCs/>
          <w:color w:val="FFFFFF"/>
          <w:sz w:val="17"/>
          <w:szCs w:val="17"/>
          <w:shd w:fill="F96167" w:val="clear"/>
        </w:rPr>
        <w:t xml:space="preserve"> INFERENCE </w:t>
      </w:r>
      <w:r>
        <w:rPr>
          <w:sz w:val="22"/>
          <w:szCs w:val="22"/>
        </w:rPr>
        <w:t xml:space="preserve">  Global is a stronger story for a pitch deck and a weaker starting point for an actual solo-founder build. The recommendation: keep the India-first validation plan exactly as it is — the 10–20 founder interviews are still the very next step — but design the product architecture from day one so it isn't hard-coded to India-only (generic currency/locale handling, a plug-in-style integration layer for payment/logistics providers), so the same playbook can be repeated in one adjacent emerging market at a time once the India wedge is proven.</w:t>
      </w:r>
    </w:p>
    <w:p>
      <w:pPr>
        <w:spacing w:after="200" w:line="300"/>
      </w:pPr>
      <w:r>
        <w:rPr>
          <w:color w:val="1B1F3B"/>
        </w:rPr>
        <w:t xml:space="preserve">That gets you the global ambition without giving up the one piece of evidence that currently makes this idea defensible.</w:t>
      </w:r>
    </w:p>
    <w:p>
      <w:pPr>
        <w:pStyle w:val="Heading1"/>
        <w:pBdr>
          <w:top w:val="single" w:color="F96167" w:sz="14" w:space="8"/>
        </w:pBdr>
        <w:spacing w:after="40" w:before="420"/>
      </w:pPr>
      <w:r>
        <w:rPr>
          <w:rFonts w:ascii="Cambria" w:cs="Cambria" w:eastAsia="Cambria" w:hAnsi="Cambria"/>
          <w:b/>
          <w:bCs/>
          <w:color w:val="2F3C7E"/>
          <w:sz w:val="32"/>
          <w:szCs w:val="32"/>
        </w:rPr>
        <w:t xml:space="preserve">Sources</w:t>
      </w:r>
    </w:p>
    <w:p>
      <w:pPr>
        <w:spacing w:after="200" w:line="300"/>
      </w:pPr>
      <w:r>
        <w:rPr>
          <w:i/>
          <w:iCs/>
          <w:color w:val="1B1F3B"/>
        </w:rPr>
        <w:t xml:space="preserve">Grand View Research — B2C E-commerce Market Size And Share Report, 2026–2033. Mordor Intelligence — India D2C E-commerce Market Analysis (2026). Triple Whale Help Center — currency support article. DealStreetAsia, TechCrunch, Tracxn — Plugo Series A coverage. G2 review pages and vendor pricing pages for Triple Whale, Polar Analytics, Northbeam, Rockerbox, Daasity, Glew.io, Lifesight, Putler. All confidence tags reflect the discipline established across the Ecommerce Hub vault research: verified facts are independently confirmed via primary sources; vendor claims are marketing-only; inference is Claude's own synthesis, always flagged as such.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fee592cb2467679827c5b8b7ecc6912bad5717.png"/><Relationship Id="rId8" Type="http://schemas.openxmlformats.org/officeDocument/2006/relationships/image" Target="media/b0cf5eb8305b119dc6a306ec979fadab226ad52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2026-08-29T17:20:54.945Z</dcterms:created>
  <dcterms:modified xsi:type="dcterms:W3CDTF">2026-08-29T17:20:54.945Z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