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1416" w:rsidRDefault="004F5BFE">
      <w:pPr>
        <w:pStyle w:val="Heading1"/>
        <w:spacing w:before="240" w:after="160"/>
      </w:pPr>
      <w:r>
        <w:rPr>
          <w:b/>
          <w:bCs/>
          <w:color w:val="000000"/>
          <w:sz w:val="28"/>
          <w:szCs w:val="28"/>
        </w:rPr>
        <w:t xml:space="preserve">Exp. 5. Band Structure Simulation for Graphene and CNTs using </w:t>
      </w:r>
      <w:proofErr w:type="spellStart"/>
      <w:r>
        <w:rPr>
          <w:b/>
          <w:bCs/>
          <w:color w:val="000000"/>
          <w:sz w:val="28"/>
          <w:szCs w:val="28"/>
        </w:rPr>
        <w:t>NanoHub</w:t>
      </w:r>
      <w:proofErr w:type="spellEnd"/>
    </w:p>
    <w:p w:rsidR="00E41416" w:rsidRDefault="004F5BFE">
      <w:pPr>
        <w:pStyle w:val="Heading2"/>
        <w:spacing w:before="200" w:after="120"/>
      </w:pPr>
      <w:r>
        <w:rPr>
          <w:b/>
          <w:bCs/>
          <w:color w:val="000000"/>
          <w:sz w:val="24"/>
          <w:szCs w:val="24"/>
        </w:rPr>
        <w:t>Aim</w:t>
      </w:r>
    </w:p>
    <w:p w:rsidR="00E41416" w:rsidRDefault="004F5BFE">
      <w:pPr>
        <w:spacing w:after="120"/>
        <w:jc w:val="both"/>
      </w:pPr>
      <w:r>
        <w:t>To simulate the band structure of a nanowire for various materials.</w:t>
      </w:r>
    </w:p>
    <w:p w:rsidR="00E41416" w:rsidRDefault="004F5BFE">
      <w:pPr>
        <w:pStyle w:val="Heading2"/>
        <w:spacing w:before="200" w:after="120"/>
      </w:pPr>
      <w:r>
        <w:rPr>
          <w:b/>
          <w:bCs/>
          <w:color w:val="000000"/>
          <w:sz w:val="24"/>
          <w:szCs w:val="24"/>
        </w:rPr>
        <w:t>Software</w:t>
      </w:r>
    </w:p>
    <w:p w:rsidR="00E41416" w:rsidRDefault="004F5BFE">
      <w:pPr>
        <w:spacing w:after="120"/>
        <w:jc w:val="both"/>
      </w:pPr>
      <w:proofErr w:type="spellStart"/>
      <w:r>
        <w:t>NanoHub</w:t>
      </w:r>
      <w:proofErr w:type="spellEnd"/>
      <w:r>
        <w:t xml:space="preserve"> Online Tool — ABACUS (Assembly of Basic Applications for Coordinated Understanding of Semiconductors) → Band Structure Lab.</w:t>
      </w:r>
    </w:p>
    <w:p w:rsidR="00E41416" w:rsidRDefault="004F5BFE">
      <w:pPr>
        <w:pStyle w:val="Heading2"/>
        <w:spacing w:before="200" w:after="120"/>
      </w:pPr>
      <w:r>
        <w:rPr>
          <w:b/>
          <w:bCs/>
          <w:color w:val="000000"/>
          <w:sz w:val="24"/>
          <w:szCs w:val="24"/>
        </w:rPr>
        <w:t>Theory</w:t>
      </w:r>
    </w:p>
    <w:p w:rsidR="00E41416" w:rsidRDefault="004F5BFE">
      <w:pPr>
        <w:spacing w:after="120"/>
        <w:jc w:val="both"/>
      </w:pPr>
      <w:r>
        <w:t>A quantum wire is an electrically conducting wire in which quantum effects influence the transport properties. Usuall</w:t>
      </w:r>
      <w:r>
        <w:t>y such effects appear in the dimension of nanometres. If the diameter of a wire is sufficiently small, electrons will experience quantum confinement in the transverse direction. As a result, their transverse energy will be limited to a series of discrete v</w:t>
      </w:r>
      <w:r>
        <w:t>alues.</w:t>
      </w:r>
    </w:p>
    <w:p w:rsidR="00E41416" w:rsidRDefault="004F5BFE">
      <w:pPr>
        <w:spacing w:after="120"/>
        <w:jc w:val="both"/>
      </w:pPr>
      <w:r>
        <w:t>One consequence of this quantization is that the classical formula for calculating the electrical resistance of a wire, R = ρ l / A, no longer holds, because conduction takes place through a countable number of discrete sub-bands rather than a conti</w:t>
      </w:r>
      <w:r>
        <w:t>nuum of states.</w:t>
      </w:r>
    </w:p>
    <w:p w:rsidR="00E41416" w:rsidRDefault="004F5BFE">
      <w:pPr>
        <w:pStyle w:val="Heading2"/>
        <w:spacing w:before="200" w:after="120"/>
      </w:pPr>
      <w:r>
        <w:rPr>
          <w:b/>
          <w:bCs/>
          <w:color w:val="000000"/>
          <w:sz w:val="24"/>
          <w:szCs w:val="24"/>
        </w:rPr>
        <w:t>Procedure</w:t>
      </w:r>
    </w:p>
    <w:p w:rsidR="00E41416" w:rsidRDefault="004F5BFE">
      <w:pPr>
        <w:pStyle w:val="ListParagraph"/>
        <w:numPr>
          <w:ilvl w:val="0"/>
          <w:numId w:val="1"/>
        </w:numPr>
        <w:spacing w:after="60"/>
      </w:pPr>
      <w:r>
        <w:t xml:space="preserve">Open </w:t>
      </w:r>
      <w:proofErr w:type="spellStart"/>
      <w:r>
        <w:t>nanoHUB</w:t>
      </w:r>
      <w:proofErr w:type="spellEnd"/>
      <w:r>
        <w:t>.</w:t>
      </w:r>
    </w:p>
    <w:p w:rsidR="00E41416" w:rsidRDefault="004F5BFE">
      <w:pPr>
        <w:pStyle w:val="ListParagraph"/>
        <w:numPr>
          <w:ilvl w:val="0"/>
          <w:numId w:val="1"/>
        </w:numPr>
        <w:spacing w:after="60"/>
      </w:pPr>
      <w:r>
        <w:t>Go to Resources → Tools.</w:t>
      </w:r>
    </w:p>
    <w:p w:rsidR="00E41416" w:rsidRDefault="004F5BFE">
      <w:pPr>
        <w:pStyle w:val="ListParagraph"/>
        <w:numPr>
          <w:ilvl w:val="0"/>
          <w:numId w:val="1"/>
        </w:numPr>
        <w:spacing w:after="60"/>
      </w:pPr>
      <w:r>
        <w:t>Select Nanowire in Tags.</w:t>
      </w:r>
    </w:p>
    <w:p w:rsidR="00E41416" w:rsidRDefault="004F5BFE">
      <w:pPr>
        <w:pStyle w:val="ListParagraph"/>
        <w:numPr>
          <w:ilvl w:val="0"/>
          <w:numId w:val="1"/>
        </w:numPr>
        <w:spacing w:after="60"/>
      </w:pPr>
      <w:r>
        <w:t>Select ABACUS – Assembly of Basic Applications for Coordinated Understanding of Semiconductors in Resources.</w:t>
      </w:r>
    </w:p>
    <w:p w:rsidR="00E41416" w:rsidRDefault="004F5BFE">
      <w:pPr>
        <w:pStyle w:val="ListParagraph"/>
        <w:numPr>
          <w:ilvl w:val="0"/>
          <w:numId w:val="1"/>
        </w:numPr>
        <w:spacing w:after="60"/>
      </w:pPr>
      <w:r>
        <w:t>Press Launch tool in the info section.</w:t>
      </w:r>
    </w:p>
    <w:p w:rsidR="00E41416" w:rsidRDefault="004F5BFE">
      <w:pPr>
        <w:pStyle w:val="ListParagraph"/>
        <w:numPr>
          <w:ilvl w:val="0"/>
          <w:numId w:val="1"/>
        </w:numPr>
        <w:spacing w:after="60"/>
      </w:pPr>
      <w:r>
        <w:t>Select Application</w:t>
      </w:r>
      <w:r>
        <w:t>s → Band Structure Lab.</w:t>
      </w:r>
    </w:p>
    <w:p w:rsidR="00E41416" w:rsidRDefault="004F5BFE">
      <w:pPr>
        <w:pStyle w:val="ListParagraph"/>
        <w:numPr>
          <w:ilvl w:val="0"/>
          <w:numId w:val="1"/>
        </w:numPr>
        <w:spacing w:after="60"/>
      </w:pPr>
      <w:r>
        <w:t>Select Geometry → 1D Nanowire.</w:t>
      </w:r>
    </w:p>
    <w:p w:rsidR="00E41416" w:rsidRDefault="004F5BFE">
      <w:pPr>
        <w:pStyle w:val="ListParagraph"/>
        <w:numPr>
          <w:ilvl w:val="0"/>
          <w:numId w:val="1"/>
        </w:numPr>
        <w:spacing w:after="60"/>
      </w:pPr>
      <w:r>
        <w:t>Device cross section → Circular.</w:t>
      </w:r>
    </w:p>
    <w:p w:rsidR="00E41416" w:rsidRDefault="004F5BFE">
      <w:pPr>
        <w:pStyle w:val="ListParagraph"/>
        <w:numPr>
          <w:ilvl w:val="0"/>
          <w:numId w:val="1"/>
        </w:numPr>
        <w:spacing w:after="60"/>
      </w:pPr>
      <w:r>
        <w:t>Select the Material Type.</w:t>
      </w:r>
    </w:p>
    <w:p w:rsidR="00E41416" w:rsidRDefault="004F5BFE">
      <w:pPr>
        <w:pStyle w:val="ListParagraph"/>
        <w:numPr>
          <w:ilvl w:val="0"/>
          <w:numId w:val="1"/>
        </w:numPr>
        <w:spacing w:after="60"/>
      </w:pPr>
      <w:r>
        <w:t>Press Simulate to view results.</w:t>
      </w:r>
    </w:p>
    <w:p w:rsidR="00E41416" w:rsidRDefault="004F5BFE">
      <w:pPr>
        <w:pStyle w:val="ListParagraph"/>
        <w:numPr>
          <w:ilvl w:val="0"/>
          <w:numId w:val="1"/>
        </w:numPr>
        <w:spacing w:after="60"/>
      </w:pPr>
      <w:r>
        <w:t>Repeat for other materials and compare the results.</w:t>
      </w:r>
    </w:p>
    <w:p w:rsidR="00E41416" w:rsidRDefault="004F5BFE">
      <w:pPr>
        <w:pStyle w:val="Heading2"/>
        <w:spacing w:before="200" w:after="120"/>
      </w:pPr>
      <w:r>
        <w:rPr>
          <w:b/>
          <w:bCs/>
          <w:color w:val="000000"/>
          <w:sz w:val="24"/>
          <w:szCs w:val="24"/>
        </w:rPr>
        <w:t>Output — Device Type Configuration (Silicon Nanowire)</w:t>
      </w:r>
    </w:p>
    <w:p w:rsidR="00E41416" w:rsidRDefault="004F5BFE">
      <w:pPr>
        <w:spacing w:after="160"/>
        <w:jc w:val="center"/>
      </w:pPr>
      <w:r>
        <w:rPr>
          <w:noProof/>
        </w:rPr>
        <w:lastRenderedPageBreak/>
        <w:drawing>
          <wp:inline distT="0" distB="0" distL="0" distR="0">
            <wp:extent cx="4286250" cy="3400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0" cy="3400425"/>
                    </a:xfrm>
                    <a:prstGeom prst="rect">
                      <a:avLst/>
                    </a:prstGeom>
                  </pic:spPr>
                </pic:pic>
              </a:graphicData>
            </a:graphic>
          </wp:inline>
        </w:drawing>
      </w:r>
    </w:p>
    <w:p w:rsidR="00E41416" w:rsidRDefault="004F5BFE">
      <w:pPr>
        <w:spacing w:after="200"/>
        <w:jc w:val="center"/>
      </w:pPr>
      <w:r>
        <w:rPr>
          <w:i/>
          <w:iCs/>
          <w:sz w:val="20"/>
          <w:szCs w:val="20"/>
        </w:rPr>
        <w:t>De</w:t>
      </w:r>
      <w:r>
        <w:rPr>
          <w:i/>
          <w:iCs/>
          <w:sz w:val="20"/>
          <w:szCs w:val="20"/>
        </w:rPr>
        <w:t>vice Type tab — Geometry: Nanowire (1D-periodic), Material: Si, Cross section: Circle, Diameter: 2.1 nm</w:t>
      </w:r>
    </w:p>
    <w:p w:rsidR="00E41416" w:rsidRDefault="004F5BFE">
      <w:pPr>
        <w:spacing w:after="120"/>
        <w:jc w:val="both"/>
      </w:pPr>
      <w:r>
        <w:t xml:space="preserve">Parameters set: Geometry – Nanowire (1D-periodic), Calculation </w:t>
      </w:r>
      <w:proofErr w:type="gramStart"/>
      <w:r>
        <w:t>For</w:t>
      </w:r>
      <w:proofErr w:type="gramEnd"/>
      <w:r>
        <w:t xml:space="preserve"> – Electrons, Material – Si, Job Type – Calculate the wire band structure, Device cros</w:t>
      </w:r>
      <w:r>
        <w:t xml:space="preserve">s section – Circle, Diameter – 2.1 nm, Transport direction (X) – (100), Confinement direction (Z) – [010]. The material dropdown shows the available options: Si, Ge, GaAs, </w:t>
      </w:r>
      <w:proofErr w:type="spellStart"/>
      <w:r>
        <w:t>InAs</w:t>
      </w:r>
      <w:proofErr w:type="spellEnd"/>
      <w:r>
        <w:t xml:space="preserve">, </w:t>
      </w:r>
      <w:proofErr w:type="spellStart"/>
      <w:r>
        <w:t>AlGaAs</w:t>
      </w:r>
      <w:proofErr w:type="spellEnd"/>
      <w:r>
        <w:t xml:space="preserve"> and </w:t>
      </w:r>
      <w:proofErr w:type="spellStart"/>
      <w:r>
        <w:t>SiGe</w:t>
      </w:r>
      <w:proofErr w:type="spellEnd"/>
      <w:r>
        <w:t>.</w:t>
      </w:r>
    </w:p>
    <w:p w:rsidR="00E41416" w:rsidRDefault="004F5BFE">
      <w:pPr>
        <w:pStyle w:val="Heading2"/>
        <w:spacing w:before="200" w:after="120"/>
      </w:pPr>
      <w:r>
        <w:rPr>
          <w:b/>
          <w:bCs/>
          <w:color w:val="000000"/>
          <w:sz w:val="24"/>
          <w:szCs w:val="24"/>
        </w:rPr>
        <w:t>Physics Configuration</w:t>
      </w:r>
    </w:p>
    <w:p w:rsidR="00E41416" w:rsidRDefault="004F5BFE">
      <w:pPr>
        <w:spacing w:after="160"/>
        <w:jc w:val="center"/>
      </w:pPr>
      <w:r>
        <w:rPr>
          <w:noProof/>
        </w:rPr>
        <w:drawing>
          <wp:inline distT="0" distB="0" distL="0" distR="0">
            <wp:extent cx="4286250" cy="3162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86250" cy="3162300"/>
                    </a:xfrm>
                    <a:prstGeom prst="rect">
                      <a:avLst/>
                    </a:prstGeom>
                  </pic:spPr>
                </pic:pic>
              </a:graphicData>
            </a:graphic>
          </wp:inline>
        </w:drawing>
      </w:r>
    </w:p>
    <w:p w:rsidR="00E41416" w:rsidRDefault="004F5BFE">
      <w:pPr>
        <w:spacing w:after="200"/>
        <w:jc w:val="center"/>
      </w:pPr>
      <w:r>
        <w:rPr>
          <w:i/>
          <w:iCs/>
          <w:sz w:val="20"/>
          <w:szCs w:val="20"/>
        </w:rPr>
        <w:t>Physics tab — Tight Binding Model: sp3d5s*, Spin-Orbit Coupling: no, Dangling Bond Energy: 30 eV, Explore: Conduction bands</w:t>
      </w:r>
    </w:p>
    <w:p w:rsidR="00E41416" w:rsidRDefault="004F5BFE">
      <w:pPr>
        <w:spacing w:after="120"/>
        <w:jc w:val="both"/>
      </w:pPr>
      <w:r>
        <w:t>The sp3d5s* tight-binding model is chosen because it reproduces the conduction and valence bands of the bulk semiconductor accuratel</w:t>
      </w:r>
      <w:r>
        <w:t>y over the whole Brillouin zone. The dangling bond energy of 30 eV is a large artificial value assigned to the unterminated surface bonds so that surface states are pushed far away from the band gap and do not contaminate the physically meaningful bands.</w:t>
      </w:r>
    </w:p>
    <w:p w:rsidR="00E41416" w:rsidRDefault="004F5BFE" w:rsidP="004F5BFE">
      <w:r>
        <w:br w:type="page"/>
      </w:r>
      <w:bookmarkStart w:id="0" w:name="_GoBack"/>
      <w:bookmarkEnd w:id="0"/>
      <w:r>
        <w:rPr>
          <w:b/>
          <w:bCs/>
          <w:color w:val="000000"/>
          <w:sz w:val="24"/>
          <w:szCs w:val="24"/>
        </w:rPr>
        <w:lastRenderedPageBreak/>
        <w:t>Output — Band Structure of Silicon Circular Nanowire</w:t>
      </w:r>
    </w:p>
    <w:p w:rsidR="00E41416" w:rsidRDefault="004F5BFE">
      <w:pPr>
        <w:spacing w:after="160"/>
        <w:jc w:val="center"/>
      </w:pPr>
      <w:r>
        <w:rPr>
          <w:noProof/>
        </w:rPr>
        <w:drawing>
          <wp:inline distT="0" distB="0" distL="0" distR="0">
            <wp:extent cx="438150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314700"/>
                    </a:xfrm>
                    <a:prstGeom prst="rect">
                      <a:avLst/>
                    </a:prstGeom>
                  </pic:spPr>
                </pic:pic>
              </a:graphicData>
            </a:graphic>
          </wp:inline>
        </w:drawing>
      </w:r>
    </w:p>
    <w:p w:rsidR="00E41416" w:rsidRDefault="004F5BFE">
      <w:pPr>
        <w:spacing w:after="200"/>
        <w:jc w:val="center"/>
      </w:pPr>
      <w:r>
        <w:rPr>
          <w:i/>
          <w:iCs/>
          <w:sz w:val="20"/>
          <w:szCs w:val="20"/>
        </w:rPr>
        <w:t>Result: Bands Wire — E (eV) vs k (nm⁻¹) for Si nanowire of 2.1 nm diameter</w:t>
      </w:r>
    </w:p>
    <w:p w:rsidR="00E41416" w:rsidRDefault="004F5BFE">
      <w:pPr>
        <w:spacing w:after="120"/>
        <w:jc w:val="both"/>
      </w:pPr>
      <w:r>
        <w:rPr>
          <w:b/>
          <w:bCs/>
        </w:rPr>
        <w:t>Explanation of Output:</w:t>
      </w:r>
    </w:p>
    <w:p w:rsidR="00E41416" w:rsidRDefault="004F5BFE">
      <w:pPr>
        <w:spacing w:after="120"/>
        <w:jc w:val="both"/>
      </w:pPr>
      <w:r>
        <w:t>The output plots the electron energy E (eV) against the wave vector k (nm⁻¹) along the transport direc</w:t>
      </w:r>
      <w:r>
        <w:t>tion. Instead of the two or three broad bands seen in bulk silicon, a large number of closely spaced sub-band curves appear between about 1.8 eV and 3.1 eV.</w:t>
      </w:r>
    </w:p>
    <w:p w:rsidR="00E41416" w:rsidRDefault="004F5BFE">
      <w:pPr>
        <w:spacing w:after="120"/>
        <w:jc w:val="both"/>
      </w:pPr>
      <w:r>
        <w:t>This splitting into many sub-bands is the direct signature of quantum confinement in the transverse</w:t>
      </w:r>
      <w:r>
        <w:t xml:space="preserve"> (Z) direction. Because the wire diameter is only 2.1 nm, the transverse energy is quantised, and every allowed transverse mode generates its own one-dimensional sub-band along k. The lowest curve (dark blue) is the conduction band minimum of the nanowire </w:t>
      </w:r>
      <w:r>
        <w:t>and its position above the bulk conduction band edge represents the confinement energy added by the small diameter.</w:t>
      </w:r>
    </w:p>
    <w:p w:rsidR="00E41416" w:rsidRDefault="004F5BFE">
      <w:pPr>
        <w:spacing w:after="120"/>
        <w:jc w:val="both"/>
      </w:pPr>
      <w:r>
        <w:t xml:space="preserve">The minimum of the lowest sub-band does not occur at k = 0 but at a finite k value, which reflects the indirect band gap nature of silicon. </w:t>
      </w:r>
      <w:r>
        <w:t>The curvature of each band is inversely related to the effective mass of the carriers in that band — the flatter yellow and cyan curves correspond to heavier effective masses and therefore lower carrier mobility.</w:t>
      </w:r>
    </w:p>
    <w:p w:rsidR="00E41416" w:rsidRDefault="004F5BFE">
      <w:r>
        <w:br w:type="page"/>
      </w:r>
    </w:p>
    <w:p w:rsidR="00E41416" w:rsidRDefault="004F5BFE">
      <w:pPr>
        <w:pStyle w:val="Heading2"/>
        <w:spacing w:before="200" w:after="120"/>
      </w:pPr>
      <w:r>
        <w:rPr>
          <w:b/>
          <w:bCs/>
          <w:color w:val="000000"/>
          <w:sz w:val="24"/>
          <w:szCs w:val="24"/>
        </w:rPr>
        <w:lastRenderedPageBreak/>
        <w:t xml:space="preserve">Case Study 1: Simulate the band-structure of an </w:t>
      </w:r>
      <w:proofErr w:type="spellStart"/>
      <w:r>
        <w:rPr>
          <w:b/>
          <w:bCs/>
          <w:color w:val="000000"/>
          <w:sz w:val="24"/>
          <w:szCs w:val="24"/>
        </w:rPr>
        <w:t>InAs</w:t>
      </w:r>
      <w:proofErr w:type="spellEnd"/>
      <w:r>
        <w:rPr>
          <w:b/>
          <w:bCs/>
          <w:color w:val="000000"/>
          <w:sz w:val="24"/>
          <w:szCs w:val="24"/>
        </w:rPr>
        <w:t xml:space="preserve"> circular nanowire</w:t>
      </w:r>
    </w:p>
    <w:p w:rsidR="00E41416" w:rsidRDefault="004F5BFE">
      <w:pPr>
        <w:spacing w:after="120"/>
        <w:jc w:val="both"/>
      </w:pPr>
      <w:r>
        <w:t>Aim: To obtain the band structure of a circular nanowire when the channel material is changed from silicon to indium arsenide, keeping the geometry identical.</w:t>
      </w:r>
    </w:p>
    <w:p w:rsidR="00E41416" w:rsidRDefault="004F5BFE">
      <w:pPr>
        <w:spacing w:after="160"/>
        <w:jc w:val="center"/>
      </w:pPr>
      <w:r>
        <w:rPr>
          <w:noProof/>
        </w:rPr>
        <w:drawing>
          <wp:inline distT="0" distB="0" distL="0" distR="0">
            <wp:extent cx="428625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3314700"/>
                    </a:xfrm>
                    <a:prstGeom prst="rect">
                      <a:avLst/>
                    </a:prstGeom>
                  </pic:spPr>
                </pic:pic>
              </a:graphicData>
            </a:graphic>
          </wp:inline>
        </w:drawing>
      </w:r>
    </w:p>
    <w:p w:rsidR="00E41416" w:rsidRDefault="004F5BFE">
      <w:pPr>
        <w:spacing w:after="200"/>
        <w:jc w:val="center"/>
      </w:pPr>
      <w:r>
        <w:rPr>
          <w:i/>
          <w:iCs/>
          <w:sz w:val="20"/>
          <w:szCs w:val="20"/>
        </w:rPr>
        <w:t>Device Type tab — Materi</w:t>
      </w:r>
      <w:r>
        <w:rPr>
          <w:i/>
          <w:iCs/>
          <w:sz w:val="20"/>
          <w:szCs w:val="20"/>
        </w:rPr>
        <w:t xml:space="preserve">al changed to </w:t>
      </w:r>
      <w:proofErr w:type="spellStart"/>
      <w:r>
        <w:rPr>
          <w:i/>
          <w:iCs/>
          <w:sz w:val="20"/>
          <w:szCs w:val="20"/>
        </w:rPr>
        <w:t>InAs</w:t>
      </w:r>
      <w:proofErr w:type="spellEnd"/>
      <w:r>
        <w:rPr>
          <w:i/>
          <w:iCs/>
          <w:sz w:val="20"/>
          <w:szCs w:val="20"/>
        </w:rPr>
        <w:t>; cross-section options Circle / Rectangle / Circular Shell</w:t>
      </w:r>
    </w:p>
    <w:p w:rsidR="00E41416" w:rsidRDefault="004F5BFE">
      <w:pPr>
        <w:spacing w:after="160"/>
        <w:jc w:val="center"/>
      </w:pPr>
      <w:r>
        <w:rPr>
          <w:noProof/>
        </w:rPr>
        <w:drawing>
          <wp:inline distT="0" distB="0" distL="0" distR="0">
            <wp:extent cx="438150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314700"/>
                    </a:xfrm>
                    <a:prstGeom prst="rect">
                      <a:avLst/>
                    </a:prstGeom>
                  </pic:spPr>
                </pic:pic>
              </a:graphicData>
            </a:graphic>
          </wp:inline>
        </w:drawing>
      </w:r>
    </w:p>
    <w:p w:rsidR="00E41416" w:rsidRDefault="004F5BFE">
      <w:pPr>
        <w:spacing w:after="200"/>
        <w:jc w:val="center"/>
      </w:pPr>
      <w:r>
        <w:rPr>
          <w:i/>
          <w:iCs/>
          <w:sz w:val="20"/>
          <w:szCs w:val="20"/>
        </w:rPr>
        <w:t xml:space="preserve">Result: Bands Wire for </w:t>
      </w:r>
      <w:proofErr w:type="spellStart"/>
      <w:r>
        <w:rPr>
          <w:i/>
          <w:iCs/>
          <w:sz w:val="20"/>
          <w:szCs w:val="20"/>
        </w:rPr>
        <w:t>InAs</w:t>
      </w:r>
      <w:proofErr w:type="spellEnd"/>
      <w:r>
        <w:rPr>
          <w:i/>
          <w:iCs/>
          <w:sz w:val="20"/>
          <w:szCs w:val="20"/>
        </w:rPr>
        <w:t xml:space="preserve"> nanowire (Simulation #2, Material = </w:t>
      </w:r>
      <w:proofErr w:type="spellStart"/>
      <w:r>
        <w:rPr>
          <w:i/>
          <w:iCs/>
          <w:sz w:val="20"/>
          <w:szCs w:val="20"/>
        </w:rPr>
        <w:t>InAs</w:t>
      </w:r>
      <w:proofErr w:type="spellEnd"/>
      <w:r>
        <w:rPr>
          <w:i/>
          <w:iCs/>
          <w:sz w:val="20"/>
          <w:szCs w:val="20"/>
        </w:rPr>
        <w:t>)</w:t>
      </w:r>
    </w:p>
    <w:p w:rsidR="00E41416" w:rsidRDefault="004F5BFE">
      <w:pPr>
        <w:spacing w:after="120"/>
        <w:jc w:val="both"/>
      </w:pPr>
      <w:r>
        <w:rPr>
          <w:b/>
          <w:bCs/>
        </w:rPr>
        <w:t>Explanation of Output:</w:t>
      </w:r>
    </w:p>
    <w:p w:rsidR="00E41416" w:rsidRDefault="004F5BFE">
      <w:pPr>
        <w:spacing w:after="120"/>
        <w:jc w:val="both"/>
      </w:pPr>
      <w:r>
        <w:t xml:space="preserve">For the </w:t>
      </w:r>
      <w:proofErr w:type="spellStart"/>
      <w:r>
        <w:t>InAs</w:t>
      </w:r>
      <w:proofErr w:type="spellEnd"/>
      <w:r>
        <w:t xml:space="preserve"> nanowire the band structure is completely different in character from </w:t>
      </w:r>
      <w:r>
        <w:t xml:space="preserve">silicon. The lowest sub-band starts near 1.75 eV at k = 0 and rises steeply and smoothly with k, reaching about 2.55 eV. The band minimum now lies at k = 0, confirming that </w:t>
      </w:r>
      <w:proofErr w:type="spellStart"/>
      <w:r>
        <w:t>InAs</w:t>
      </w:r>
      <w:proofErr w:type="spellEnd"/>
      <w:r>
        <w:t xml:space="preserve"> is a direct band gap material, unlike the indirect silicon wire.</w:t>
      </w:r>
    </w:p>
    <w:p w:rsidR="00E41416" w:rsidRDefault="004F5BFE">
      <w:pPr>
        <w:spacing w:after="120"/>
        <w:jc w:val="both"/>
      </w:pPr>
      <w:r>
        <w:t>The lowest ba</w:t>
      </w:r>
      <w:r>
        <w:t xml:space="preserve">nd is much more sharply curved than any of the silicon bands. Since the effective mass is inversely proportional to the curvature (m* ∝ 1/(d²E/dk²)), this steep curvature indicates a very small electron effective mass in </w:t>
      </w:r>
      <w:proofErr w:type="spellStart"/>
      <w:r>
        <w:t>InAs</w:t>
      </w:r>
      <w:proofErr w:type="spellEnd"/>
      <w:r>
        <w:t xml:space="preserve">, which is why </w:t>
      </w:r>
      <w:proofErr w:type="spellStart"/>
      <w:r>
        <w:t>InAs</w:t>
      </w:r>
      <w:proofErr w:type="spellEnd"/>
      <w:r>
        <w:t xml:space="preserve"> nanowires a</w:t>
      </w:r>
      <w:r>
        <w:t>re attractive for high-mobility, high-speed transistor channels.</w:t>
      </w:r>
    </w:p>
    <w:p w:rsidR="00E41416" w:rsidRDefault="004F5BFE">
      <w:pPr>
        <w:spacing w:after="120"/>
        <w:jc w:val="both"/>
      </w:pPr>
      <w:r>
        <w:lastRenderedPageBreak/>
        <w:t>The higher sub-bands between 2.5 eV and 3.2 eV are more closely packed and show band anti-crossing, where two bands approach and then repel each other instead of intersecting. This coupling b</w:t>
      </w:r>
      <w:r>
        <w:t>etween sub-bands is a genuine quantum-mechanical effect captured by the tight-binding model.</w:t>
      </w:r>
    </w:p>
    <w:p w:rsidR="00E41416" w:rsidRDefault="004F5BFE">
      <w:r>
        <w:br w:type="page"/>
      </w:r>
    </w:p>
    <w:p w:rsidR="00E41416" w:rsidRDefault="004F5BFE">
      <w:pPr>
        <w:pStyle w:val="Heading2"/>
        <w:spacing w:before="200" w:after="120"/>
      </w:pPr>
      <w:r>
        <w:rPr>
          <w:b/>
          <w:bCs/>
          <w:color w:val="000000"/>
          <w:sz w:val="24"/>
          <w:szCs w:val="24"/>
        </w:rPr>
        <w:lastRenderedPageBreak/>
        <w:t xml:space="preserve">Case Study 2: Simulate the band-structure of an </w:t>
      </w:r>
      <w:proofErr w:type="spellStart"/>
      <w:r>
        <w:rPr>
          <w:b/>
          <w:bCs/>
          <w:color w:val="000000"/>
          <w:sz w:val="24"/>
          <w:szCs w:val="24"/>
        </w:rPr>
        <w:t>AlGaAs</w:t>
      </w:r>
      <w:proofErr w:type="spellEnd"/>
      <w:r>
        <w:rPr>
          <w:b/>
          <w:bCs/>
          <w:color w:val="000000"/>
          <w:sz w:val="24"/>
          <w:szCs w:val="24"/>
        </w:rPr>
        <w:t xml:space="preserve"> circular nanowire</w:t>
      </w:r>
    </w:p>
    <w:p w:rsidR="00E41416" w:rsidRDefault="004F5BFE">
      <w:pPr>
        <w:spacing w:after="120"/>
        <w:jc w:val="both"/>
      </w:pPr>
      <w:r>
        <w:t xml:space="preserve">Aim: To obtain the band structure of a circular nanowire made of the ternary alloy </w:t>
      </w:r>
      <w:proofErr w:type="spellStart"/>
      <w:r>
        <w:t>AlGaA</w:t>
      </w:r>
      <w:r>
        <w:t>s</w:t>
      </w:r>
      <w:proofErr w:type="spellEnd"/>
      <w:r>
        <w:t xml:space="preserve"> and to compare it with the Si and </w:t>
      </w:r>
      <w:proofErr w:type="spellStart"/>
      <w:r>
        <w:t>InAs</w:t>
      </w:r>
      <w:proofErr w:type="spellEnd"/>
      <w:r>
        <w:t xml:space="preserve"> wires.</w:t>
      </w:r>
    </w:p>
    <w:p w:rsidR="00E41416" w:rsidRDefault="004F5BFE">
      <w:pPr>
        <w:spacing w:after="160"/>
        <w:jc w:val="center"/>
      </w:pPr>
      <w:r>
        <w:rPr>
          <w:noProof/>
        </w:rPr>
        <w:drawing>
          <wp:inline distT="0" distB="0" distL="0" distR="0">
            <wp:extent cx="428625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3314700"/>
                    </a:xfrm>
                    <a:prstGeom prst="rect">
                      <a:avLst/>
                    </a:prstGeom>
                  </pic:spPr>
                </pic:pic>
              </a:graphicData>
            </a:graphic>
          </wp:inline>
        </w:drawing>
      </w:r>
    </w:p>
    <w:p w:rsidR="00E41416" w:rsidRDefault="004F5BFE">
      <w:pPr>
        <w:spacing w:after="200"/>
        <w:jc w:val="center"/>
      </w:pPr>
      <w:r>
        <w:rPr>
          <w:i/>
          <w:iCs/>
          <w:sz w:val="20"/>
          <w:szCs w:val="20"/>
        </w:rPr>
        <w:t xml:space="preserve">Device Type tab — Material: </w:t>
      </w:r>
      <w:proofErr w:type="spellStart"/>
      <w:r>
        <w:rPr>
          <w:i/>
          <w:iCs/>
          <w:sz w:val="20"/>
          <w:szCs w:val="20"/>
        </w:rPr>
        <w:t>AlGaAs</w:t>
      </w:r>
      <w:proofErr w:type="spellEnd"/>
      <w:r>
        <w:rPr>
          <w:i/>
          <w:iCs/>
          <w:sz w:val="20"/>
          <w:szCs w:val="20"/>
        </w:rPr>
        <w:t>, Alloy Model: Virtual Crystal Approximation, Molar fraction: 0.5</w:t>
      </w:r>
    </w:p>
    <w:p w:rsidR="00E41416" w:rsidRDefault="004F5BFE">
      <w:pPr>
        <w:spacing w:after="120"/>
        <w:jc w:val="both"/>
      </w:pPr>
      <w:r>
        <w:t xml:space="preserve">Because </w:t>
      </w:r>
      <w:proofErr w:type="spellStart"/>
      <w:r>
        <w:t>AlGaAs</w:t>
      </w:r>
      <w:proofErr w:type="spellEnd"/>
      <w:r>
        <w:t xml:space="preserve"> is an alloy and not an elemental or binary crystal, the Alloy Model field becomes active and is set to the Virtual Crystal Approximation with a molar fraction of 0.5, i.e. Al</w:t>
      </w:r>
      <w:proofErr w:type="gramStart"/>
      <w:r>
        <w:t>₀.₅</w:t>
      </w:r>
      <w:proofErr w:type="gramEnd"/>
      <w:r>
        <w:t>Ga₀.₅As. In this approximation the alloy is treated as a perfect</w:t>
      </w:r>
      <w:r>
        <w:t xml:space="preserve"> periodic crystal whose atomic potential is the composition-weighted average of the </w:t>
      </w:r>
      <w:proofErr w:type="spellStart"/>
      <w:r>
        <w:t>AlAs</w:t>
      </w:r>
      <w:proofErr w:type="spellEnd"/>
      <w:r>
        <w:t xml:space="preserve"> and GaAs potentials.</w:t>
      </w:r>
    </w:p>
    <w:p w:rsidR="00E41416" w:rsidRDefault="004F5BFE">
      <w:pPr>
        <w:spacing w:after="160"/>
        <w:jc w:val="center"/>
      </w:pPr>
      <w:r>
        <w:rPr>
          <w:noProof/>
        </w:rPr>
        <w:drawing>
          <wp:inline distT="0" distB="0" distL="0" distR="0">
            <wp:extent cx="4191000" cy="3724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724275"/>
                    </a:xfrm>
                    <a:prstGeom prst="rect">
                      <a:avLst/>
                    </a:prstGeom>
                  </pic:spPr>
                </pic:pic>
              </a:graphicData>
            </a:graphic>
          </wp:inline>
        </w:drawing>
      </w:r>
    </w:p>
    <w:p w:rsidR="00E41416" w:rsidRDefault="004F5BFE">
      <w:pPr>
        <w:spacing w:after="200"/>
        <w:jc w:val="center"/>
      </w:pPr>
      <w:r>
        <w:rPr>
          <w:i/>
          <w:iCs/>
          <w:sz w:val="20"/>
          <w:szCs w:val="20"/>
        </w:rPr>
        <w:t xml:space="preserve">Result: Bands Wire for </w:t>
      </w:r>
      <w:proofErr w:type="spellStart"/>
      <w:r>
        <w:rPr>
          <w:i/>
          <w:iCs/>
          <w:sz w:val="20"/>
          <w:szCs w:val="20"/>
        </w:rPr>
        <w:t>AlGaAs</w:t>
      </w:r>
      <w:proofErr w:type="spellEnd"/>
      <w:r>
        <w:rPr>
          <w:i/>
          <w:iCs/>
          <w:sz w:val="20"/>
          <w:szCs w:val="20"/>
        </w:rPr>
        <w:t xml:space="preserve"> nanowire with Zoom #2 applied (Simulation #3)</w:t>
      </w:r>
    </w:p>
    <w:p w:rsidR="00E41416" w:rsidRDefault="004F5BFE">
      <w:pPr>
        <w:spacing w:after="120"/>
        <w:jc w:val="both"/>
      </w:pPr>
      <w:r>
        <w:rPr>
          <w:b/>
          <w:bCs/>
        </w:rPr>
        <w:t>Explanation of Output:</w:t>
      </w:r>
    </w:p>
    <w:p w:rsidR="00E41416" w:rsidRDefault="004F5BFE">
      <w:pPr>
        <w:spacing w:after="120"/>
        <w:jc w:val="both"/>
      </w:pPr>
      <w:r>
        <w:lastRenderedPageBreak/>
        <w:t xml:space="preserve">The </w:t>
      </w:r>
      <w:proofErr w:type="spellStart"/>
      <w:r>
        <w:t>AlGaAs</w:t>
      </w:r>
      <w:proofErr w:type="spellEnd"/>
      <w:r>
        <w:t xml:space="preserve"> nanowire bands lie between roughly</w:t>
      </w:r>
      <w:r>
        <w:t xml:space="preserve"> 2.3 eV and 3.2 eV, which is higher than both the Si and </w:t>
      </w:r>
      <w:proofErr w:type="spellStart"/>
      <w:r>
        <w:t>InAs</w:t>
      </w:r>
      <w:proofErr w:type="spellEnd"/>
      <w:r>
        <w:t xml:space="preserve"> wires. This is expected because </w:t>
      </w:r>
      <w:proofErr w:type="spellStart"/>
      <w:r>
        <w:t>AlGaAs</w:t>
      </w:r>
      <w:proofErr w:type="spellEnd"/>
      <w:r>
        <w:t xml:space="preserve"> has a wider band gap than GaAs or </w:t>
      </w:r>
      <w:proofErr w:type="spellStart"/>
      <w:r>
        <w:t>InAs</w:t>
      </w:r>
      <w:proofErr w:type="spellEnd"/>
      <w:r>
        <w:t>, and the gap widens further as the aluminium fraction increases.</w:t>
      </w:r>
    </w:p>
    <w:p w:rsidR="00E41416" w:rsidRDefault="004F5BFE">
      <w:pPr>
        <w:spacing w:after="120"/>
        <w:jc w:val="both"/>
      </w:pPr>
      <w:r>
        <w:t>The bands are noticeably flatter and more tightly b</w:t>
      </w:r>
      <w:r>
        <w:t xml:space="preserve">unched than the </w:t>
      </w:r>
      <w:proofErr w:type="spellStart"/>
      <w:r>
        <w:t>InAs</w:t>
      </w:r>
      <w:proofErr w:type="spellEnd"/>
      <w:r>
        <w:t xml:space="preserve"> bands. Flatter bands mean a larger effective mass and hence lower carrier mobility, which is why </w:t>
      </w:r>
      <w:proofErr w:type="spellStart"/>
      <w:r>
        <w:t>AlGaAs</w:t>
      </w:r>
      <w:proofErr w:type="spellEnd"/>
      <w:r>
        <w:t xml:space="preserve"> is normally used as the wide-gap barrier layer in a </w:t>
      </w:r>
      <w:proofErr w:type="spellStart"/>
      <w:r>
        <w:t>heterostructure</w:t>
      </w:r>
      <w:proofErr w:type="spellEnd"/>
      <w:r>
        <w:t xml:space="preserve"> rather than as the conducting channel itself.</w:t>
      </w:r>
    </w:p>
    <w:p w:rsidR="00E41416" w:rsidRDefault="004F5BFE">
      <w:pPr>
        <w:spacing w:after="120"/>
        <w:jc w:val="both"/>
      </w:pPr>
      <w:r>
        <w:t>The zoomed view h</w:t>
      </w:r>
      <w:r>
        <w:t>ighlights several regions where two sub-bands approach one another around k ≈ 2–3 nm⁻¹ and repel instead of crossing. These anti-crossing points arise from the mixing of different transverse confinement modes and become more frequent in alloys, where the a</w:t>
      </w:r>
      <w:r>
        <w:t xml:space="preserve">veraged potential </w:t>
      </w:r>
      <w:proofErr w:type="gramStart"/>
      <w:r>
        <w:t>couples</w:t>
      </w:r>
      <w:proofErr w:type="gramEnd"/>
      <w:r>
        <w:t xml:space="preserve"> states that would otherwise remain independent.</w:t>
      </w:r>
    </w:p>
    <w:p w:rsidR="00E41416" w:rsidRDefault="004F5BFE">
      <w:pPr>
        <w:pStyle w:val="Heading2"/>
        <w:spacing w:before="200" w:after="120"/>
      </w:pPr>
      <w:r>
        <w:rPr>
          <w:b/>
          <w:bCs/>
          <w:color w:val="000000"/>
          <w:sz w:val="24"/>
          <w:szCs w:val="24"/>
        </w:rPr>
        <w:t>Inference</w:t>
      </w:r>
    </w:p>
    <w:p w:rsidR="00E41416" w:rsidRDefault="004F5BFE">
      <w:pPr>
        <w:pStyle w:val="ListParagraph"/>
        <w:numPr>
          <w:ilvl w:val="0"/>
          <w:numId w:val="1"/>
        </w:numPr>
        <w:spacing w:after="60"/>
      </w:pPr>
      <w:r>
        <w:t>Reducing the nanowire diameter quantises the transverse energy and splits each bulk band into a family of one-dimensional sub-bands.</w:t>
      </w:r>
    </w:p>
    <w:p w:rsidR="00E41416" w:rsidRDefault="004F5BFE">
      <w:pPr>
        <w:pStyle w:val="ListParagraph"/>
        <w:numPr>
          <w:ilvl w:val="0"/>
          <w:numId w:val="1"/>
        </w:numPr>
        <w:spacing w:after="60"/>
      </w:pPr>
      <w:r>
        <w:t>Silicon nanowires retain an indirect ba</w:t>
      </w:r>
      <w:r>
        <w:t xml:space="preserve">nd minimum at finite k, whereas </w:t>
      </w:r>
      <w:proofErr w:type="spellStart"/>
      <w:r>
        <w:t>InAs</w:t>
      </w:r>
      <w:proofErr w:type="spellEnd"/>
      <w:r>
        <w:t xml:space="preserve"> nanowires show a direct minimum at k = 0.</w:t>
      </w:r>
    </w:p>
    <w:p w:rsidR="00E41416" w:rsidRDefault="004F5BFE">
      <w:pPr>
        <w:pStyle w:val="ListParagraph"/>
        <w:numPr>
          <w:ilvl w:val="0"/>
          <w:numId w:val="1"/>
        </w:numPr>
        <w:spacing w:after="60"/>
      </w:pPr>
      <w:r>
        <w:t xml:space="preserve">The curvature of the lowest sub-band directly indicates the effective mass — </w:t>
      </w:r>
      <w:proofErr w:type="spellStart"/>
      <w:r>
        <w:t>InAs</w:t>
      </w:r>
      <w:proofErr w:type="spellEnd"/>
      <w:r>
        <w:t xml:space="preserve"> (sharp curvature, light mass) &gt; Si &gt; </w:t>
      </w:r>
      <w:proofErr w:type="spellStart"/>
      <w:r>
        <w:t>AlGaAs</w:t>
      </w:r>
      <w:proofErr w:type="spellEnd"/>
      <w:r>
        <w:t xml:space="preserve"> (flat bands, heavy mass) in terms of expected mobil</w:t>
      </w:r>
      <w:r>
        <w:t>ity.</w:t>
      </w:r>
    </w:p>
    <w:p w:rsidR="00E41416" w:rsidRDefault="004F5BFE">
      <w:pPr>
        <w:pStyle w:val="ListParagraph"/>
        <w:numPr>
          <w:ilvl w:val="0"/>
          <w:numId w:val="1"/>
        </w:numPr>
        <w:spacing w:after="60"/>
      </w:pPr>
      <w:r>
        <w:t xml:space="preserve">Alloy materials such as </w:t>
      </w:r>
      <w:proofErr w:type="spellStart"/>
      <w:r>
        <w:t>AlGaAs</w:t>
      </w:r>
      <w:proofErr w:type="spellEnd"/>
      <w:r>
        <w:t xml:space="preserve"> require the Virtual Crystal Approximation and show pronounced sub-band anti-crossing.</w:t>
      </w:r>
    </w:p>
    <w:p w:rsidR="00E41416" w:rsidRDefault="004F5BFE">
      <w:pPr>
        <w:pStyle w:val="Heading2"/>
        <w:spacing w:before="200" w:after="120"/>
      </w:pPr>
      <w:r>
        <w:rPr>
          <w:b/>
          <w:bCs/>
          <w:color w:val="000000"/>
          <w:sz w:val="24"/>
          <w:szCs w:val="24"/>
        </w:rPr>
        <w:t>Result</w:t>
      </w:r>
    </w:p>
    <w:p w:rsidR="00E41416" w:rsidRDefault="004F5BFE">
      <w:pPr>
        <w:spacing w:after="120"/>
        <w:jc w:val="both"/>
      </w:pPr>
      <w:r>
        <w:t>Simulation of band structure of nanowire for various materials is accomplished.</w:t>
      </w:r>
    </w:p>
    <w:p w:rsidR="00E41416" w:rsidRDefault="004F5BFE">
      <w:r>
        <w:br w:type="page"/>
      </w:r>
    </w:p>
    <w:p w:rsidR="00E41416" w:rsidRDefault="004F5BFE">
      <w:pPr>
        <w:pStyle w:val="Heading1"/>
        <w:spacing w:before="240" w:after="160"/>
      </w:pPr>
      <w:r>
        <w:rPr>
          <w:b/>
          <w:bCs/>
          <w:color w:val="000000"/>
          <w:sz w:val="28"/>
          <w:szCs w:val="28"/>
        </w:rPr>
        <w:lastRenderedPageBreak/>
        <w:t xml:space="preserve">Exp. 6. Demonstration of Quantum </w:t>
      </w:r>
      <w:proofErr w:type="spellStart"/>
      <w:r>
        <w:rPr>
          <w:b/>
          <w:bCs/>
          <w:color w:val="000000"/>
          <w:sz w:val="28"/>
          <w:szCs w:val="28"/>
        </w:rPr>
        <w:t>Tunneling</w:t>
      </w:r>
      <w:proofErr w:type="spellEnd"/>
    </w:p>
    <w:p w:rsidR="00E41416" w:rsidRDefault="004F5BFE">
      <w:pPr>
        <w:pStyle w:val="Heading2"/>
        <w:spacing w:before="200" w:after="120"/>
      </w:pPr>
      <w:r>
        <w:rPr>
          <w:b/>
          <w:bCs/>
          <w:color w:val="000000"/>
          <w:sz w:val="24"/>
          <w:szCs w:val="24"/>
        </w:rPr>
        <w:t>Ai</w:t>
      </w:r>
      <w:r>
        <w:rPr>
          <w:b/>
          <w:bCs/>
          <w:color w:val="000000"/>
          <w:sz w:val="24"/>
          <w:szCs w:val="24"/>
        </w:rPr>
        <w:t>m</w:t>
      </w:r>
    </w:p>
    <w:p w:rsidR="00E41416" w:rsidRDefault="004F5BFE">
      <w:pPr>
        <w:spacing w:after="120"/>
        <w:jc w:val="both"/>
      </w:pPr>
      <w:r>
        <w:t xml:space="preserve">To learn and analyse the demonstration of quantum </w:t>
      </w:r>
      <w:proofErr w:type="spellStart"/>
      <w:r>
        <w:t>tunneling</w:t>
      </w:r>
      <w:proofErr w:type="spellEnd"/>
      <w:r>
        <w:t xml:space="preserve"> and observe the key learning points using the </w:t>
      </w:r>
      <w:proofErr w:type="spellStart"/>
      <w:r>
        <w:t>nanoHUB</w:t>
      </w:r>
      <w:proofErr w:type="spellEnd"/>
      <w:r>
        <w:t xml:space="preserve"> simulation tool.</w:t>
      </w:r>
    </w:p>
    <w:p w:rsidR="00E41416" w:rsidRDefault="004F5BFE">
      <w:pPr>
        <w:pStyle w:val="Heading2"/>
        <w:spacing w:before="200" w:after="120"/>
      </w:pPr>
      <w:r>
        <w:rPr>
          <w:b/>
          <w:bCs/>
          <w:color w:val="000000"/>
          <w:sz w:val="24"/>
          <w:szCs w:val="24"/>
        </w:rPr>
        <w:t>Software</w:t>
      </w:r>
    </w:p>
    <w:p w:rsidR="00E41416" w:rsidRDefault="004F5BFE">
      <w:pPr>
        <w:spacing w:after="120"/>
        <w:jc w:val="both"/>
      </w:pPr>
      <w:proofErr w:type="spellStart"/>
      <w:r>
        <w:t>NanoHub</w:t>
      </w:r>
      <w:proofErr w:type="spellEnd"/>
      <w:r>
        <w:t xml:space="preserve"> Online Tool — Piece-Wise Constant Potential Barriers Sim2L.</w:t>
      </w:r>
    </w:p>
    <w:p w:rsidR="00E41416" w:rsidRDefault="004F5BFE">
      <w:pPr>
        <w:pStyle w:val="Heading2"/>
        <w:spacing w:before="200" w:after="120"/>
      </w:pPr>
      <w:r>
        <w:rPr>
          <w:b/>
          <w:bCs/>
          <w:color w:val="000000"/>
          <w:sz w:val="24"/>
          <w:szCs w:val="24"/>
        </w:rPr>
        <w:t>Theory</w:t>
      </w:r>
    </w:p>
    <w:p w:rsidR="00E41416" w:rsidRDefault="004F5BFE">
      <w:pPr>
        <w:spacing w:after="120"/>
        <w:jc w:val="both"/>
      </w:pPr>
      <w:r>
        <w:t xml:space="preserve">Quantum </w:t>
      </w:r>
      <w:proofErr w:type="spellStart"/>
      <w:r>
        <w:t>tunneling</w:t>
      </w:r>
      <w:proofErr w:type="spellEnd"/>
      <w:r>
        <w:t xml:space="preserve"> is a phenomenon where</w:t>
      </w:r>
      <w:r>
        <w:t xml:space="preserve"> particles penetrate energy barriers that they classically cannot overcome. It is pivotal in the realm of </w:t>
      </w:r>
      <w:proofErr w:type="spellStart"/>
      <w:r>
        <w:t>nanoelectronics</w:t>
      </w:r>
      <w:proofErr w:type="spellEnd"/>
      <w:r>
        <w:t xml:space="preserve">, where the </w:t>
      </w:r>
      <w:proofErr w:type="spellStart"/>
      <w:r>
        <w:t>tunneling</w:t>
      </w:r>
      <w:proofErr w:type="spellEnd"/>
      <w:r>
        <w:t xml:space="preserve"> current through a nanoscale junction depends on the barrier height, barrier width and the material properties.</w:t>
      </w:r>
    </w:p>
    <w:p w:rsidR="00E41416" w:rsidRDefault="004F5BFE">
      <w:pPr>
        <w:spacing w:after="120"/>
        <w:jc w:val="both"/>
      </w:pPr>
      <w:r>
        <w:t>The Piece-Wise Constant Potential Barriers Sim2L tool simulates the quantum mechanical transmission and reflection coefficients for potential barriers. It models structures with multiple segments of constant potential, which makes it useful for analysing q</w:t>
      </w:r>
      <w:r>
        <w:t xml:space="preserve">uantum </w:t>
      </w:r>
      <w:proofErr w:type="spellStart"/>
      <w:r>
        <w:t>tunneling</w:t>
      </w:r>
      <w:proofErr w:type="spellEnd"/>
      <w:r>
        <w:t xml:space="preserve">, resonant </w:t>
      </w:r>
      <w:proofErr w:type="spellStart"/>
      <w:r>
        <w:t>tunneling</w:t>
      </w:r>
      <w:proofErr w:type="spellEnd"/>
      <w:r>
        <w:t xml:space="preserve"> diodes and band formation in periodic potentials. The tool supports both the transfer matrix method and the tight-binding method, allowing a detailed analysis of barrier structures, effective mass variations and resonan</w:t>
      </w:r>
      <w:r>
        <w:t>ce peaks.</w:t>
      </w:r>
    </w:p>
    <w:p w:rsidR="00E41416" w:rsidRDefault="004F5BFE">
      <w:pPr>
        <w:spacing w:after="120"/>
        <w:jc w:val="both"/>
      </w:pPr>
      <w:r>
        <w:t xml:space="preserve">Key applications that rely on </w:t>
      </w:r>
      <w:proofErr w:type="spellStart"/>
      <w:r>
        <w:t>tunneling</w:t>
      </w:r>
      <w:proofErr w:type="spellEnd"/>
      <w:r>
        <w:t xml:space="preserve"> include tunnel diodes, single-electron transistors and flash memory cells. The same effect also causes gate leakage current in scaled MOSFETs, which is the main limitation on how thin the gate oxide can be made.</w:t>
      </w:r>
    </w:p>
    <w:p w:rsidR="00E41416" w:rsidRDefault="004F5BFE">
      <w:pPr>
        <w:pStyle w:val="Heading2"/>
        <w:spacing w:before="200" w:after="120"/>
      </w:pPr>
      <w:r>
        <w:rPr>
          <w:b/>
          <w:bCs/>
          <w:color w:val="000000"/>
          <w:sz w:val="24"/>
          <w:szCs w:val="24"/>
        </w:rPr>
        <w:t>Proc</w:t>
      </w:r>
      <w:r>
        <w:rPr>
          <w:b/>
          <w:bCs/>
          <w:color w:val="000000"/>
          <w:sz w:val="24"/>
          <w:szCs w:val="24"/>
        </w:rPr>
        <w:t>edure</w:t>
      </w:r>
    </w:p>
    <w:p w:rsidR="00E41416" w:rsidRDefault="004F5BFE">
      <w:pPr>
        <w:pStyle w:val="ListParagraph"/>
        <w:numPr>
          <w:ilvl w:val="0"/>
          <w:numId w:val="1"/>
        </w:numPr>
        <w:spacing w:after="60"/>
      </w:pPr>
      <w:r>
        <w:t xml:space="preserve">Open </w:t>
      </w:r>
      <w:proofErr w:type="spellStart"/>
      <w:r>
        <w:t>nanoHUB</w:t>
      </w:r>
      <w:proofErr w:type="spellEnd"/>
      <w:r>
        <w:t>.</w:t>
      </w:r>
    </w:p>
    <w:p w:rsidR="00E41416" w:rsidRDefault="004F5BFE">
      <w:pPr>
        <w:pStyle w:val="ListParagraph"/>
        <w:numPr>
          <w:ilvl w:val="0"/>
          <w:numId w:val="1"/>
        </w:numPr>
        <w:spacing w:after="60"/>
      </w:pPr>
      <w:r>
        <w:t>Go to Explore → Resources.</w:t>
      </w:r>
    </w:p>
    <w:p w:rsidR="00E41416" w:rsidRDefault="004F5BFE">
      <w:pPr>
        <w:pStyle w:val="ListParagraph"/>
        <w:numPr>
          <w:ilvl w:val="0"/>
          <w:numId w:val="1"/>
        </w:numPr>
        <w:spacing w:after="60"/>
      </w:pPr>
      <w:r>
        <w:t>Select Tools → Piece-Wise Constant Potential Barriers Sim2L.</w:t>
      </w:r>
    </w:p>
    <w:p w:rsidR="00E41416" w:rsidRDefault="004F5BFE">
      <w:pPr>
        <w:pStyle w:val="ListParagraph"/>
        <w:numPr>
          <w:ilvl w:val="0"/>
          <w:numId w:val="1"/>
        </w:numPr>
        <w:spacing w:after="60"/>
      </w:pPr>
      <w:r>
        <w:t>Press Launch tool in the info section.</w:t>
      </w:r>
    </w:p>
    <w:p w:rsidR="00E41416" w:rsidRDefault="004F5BFE">
      <w:pPr>
        <w:pStyle w:val="ListParagraph"/>
        <w:numPr>
          <w:ilvl w:val="0"/>
          <w:numId w:val="1"/>
        </w:numPr>
        <w:spacing w:after="60"/>
      </w:pPr>
      <w:r>
        <w:t xml:space="preserve">Enter into the app mode tab in the </w:t>
      </w:r>
      <w:proofErr w:type="spellStart"/>
      <w:r>
        <w:t>Jupyter</w:t>
      </w:r>
      <w:proofErr w:type="spellEnd"/>
      <w:r>
        <w:t xml:space="preserve"> environment.</w:t>
      </w:r>
    </w:p>
    <w:p w:rsidR="00E41416" w:rsidRDefault="004F5BFE">
      <w:pPr>
        <w:pStyle w:val="ListParagraph"/>
        <w:numPr>
          <w:ilvl w:val="0"/>
          <w:numId w:val="1"/>
        </w:numPr>
        <w:spacing w:after="60"/>
      </w:pPr>
      <w:r>
        <w:t>Press Simulate to view results.</w:t>
      </w:r>
    </w:p>
    <w:p w:rsidR="00E41416" w:rsidRDefault="004F5BFE">
      <w:pPr>
        <w:pStyle w:val="ListParagraph"/>
        <w:numPr>
          <w:ilvl w:val="0"/>
          <w:numId w:val="1"/>
        </w:numPr>
        <w:spacing w:after="60"/>
      </w:pPr>
      <w:r>
        <w:t>Compare the results.</w:t>
      </w:r>
    </w:p>
    <w:p w:rsidR="00E41416" w:rsidRDefault="004F5BFE">
      <w:pPr>
        <w:pStyle w:val="Heading2"/>
        <w:spacing w:before="200" w:after="120"/>
      </w:pPr>
      <w:r>
        <w:rPr>
          <w:b/>
          <w:bCs/>
          <w:color w:val="000000"/>
          <w:sz w:val="24"/>
          <w:szCs w:val="24"/>
        </w:rPr>
        <w:t xml:space="preserve">Output — Potential Energy </w:t>
      </w:r>
      <w:proofErr w:type="gramStart"/>
      <w:r>
        <w:rPr>
          <w:b/>
          <w:bCs/>
          <w:color w:val="000000"/>
          <w:sz w:val="24"/>
          <w:szCs w:val="24"/>
        </w:rPr>
        <w:t>vs</w:t>
      </w:r>
      <w:proofErr w:type="gramEnd"/>
      <w:r>
        <w:rPr>
          <w:b/>
          <w:bCs/>
          <w:color w:val="000000"/>
          <w:sz w:val="24"/>
          <w:szCs w:val="24"/>
        </w:rPr>
        <w:t xml:space="preserve"> Distance</w:t>
      </w:r>
    </w:p>
    <w:p w:rsidR="00E41416" w:rsidRDefault="004F5BFE">
      <w:pPr>
        <w:spacing w:after="160"/>
        <w:jc w:val="center"/>
      </w:pPr>
      <w:r>
        <w:rPr>
          <w:noProof/>
        </w:rPr>
        <w:drawing>
          <wp:inline distT="0" distB="0" distL="0" distR="0">
            <wp:extent cx="3810000" cy="3114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3114675"/>
                    </a:xfrm>
                    <a:prstGeom prst="rect">
                      <a:avLst/>
                    </a:prstGeom>
                  </pic:spPr>
                </pic:pic>
              </a:graphicData>
            </a:graphic>
          </wp:inline>
        </w:drawing>
      </w:r>
    </w:p>
    <w:p w:rsidR="00E41416" w:rsidRDefault="004F5BFE">
      <w:pPr>
        <w:spacing w:after="200"/>
        <w:jc w:val="center"/>
      </w:pPr>
      <w:r>
        <w:rPr>
          <w:i/>
          <w:iCs/>
          <w:sz w:val="20"/>
          <w:szCs w:val="20"/>
        </w:rPr>
        <w:t>Double-barrier potential profile with the two computed resonant energy levels marked</w:t>
      </w:r>
    </w:p>
    <w:p w:rsidR="00E41416" w:rsidRDefault="004F5BFE">
      <w:pPr>
        <w:spacing w:after="120"/>
        <w:jc w:val="both"/>
      </w:pPr>
      <w:r>
        <w:rPr>
          <w:b/>
          <w:bCs/>
        </w:rPr>
        <w:lastRenderedPageBreak/>
        <w:t>Explanation of Output:</w:t>
      </w:r>
    </w:p>
    <w:p w:rsidR="00E41416" w:rsidRDefault="004F5BFE">
      <w:pPr>
        <w:spacing w:after="120"/>
        <w:jc w:val="both"/>
      </w:pPr>
      <w:r>
        <w:t>The plot shows the potential energy profile of a double-barrier structure along the distance axis. Two recta</w:t>
      </w:r>
      <w:r>
        <w:t>ngular barriers of height 0.5 eV are separated by a well region of zero potential, forming a quantum well between them. Two horizontal lines are drawn at approximately 0.08 eV and 0.32 eV.</w:t>
      </w:r>
    </w:p>
    <w:p w:rsidR="00E41416" w:rsidRDefault="004F5BFE">
      <w:pPr>
        <w:spacing w:after="120"/>
        <w:jc w:val="both"/>
      </w:pPr>
      <w:r>
        <w:t>These two horizontal lines are the quasi-bound (resonant) energy le</w:t>
      </w:r>
      <w:r>
        <w:t>vels of the well trapped between the barriers. A particle incident with an energy exactly equal to one of these levels can pass through the entire double-barrier structure with a transmission probability approaching unity, even though its energy is far bel</w:t>
      </w:r>
      <w:r>
        <w:t xml:space="preserve">ow the 0.5 eV barrier height. This is the phenomenon of resonant </w:t>
      </w:r>
      <w:proofErr w:type="spellStart"/>
      <w:r>
        <w:t>tunneling</w:t>
      </w:r>
      <w:proofErr w:type="spellEnd"/>
      <w:r>
        <w:t xml:space="preserve">, and it is the operating principle of the resonant </w:t>
      </w:r>
      <w:proofErr w:type="spellStart"/>
      <w:r>
        <w:t>tunneling</w:t>
      </w:r>
      <w:proofErr w:type="spellEnd"/>
      <w:r>
        <w:t xml:space="preserve"> diode.</w:t>
      </w:r>
    </w:p>
    <w:p w:rsidR="00E41416" w:rsidRDefault="004F5BFE">
      <w:pPr>
        <w:pStyle w:val="Heading2"/>
        <w:spacing w:before="200" w:after="120"/>
      </w:pPr>
      <w:r>
        <w:rPr>
          <w:b/>
          <w:bCs/>
          <w:color w:val="000000"/>
          <w:sz w:val="24"/>
          <w:szCs w:val="24"/>
        </w:rPr>
        <w:t>Output — Wave-functions from Tight-Binding</w:t>
      </w:r>
    </w:p>
    <w:p w:rsidR="00E41416" w:rsidRDefault="004F5BFE">
      <w:pPr>
        <w:spacing w:after="160"/>
        <w:jc w:val="center"/>
      </w:pPr>
      <w:r>
        <w:rPr>
          <w:noProof/>
        </w:rPr>
        <w:drawing>
          <wp:inline distT="0" distB="0" distL="0" distR="0">
            <wp:extent cx="4095750" cy="2228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228850"/>
                    </a:xfrm>
                    <a:prstGeom prst="rect">
                      <a:avLst/>
                    </a:prstGeom>
                  </pic:spPr>
                </pic:pic>
              </a:graphicData>
            </a:graphic>
          </wp:inline>
        </w:drawing>
      </w:r>
    </w:p>
    <w:p w:rsidR="00E41416" w:rsidRDefault="004F5BFE">
      <w:pPr>
        <w:spacing w:after="200"/>
        <w:jc w:val="center"/>
      </w:pPr>
      <w:r>
        <w:rPr>
          <w:i/>
          <w:iCs/>
          <w:sz w:val="20"/>
          <w:szCs w:val="20"/>
        </w:rPr>
        <w:t xml:space="preserve">Wave functions corresponding to the two resonant energies, 0.081875 </w:t>
      </w:r>
      <w:r>
        <w:rPr>
          <w:i/>
          <w:iCs/>
          <w:sz w:val="20"/>
          <w:szCs w:val="20"/>
        </w:rPr>
        <w:t>eV and 0.3175 eV</w:t>
      </w:r>
    </w:p>
    <w:p w:rsidR="00E41416" w:rsidRDefault="004F5BFE">
      <w:pPr>
        <w:spacing w:after="120"/>
        <w:jc w:val="both"/>
      </w:pPr>
      <w:r>
        <w:rPr>
          <w:b/>
          <w:bCs/>
        </w:rPr>
        <w:t>Explanation of Output:</w:t>
      </w:r>
    </w:p>
    <w:p w:rsidR="00E41416" w:rsidRDefault="004F5BFE">
      <w:pPr>
        <w:spacing w:after="120"/>
        <w:jc w:val="both"/>
      </w:pPr>
      <w:r>
        <w:t>The blue curve is the wave function at the lower resonant energy of 0.081875 eV and the red curve is the wave function at the higher resonant energy of 0.3175 eV.</w:t>
      </w:r>
    </w:p>
    <w:p w:rsidR="00E41416" w:rsidRDefault="004F5BFE">
      <w:pPr>
        <w:spacing w:after="120"/>
        <w:jc w:val="both"/>
      </w:pPr>
      <w:r>
        <w:t>The blue wave function has a single maximum at the ce</w:t>
      </w:r>
      <w:r>
        <w:t>ntre of the well and no node inside it — this is the ground state of the quantum well. The red wave function has two maxima with a clear node (a point of zero amplitude) at the centre, identifying it as the first excited state. The number of nodes increasi</w:t>
      </w:r>
      <w:r>
        <w:t>ng by one for each higher level is the standard behaviour of a confined quantum state.</w:t>
      </w:r>
    </w:p>
    <w:p w:rsidR="00E41416" w:rsidRDefault="004F5BFE">
      <w:pPr>
        <w:spacing w:after="120"/>
        <w:jc w:val="both"/>
      </w:pPr>
      <w:r>
        <w:t xml:space="preserve">Crucially, the amplitude of both wave functions is not zero outside the barriers — it decays exponentially inside each barrier but emerges on the far side with a finite </w:t>
      </w:r>
      <w:r>
        <w:t xml:space="preserve">value. This non-zero amplitude beyond a classically forbidden region is precisely what </w:t>
      </w:r>
      <w:proofErr w:type="spellStart"/>
      <w:r>
        <w:t>tunneling</w:t>
      </w:r>
      <w:proofErr w:type="spellEnd"/>
      <w:r>
        <w:t xml:space="preserve"> means: there is a finite probability of finding the particle on the other side of a barrier it does not have enough energy to climb over.</w:t>
      </w:r>
    </w:p>
    <w:p w:rsidR="00E41416" w:rsidRDefault="004F5BFE">
      <w:r>
        <w:br w:type="page"/>
      </w:r>
    </w:p>
    <w:p w:rsidR="00E41416" w:rsidRDefault="004F5BFE">
      <w:pPr>
        <w:pStyle w:val="Heading2"/>
        <w:spacing w:before="200" w:after="120"/>
      </w:pPr>
      <w:r>
        <w:rPr>
          <w:b/>
          <w:bCs/>
          <w:color w:val="000000"/>
          <w:sz w:val="24"/>
          <w:szCs w:val="24"/>
        </w:rPr>
        <w:lastRenderedPageBreak/>
        <w:t>Case Study 1: Analy</w:t>
      </w:r>
      <w:r>
        <w:rPr>
          <w:b/>
          <w:bCs/>
          <w:color w:val="000000"/>
          <w:sz w:val="24"/>
          <w:szCs w:val="24"/>
        </w:rPr>
        <w:t xml:space="preserve">sis of the Transmission Coefficient </w:t>
      </w:r>
      <w:proofErr w:type="gramStart"/>
      <w:r>
        <w:rPr>
          <w:b/>
          <w:bCs/>
          <w:color w:val="000000"/>
          <w:sz w:val="24"/>
          <w:szCs w:val="24"/>
        </w:rPr>
        <w:t>vs</w:t>
      </w:r>
      <w:proofErr w:type="gramEnd"/>
      <w:r>
        <w:rPr>
          <w:b/>
          <w:bCs/>
          <w:color w:val="000000"/>
          <w:sz w:val="24"/>
          <w:szCs w:val="24"/>
        </w:rPr>
        <w:t xml:space="preserve"> Energy characteristics on a refined grid</w:t>
      </w:r>
    </w:p>
    <w:p w:rsidR="00E41416" w:rsidRDefault="004F5BFE">
      <w:pPr>
        <w:spacing w:after="120"/>
        <w:jc w:val="both"/>
      </w:pPr>
      <w:r>
        <w:t>Aim: To obtain and compare the transmission coefficient versus energy characteristics computed on a refined energy grid and on a homogeneous energy grid, using both the Transfe</w:t>
      </w:r>
      <w:r>
        <w:t>r Matrix method and the Tight-Binding method.</w:t>
      </w:r>
    </w:p>
    <w:p w:rsidR="00E41416" w:rsidRDefault="004F5BFE">
      <w:pPr>
        <w:spacing w:after="160"/>
        <w:jc w:val="center"/>
      </w:pPr>
      <w:r>
        <w:rPr>
          <w:noProof/>
        </w:rPr>
        <w:drawing>
          <wp:inline distT="0" distB="0" distL="0" distR="0">
            <wp:extent cx="4476750" cy="1171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1171575"/>
                    </a:xfrm>
                    <a:prstGeom prst="rect">
                      <a:avLst/>
                    </a:prstGeom>
                  </pic:spPr>
                </pic:pic>
              </a:graphicData>
            </a:graphic>
          </wp:inline>
        </w:drawing>
      </w:r>
    </w:p>
    <w:p w:rsidR="00E41416" w:rsidRDefault="004F5BFE">
      <w:pPr>
        <w:spacing w:after="200"/>
        <w:jc w:val="center"/>
      </w:pPr>
      <w:r>
        <w:rPr>
          <w:i/>
          <w:iCs/>
          <w:sz w:val="20"/>
          <w:szCs w:val="20"/>
        </w:rPr>
        <w:t xml:space="preserve">Transmission Coefficient </w:t>
      </w:r>
      <w:proofErr w:type="gramStart"/>
      <w:r>
        <w:rPr>
          <w:i/>
          <w:iCs/>
          <w:sz w:val="20"/>
          <w:szCs w:val="20"/>
        </w:rPr>
        <w:t>vs</w:t>
      </w:r>
      <w:proofErr w:type="gramEnd"/>
      <w:r>
        <w:rPr>
          <w:i/>
          <w:iCs/>
          <w:sz w:val="20"/>
          <w:szCs w:val="20"/>
        </w:rPr>
        <w:t xml:space="preserve"> Energy — refined grid (left) and homogeneous grid (right)</w:t>
      </w:r>
    </w:p>
    <w:p w:rsidR="00E41416" w:rsidRDefault="004F5BFE">
      <w:pPr>
        <w:spacing w:after="120"/>
        <w:jc w:val="both"/>
      </w:pPr>
      <w:r>
        <w:rPr>
          <w:b/>
          <w:bCs/>
        </w:rPr>
        <w:t>Explanation of Output:</w:t>
      </w:r>
    </w:p>
    <w:p w:rsidR="00E41416" w:rsidRDefault="004F5BFE">
      <w:pPr>
        <w:spacing w:after="120"/>
        <w:jc w:val="both"/>
      </w:pPr>
      <w:r>
        <w:t>The transmission coefficient is plotted on a logarithmic axis from 1 µ (10⁻⁶) up to 1, against the particle energy on the vertical axis. At low energies the transmission is extremely small, of the order of 10⁻⁶, showing that the barrier almost completely b</w:t>
      </w:r>
      <w:r>
        <w:t>locks the particle. As the energy rises, the transmission increases and two sharp resonance peaks appear where the coefficient reaches almost 1 — at approximately 0.08 eV and 0.32 eV.</w:t>
      </w:r>
    </w:p>
    <w:p w:rsidR="00E41416" w:rsidRDefault="004F5BFE">
      <w:pPr>
        <w:spacing w:after="120"/>
        <w:jc w:val="both"/>
      </w:pPr>
      <w:r>
        <w:t>These two peaks occur at exactly the same energies as the quasi-bound le</w:t>
      </w:r>
      <w:r>
        <w:t xml:space="preserve">vels identified in the potential energy plot, confirming that resonant </w:t>
      </w:r>
      <w:proofErr w:type="spellStart"/>
      <w:r>
        <w:t>tunneling</w:t>
      </w:r>
      <w:proofErr w:type="spellEnd"/>
      <w:r>
        <w:t xml:space="preserve"> gives near-perfect transmission at the resonant energies. Between the peaks the transmission drops by several orders of magnitude, which is why the logarithmic scale is necess</w:t>
      </w:r>
      <w:r>
        <w:t>ary.</w:t>
      </w:r>
    </w:p>
    <w:p w:rsidR="00E41416" w:rsidRDefault="004F5BFE">
      <w:pPr>
        <w:spacing w:after="120"/>
        <w:jc w:val="both"/>
      </w:pPr>
      <w:r>
        <w:t>Comparing the two panels, the refined grid resolves the resonance peaks with a smooth, well-defined shape, whereas the homogeneous grid samples the same curve at uniformly spaced energy points and therefore represents the narrow peaks less accurately.</w:t>
      </w:r>
      <w:r>
        <w:t xml:space="preserve"> Since resonance peaks are extremely sharp in energy, a refined (adaptive) grid that places more sample points near the resonances is essential to capture the true peak height and width. The Transfer Matrix and Tight-Binding results overlap closely, which </w:t>
      </w:r>
      <w:r>
        <w:t>validates both numerical approaches against each other.</w:t>
      </w:r>
    </w:p>
    <w:p w:rsidR="00E41416" w:rsidRDefault="004F5BFE">
      <w:r>
        <w:br w:type="page"/>
      </w:r>
    </w:p>
    <w:p w:rsidR="00E41416" w:rsidRDefault="004F5BFE">
      <w:pPr>
        <w:pStyle w:val="Heading2"/>
        <w:spacing w:before="200" w:after="120"/>
      </w:pPr>
      <w:r>
        <w:rPr>
          <w:b/>
          <w:bCs/>
          <w:color w:val="000000"/>
          <w:sz w:val="24"/>
          <w:szCs w:val="24"/>
        </w:rPr>
        <w:lastRenderedPageBreak/>
        <w:t xml:space="preserve">Case Study 2: Analysis of the Reflection Coefficient </w:t>
      </w:r>
      <w:proofErr w:type="gramStart"/>
      <w:r>
        <w:rPr>
          <w:b/>
          <w:bCs/>
          <w:color w:val="000000"/>
          <w:sz w:val="24"/>
          <w:szCs w:val="24"/>
        </w:rPr>
        <w:t>vs</w:t>
      </w:r>
      <w:proofErr w:type="gramEnd"/>
      <w:r>
        <w:rPr>
          <w:b/>
          <w:bCs/>
          <w:color w:val="000000"/>
          <w:sz w:val="24"/>
          <w:szCs w:val="24"/>
        </w:rPr>
        <w:t xml:space="preserve"> Energy on a Homogeneous Grid</w:t>
      </w:r>
    </w:p>
    <w:p w:rsidR="00E41416" w:rsidRDefault="004F5BFE">
      <w:pPr>
        <w:spacing w:after="120"/>
        <w:jc w:val="both"/>
      </w:pPr>
      <w:r>
        <w:t>Aim: To obtain the reflection coefficient versus energy characteristics on refined and homogeneous grids and veri</w:t>
      </w:r>
      <w:r>
        <w:t>fy conservation of probability against the transmission results.</w:t>
      </w:r>
    </w:p>
    <w:p w:rsidR="00E41416" w:rsidRDefault="004F5BFE">
      <w:pPr>
        <w:spacing w:after="160"/>
        <w:jc w:val="center"/>
      </w:pPr>
      <w:r>
        <w:rPr>
          <w:noProof/>
        </w:rPr>
        <w:drawing>
          <wp:inline distT="0" distB="0" distL="0" distR="0">
            <wp:extent cx="4476750" cy="1171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1171575"/>
                    </a:xfrm>
                    <a:prstGeom prst="rect">
                      <a:avLst/>
                    </a:prstGeom>
                  </pic:spPr>
                </pic:pic>
              </a:graphicData>
            </a:graphic>
          </wp:inline>
        </w:drawing>
      </w:r>
    </w:p>
    <w:p w:rsidR="00E41416" w:rsidRDefault="004F5BFE">
      <w:pPr>
        <w:spacing w:after="200"/>
        <w:jc w:val="center"/>
      </w:pPr>
      <w:r>
        <w:rPr>
          <w:i/>
          <w:iCs/>
          <w:sz w:val="20"/>
          <w:szCs w:val="20"/>
        </w:rPr>
        <w:t xml:space="preserve">Reflection Coefficient </w:t>
      </w:r>
      <w:proofErr w:type="gramStart"/>
      <w:r>
        <w:rPr>
          <w:i/>
          <w:iCs/>
          <w:sz w:val="20"/>
          <w:szCs w:val="20"/>
        </w:rPr>
        <w:t>vs</w:t>
      </w:r>
      <w:proofErr w:type="gramEnd"/>
      <w:r>
        <w:rPr>
          <w:i/>
          <w:iCs/>
          <w:sz w:val="20"/>
          <w:szCs w:val="20"/>
        </w:rPr>
        <w:t xml:space="preserve"> Energy — refined grid (left) and homogeneous grid (right)</w:t>
      </w:r>
    </w:p>
    <w:p w:rsidR="00E41416" w:rsidRDefault="004F5BFE">
      <w:pPr>
        <w:spacing w:after="120"/>
        <w:jc w:val="both"/>
      </w:pPr>
      <w:r>
        <w:rPr>
          <w:b/>
          <w:bCs/>
        </w:rPr>
        <w:t>Explanation of Output:</w:t>
      </w:r>
    </w:p>
    <w:p w:rsidR="00E41416" w:rsidRDefault="004F5BFE">
      <w:pPr>
        <w:spacing w:after="120"/>
        <w:jc w:val="both"/>
      </w:pPr>
      <w:r>
        <w:t>The reflection coefficient stays very close to 1 over almost the entire energy ran</w:t>
      </w:r>
      <w:r>
        <w:t>ge, meaning that the particle is almost always reflected by the double-barrier structure. Two sharp dips appear at approximately 0.08 eV and 0.32 eV, exactly where the transmission curve showed its peaks.</w:t>
      </w:r>
    </w:p>
    <w:p w:rsidR="00E41416" w:rsidRDefault="004F5BFE">
      <w:pPr>
        <w:spacing w:after="120"/>
        <w:jc w:val="both"/>
      </w:pPr>
      <w:r>
        <w:t>This is a direct verification of conservation of pr</w:t>
      </w:r>
      <w:r>
        <w:t>obability: for every energy, T + R = 1. Wherever transmission rises to unity at a resonance, reflection must fall to nearly zero, and the two plots are therefore mirror images of one another. The fact that the simulation reproduces this relationship confir</w:t>
      </w:r>
      <w:r>
        <w:t>ms that the numerical solution is physically consistent.</w:t>
      </w:r>
    </w:p>
    <w:p w:rsidR="00E41416" w:rsidRDefault="004F5BFE">
      <w:pPr>
        <w:spacing w:after="120"/>
        <w:jc w:val="both"/>
      </w:pPr>
      <w:r>
        <w:t>As with the transmission case, the refined grid captures the narrow dips more faithfully than the homogeneous grid, and the Transfer Matrix and Tight-Binding curves agree throughout.</w:t>
      </w:r>
    </w:p>
    <w:p w:rsidR="00E41416" w:rsidRDefault="004F5BFE">
      <w:pPr>
        <w:pStyle w:val="Heading2"/>
        <w:spacing w:before="200" w:after="120"/>
      </w:pPr>
      <w:r>
        <w:rPr>
          <w:b/>
          <w:bCs/>
          <w:color w:val="000000"/>
          <w:sz w:val="24"/>
          <w:szCs w:val="24"/>
        </w:rPr>
        <w:t>Analytical Problem</w:t>
      </w:r>
    </w:p>
    <w:p w:rsidR="00E41416" w:rsidRDefault="004F5BFE">
      <w:pPr>
        <w:spacing w:after="120"/>
        <w:jc w:val="both"/>
      </w:pPr>
      <w:r>
        <w:t>A particle with mass m = 9.1 × 10⁻³¹ kg (electron mass) and energy E = 0.5 eV is incident on a potential barrier of height V₀ = 1.0 eV and width a = 1.0 nm.</w:t>
      </w:r>
    </w:p>
    <w:p w:rsidR="00E41416" w:rsidRDefault="004F5BFE">
      <w:pPr>
        <w:spacing w:after="120"/>
        <w:jc w:val="both"/>
      </w:pPr>
      <w:r>
        <w:t>Key equations:</w:t>
      </w:r>
    </w:p>
    <w:p w:rsidR="00E41416" w:rsidRDefault="004F5BFE">
      <w:pPr>
        <w:spacing w:after="120"/>
        <w:jc w:val="both"/>
      </w:pPr>
      <w:proofErr w:type="spellStart"/>
      <w:r>
        <w:t>Tunneling</w:t>
      </w:r>
      <w:proofErr w:type="spellEnd"/>
      <w:r>
        <w:t xml:space="preserve"> coefficient:   κ = </w:t>
      </w:r>
      <w:proofErr w:type="gramStart"/>
      <w:r>
        <w:t>√[</w:t>
      </w:r>
      <w:proofErr w:type="gramEnd"/>
      <w:r>
        <w:t xml:space="preserve"> 2m(V₀ – E) / ℏ² ]</w:t>
      </w:r>
    </w:p>
    <w:p w:rsidR="00E41416" w:rsidRDefault="004F5BFE">
      <w:pPr>
        <w:spacing w:after="120"/>
        <w:jc w:val="both"/>
      </w:pPr>
      <w:r>
        <w:t>Transmission pr</w:t>
      </w:r>
      <w:r>
        <w:t>obability:   T ≈ e^(–2κa)</w:t>
      </w:r>
    </w:p>
    <w:p w:rsidR="00E41416" w:rsidRDefault="004F5BFE">
      <w:pPr>
        <w:spacing w:after="120"/>
        <w:jc w:val="both"/>
      </w:pPr>
      <w:proofErr w:type="spellStart"/>
      <w:r>
        <w:t>Tunneling</w:t>
      </w:r>
      <w:proofErr w:type="spellEnd"/>
      <w:r>
        <w:t xml:space="preserve"> current density:   J ∝ T</w:t>
      </w:r>
    </w:p>
    <w:p w:rsidR="00E41416" w:rsidRDefault="004F5BFE">
      <w:pPr>
        <w:spacing w:after="120"/>
        <w:jc w:val="both"/>
      </w:pPr>
      <w:r>
        <w:t>If the barrier width a is reduced from 1.0 nm to 0.8 nm, the new transmission probability T′ is obtained from the same expression with a = 0.8 nm, and the ratio T′/T = e</w:t>
      </w:r>
      <w:proofErr w:type="gramStart"/>
      <w:r>
        <w:t>^(</w:t>
      </w:r>
      <w:proofErr w:type="gramEnd"/>
      <w:r>
        <w:t>2κ × 0.2 nm) shows the e</w:t>
      </w:r>
      <w:r>
        <w:t xml:space="preserve">xponential sensitivity of </w:t>
      </w:r>
      <w:proofErr w:type="spellStart"/>
      <w:r>
        <w:t>tunneling</w:t>
      </w:r>
      <w:proofErr w:type="spellEnd"/>
      <w:r>
        <w:t xml:space="preserve"> to barrier width. Since the </w:t>
      </w:r>
      <w:proofErr w:type="spellStart"/>
      <w:r>
        <w:t>tunneling</w:t>
      </w:r>
      <w:proofErr w:type="spellEnd"/>
      <w:r>
        <w:t xml:space="preserve"> current density is proportional to T, a current density of J₀ = 1.0 </w:t>
      </w:r>
      <w:proofErr w:type="spellStart"/>
      <w:r>
        <w:t>nA</w:t>
      </w:r>
      <w:proofErr w:type="spellEnd"/>
      <w:r>
        <w:t>/m² at a = 1.0 nm scales up by the same ratio when a is reduced to 0.8 nm.</w:t>
      </w:r>
    </w:p>
    <w:p w:rsidR="00E41416" w:rsidRDefault="004F5BFE">
      <w:pPr>
        <w:spacing w:after="120"/>
        <w:jc w:val="both"/>
      </w:pPr>
      <w:r>
        <w:t xml:space="preserve">Discussion: Because the transmission </w:t>
      </w:r>
      <w:r>
        <w:t>probability falls off exponentially with barrier thickness, even a small reduction in the gate oxide thickness of a MOSFET produces a very large increase in gate leakage current. This exponential dependence is the fundamental physical limit on the miniatur</w:t>
      </w:r>
      <w:r>
        <w:t xml:space="preserve">isation of </w:t>
      </w:r>
      <w:proofErr w:type="spellStart"/>
      <w:r>
        <w:t>nanoelectronic</w:t>
      </w:r>
      <w:proofErr w:type="spellEnd"/>
      <w:r>
        <w:t xml:space="preserve"> devices and is the reason why high-κ dielectrics were introduced to replace thin </w:t>
      </w:r>
      <w:proofErr w:type="spellStart"/>
      <w:r>
        <w:t>SiO</w:t>
      </w:r>
      <w:proofErr w:type="spellEnd"/>
      <w:r>
        <w:t>₂ gate oxides.</w:t>
      </w:r>
    </w:p>
    <w:p w:rsidR="00E41416" w:rsidRDefault="004F5BFE">
      <w:pPr>
        <w:pStyle w:val="Heading2"/>
        <w:spacing w:before="200" w:after="120"/>
      </w:pPr>
      <w:r>
        <w:rPr>
          <w:b/>
          <w:bCs/>
          <w:color w:val="000000"/>
          <w:sz w:val="24"/>
          <w:szCs w:val="24"/>
        </w:rPr>
        <w:t>Inference</w:t>
      </w:r>
    </w:p>
    <w:p w:rsidR="00E41416" w:rsidRDefault="004F5BFE">
      <w:pPr>
        <w:pStyle w:val="ListParagraph"/>
        <w:numPr>
          <w:ilvl w:val="0"/>
          <w:numId w:val="1"/>
        </w:numPr>
        <w:spacing w:after="60"/>
      </w:pPr>
      <w:r>
        <w:t>A particle can penetrate a barrier that is classically forbidden; the wave function decays exponentially inside the barri</w:t>
      </w:r>
      <w:r>
        <w:t>er but is non-zero beyond it.</w:t>
      </w:r>
    </w:p>
    <w:p w:rsidR="00E41416" w:rsidRDefault="004F5BFE">
      <w:pPr>
        <w:pStyle w:val="ListParagraph"/>
        <w:numPr>
          <w:ilvl w:val="0"/>
          <w:numId w:val="1"/>
        </w:numPr>
        <w:spacing w:after="60"/>
      </w:pPr>
      <w:r>
        <w:t xml:space="preserve">A double-barrier structure has quasi-bound levels at which transmission approaches unity — resonant </w:t>
      </w:r>
      <w:proofErr w:type="spellStart"/>
      <w:r>
        <w:t>tunneling</w:t>
      </w:r>
      <w:proofErr w:type="spellEnd"/>
      <w:r>
        <w:t>.</w:t>
      </w:r>
    </w:p>
    <w:p w:rsidR="00E41416" w:rsidRDefault="004F5BFE">
      <w:pPr>
        <w:pStyle w:val="ListParagraph"/>
        <w:numPr>
          <w:ilvl w:val="0"/>
          <w:numId w:val="1"/>
        </w:numPr>
        <w:spacing w:after="60"/>
      </w:pPr>
      <w:r>
        <w:t>Transmission and reflection are complementary at every energy, T + R = 1.</w:t>
      </w:r>
    </w:p>
    <w:p w:rsidR="00E41416" w:rsidRDefault="004F5BFE">
      <w:pPr>
        <w:pStyle w:val="ListParagraph"/>
        <w:numPr>
          <w:ilvl w:val="0"/>
          <w:numId w:val="1"/>
        </w:numPr>
        <w:spacing w:after="60"/>
      </w:pPr>
      <w:r>
        <w:t>A refined energy grid is required to resolve narrow resonance peaks accurately; a homogeneous grid may miss or distort them.</w:t>
      </w:r>
    </w:p>
    <w:p w:rsidR="00E41416" w:rsidRDefault="004F5BFE">
      <w:pPr>
        <w:pStyle w:val="Heading2"/>
        <w:spacing w:before="200" w:after="120"/>
      </w:pPr>
      <w:r>
        <w:rPr>
          <w:b/>
          <w:bCs/>
          <w:color w:val="000000"/>
          <w:sz w:val="24"/>
          <w:szCs w:val="24"/>
        </w:rPr>
        <w:t>Result</w:t>
      </w:r>
    </w:p>
    <w:p w:rsidR="00E41416" w:rsidRDefault="004F5BFE">
      <w:pPr>
        <w:spacing w:after="120"/>
        <w:jc w:val="both"/>
      </w:pPr>
      <w:r>
        <w:lastRenderedPageBreak/>
        <w:t xml:space="preserve">Thus the demonstration of quantum </w:t>
      </w:r>
      <w:proofErr w:type="spellStart"/>
      <w:r>
        <w:t>tunneling</w:t>
      </w:r>
      <w:proofErr w:type="spellEnd"/>
      <w:r>
        <w:t xml:space="preserve"> is analysed and the key learning points are observed using the </w:t>
      </w:r>
      <w:proofErr w:type="spellStart"/>
      <w:r>
        <w:t>nanoHUB</w:t>
      </w:r>
      <w:proofErr w:type="spellEnd"/>
      <w:r>
        <w:t xml:space="preserve"> simulatio</w:t>
      </w:r>
      <w:r>
        <w:t>n tool.</w:t>
      </w:r>
    </w:p>
    <w:p w:rsidR="00E41416" w:rsidRDefault="004F5BFE">
      <w:r>
        <w:br w:type="page"/>
      </w:r>
    </w:p>
    <w:p w:rsidR="00E41416" w:rsidRDefault="004F5BFE">
      <w:pPr>
        <w:pStyle w:val="Heading1"/>
        <w:spacing w:before="240" w:after="160"/>
      </w:pPr>
      <w:r>
        <w:rPr>
          <w:b/>
          <w:bCs/>
          <w:color w:val="000000"/>
          <w:sz w:val="28"/>
          <w:szCs w:val="28"/>
        </w:rPr>
        <w:lastRenderedPageBreak/>
        <w:t xml:space="preserve">Exp. 7. MOSFET Scaling Analysis and Subthreshold Swing Calculation using </w:t>
      </w:r>
      <w:proofErr w:type="spellStart"/>
      <w:r>
        <w:rPr>
          <w:b/>
          <w:bCs/>
          <w:color w:val="000000"/>
          <w:sz w:val="28"/>
          <w:szCs w:val="28"/>
        </w:rPr>
        <w:t>NanoHub</w:t>
      </w:r>
      <w:proofErr w:type="spellEnd"/>
    </w:p>
    <w:p w:rsidR="00E41416" w:rsidRDefault="004F5BFE">
      <w:pPr>
        <w:pStyle w:val="Heading2"/>
        <w:spacing w:before="200" w:after="120"/>
      </w:pPr>
      <w:r>
        <w:rPr>
          <w:b/>
          <w:bCs/>
          <w:color w:val="000000"/>
          <w:sz w:val="24"/>
          <w:szCs w:val="24"/>
        </w:rPr>
        <w:t>Aim</w:t>
      </w:r>
    </w:p>
    <w:p w:rsidR="00E41416" w:rsidRDefault="004F5BFE">
      <w:pPr>
        <w:spacing w:after="120"/>
        <w:jc w:val="both"/>
      </w:pPr>
      <w:r>
        <w:t xml:space="preserve">To study the current–voltage characteristics and the </w:t>
      </w:r>
      <w:proofErr w:type="spellStart"/>
      <w:r>
        <w:t>transconductance</w:t>
      </w:r>
      <w:proofErr w:type="spellEnd"/>
      <w:r>
        <w:t xml:space="preserve"> efficiency of a single-gate MOSFET using the </w:t>
      </w:r>
      <w:proofErr w:type="spellStart"/>
      <w:r>
        <w:t>NanoHUB</w:t>
      </w:r>
      <w:proofErr w:type="spellEnd"/>
      <w:r>
        <w:t xml:space="preserve"> </w:t>
      </w:r>
      <w:proofErr w:type="spellStart"/>
      <w:r>
        <w:t>FETToy</w:t>
      </w:r>
      <w:proofErr w:type="spellEnd"/>
      <w:r>
        <w:t xml:space="preserve"> simulator.</w:t>
      </w:r>
    </w:p>
    <w:p w:rsidR="00E41416" w:rsidRDefault="004F5BFE">
      <w:pPr>
        <w:pStyle w:val="Heading2"/>
        <w:spacing w:before="200" w:after="120"/>
      </w:pPr>
      <w:r>
        <w:rPr>
          <w:b/>
          <w:bCs/>
          <w:color w:val="000000"/>
          <w:sz w:val="24"/>
          <w:szCs w:val="24"/>
        </w:rPr>
        <w:t>Tools Required</w:t>
      </w:r>
    </w:p>
    <w:p w:rsidR="00E41416" w:rsidRDefault="004F5BFE">
      <w:pPr>
        <w:pStyle w:val="ListParagraph"/>
        <w:numPr>
          <w:ilvl w:val="0"/>
          <w:numId w:val="1"/>
        </w:numPr>
        <w:spacing w:after="60"/>
      </w:pPr>
      <w:r>
        <w:t>Compu</w:t>
      </w:r>
      <w:r>
        <w:t>ter with an internet connection.</w:t>
      </w:r>
    </w:p>
    <w:p w:rsidR="00E41416" w:rsidRDefault="004F5BFE">
      <w:pPr>
        <w:pStyle w:val="ListParagraph"/>
        <w:numPr>
          <w:ilvl w:val="0"/>
          <w:numId w:val="1"/>
        </w:numPr>
        <w:spacing w:after="60"/>
      </w:pPr>
      <w:proofErr w:type="spellStart"/>
      <w:r>
        <w:t>FETToy</w:t>
      </w:r>
      <w:proofErr w:type="spellEnd"/>
      <w:r>
        <w:t xml:space="preserve"> simulator on the </w:t>
      </w:r>
      <w:proofErr w:type="spellStart"/>
      <w:r>
        <w:t>NanoHUB</w:t>
      </w:r>
      <w:proofErr w:type="spellEnd"/>
      <w:r>
        <w:t xml:space="preserve"> platform.</w:t>
      </w:r>
    </w:p>
    <w:p w:rsidR="00E41416" w:rsidRDefault="004F5BFE">
      <w:pPr>
        <w:pStyle w:val="Heading2"/>
        <w:spacing w:before="200" w:after="120"/>
      </w:pPr>
      <w:r>
        <w:rPr>
          <w:b/>
          <w:bCs/>
          <w:color w:val="000000"/>
          <w:sz w:val="24"/>
          <w:szCs w:val="24"/>
        </w:rPr>
        <w:t>Theory</w:t>
      </w:r>
    </w:p>
    <w:p w:rsidR="00E41416" w:rsidRDefault="004F5BFE">
      <w:pPr>
        <w:spacing w:after="120"/>
        <w:jc w:val="both"/>
      </w:pPr>
      <w:r>
        <w:t>A single-gate MOSFET is a fundamental semiconductor device used for amplification and switching in modern electronics. It operates by modulating the flow of charge carriers b</w:t>
      </w:r>
      <w:r>
        <w:t>etween the source and drain terminals, controlled by the gate voltage (V_G).</w:t>
      </w:r>
    </w:p>
    <w:p w:rsidR="00E41416" w:rsidRDefault="004F5BFE">
      <w:pPr>
        <w:spacing w:after="120"/>
        <w:jc w:val="both"/>
      </w:pPr>
      <w:r>
        <w:t xml:space="preserve">Drain Current (I_D) is the current flowing from drain to source, influenced by both the gate voltage (V_G) and the drain voltage (V_D). </w:t>
      </w:r>
      <w:proofErr w:type="spellStart"/>
      <w:r>
        <w:t>Transconductance</w:t>
      </w:r>
      <w:proofErr w:type="spellEnd"/>
      <w:r>
        <w:t xml:space="preserve"> Efficiency (</w:t>
      </w:r>
      <w:proofErr w:type="spellStart"/>
      <w:r>
        <w:t>g_m</w:t>
      </w:r>
      <w:proofErr w:type="spellEnd"/>
      <w:r>
        <w:t>/I_D) measu</w:t>
      </w:r>
      <w:r>
        <w:t xml:space="preserve">res how effectively the MOSFET converts a change in gate voltage into a change in drain current; a higher value indicates better efficiency. In the Saturation Region, I_D becomes relatively constant despite increasing V_D, which occurs once the channel is </w:t>
      </w:r>
      <w:r>
        <w:t>fully pinched off.</w:t>
      </w:r>
    </w:p>
    <w:p w:rsidR="00E41416" w:rsidRDefault="004F5BFE">
      <w:pPr>
        <w:pStyle w:val="Heading2"/>
        <w:spacing w:before="200" w:after="120"/>
      </w:pPr>
      <w:r>
        <w:rPr>
          <w:b/>
          <w:bCs/>
          <w:color w:val="000000"/>
          <w:sz w:val="24"/>
          <w:szCs w:val="24"/>
        </w:rPr>
        <w:t>Formulae Used</w:t>
      </w:r>
    </w:p>
    <w:p w:rsidR="00E41416" w:rsidRDefault="004F5BFE">
      <w:pPr>
        <w:spacing w:after="120"/>
        <w:jc w:val="both"/>
      </w:pPr>
      <w:proofErr w:type="spellStart"/>
      <w:r>
        <w:t>Transconductance</w:t>
      </w:r>
      <w:proofErr w:type="spellEnd"/>
      <w:r>
        <w:t xml:space="preserve"> efficiency:   </w:t>
      </w:r>
      <w:proofErr w:type="spellStart"/>
      <w:r>
        <w:t>g_m</w:t>
      </w:r>
      <w:proofErr w:type="spellEnd"/>
      <w:r>
        <w:t xml:space="preserve"> / I_D = ΔI_D / (ΔV_G · I_D)</w:t>
      </w:r>
    </w:p>
    <w:p w:rsidR="00E41416" w:rsidRDefault="004F5BFE">
      <w:pPr>
        <w:spacing w:after="120"/>
        <w:jc w:val="both"/>
      </w:pPr>
      <w:r>
        <w:t>Drain current change:   ΔI_D = I_</w:t>
      </w:r>
      <w:proofErr w:type="gramStart"/>
      <w:r>
        <w:t>D(</w:t>
      </w:r>
      <w:proofErr w:type="gramEnd"/>
      <w:r>
        <w:t>V_G = x) – I_D(V_G = y)</w:t>
      </w:r>
    </w:p>
    <w:p w:rsidR="00E41416" w:rsidRDefault="004F5BFE">
      <w:pPr>
        <w:pStyle w:val="Heading2"/>
        <w:spacing w:before="200" w:after="120"/>
      </w:pPr>
      <w:r>
        <w:rPr>
          <w:b/>
          <w:bCs/>
          <w:color w:val="000000"/>
          <w:sz w:val="24"/>
          <w:szCs w:val="24"/>
        </w:rPr>
        <w:t>Procedure</w:t>
      </w:r>
    </w:p>
    <w:p w:rsidR="00E41416" w:rsidRDefault="004F5BFE">
      <w:pPr>
        <w:pStyle w:val="ListParagraph"/>
        <w:numPr>
          <w:ilvl w:val="0"/>
          <w:numId w:val="1"/>
        </w:numPr>
        <w:spacing w:after="60"/>
      </w:pPr>
      <w:r>
        <w:t xml:space="preserve">Log in to the </w:t>
      </w:r>
      <w:proofErr w:type="spellStart"/>
      <w:r>
        <w:t>NanoHUB</w:t>
      </w:r>
      <w:proofErr w:type="spellEnd"/>
      <w:r>
        <w:t xml:space="preserve"> platform and navigate to the </w:t>
      </w:r>
      <w:proofErr w:type="spellStart"/>
      <w:r>
        <w:t>FETToy</w:t>
      </w:r>
      <w:proofErr w:type="spellEnd"/>
      <w:r>
        <w:t xml:space="preserve"> simulator.</w:t>
      </w:r>
    </w:p>
    <w:p w:rsidR="00E41416" w:rsidRDefault="004F5BFE">
      <w:pPr>
        <w:pStyle w:val="ListParagraph"/>
        <w:numPr>
          <w:ilvl w:val="0"/>
          <w:numId w:val="1"/>
        </w:numPr>
        <w:spacing w:after="60"/>
      </w:pPr>
      <w:r>
        <w:t>In the Device tab, cho</w:t>
      </w:r>
      <w:r>
        <w:t>ose Model: Single-Gate MOSFET and enter the device parameters.</w:t>
      </w:r>
    </w:p>
    <w:p w:rsidR="00E41416" w:rsidRDefault="004F5BFE">
      <w:pPr>
        <w:pStyle w:val="ListParagraph"/>
        <w:numPr>
          <w:ilvl w:val="0"/>
          <w:numId w:val="1"/>
        </w:numPr>
        <w:spacing w:after="60"/>
      </w:pPr>
      <w:r>
        <w:t>In the Models tab, enter the threshold voltage and the gate and drain control parameters.</w:t>
      </w:r>
    </w:p>
    <w:p w:rsidR="00E41416" w:rsidRDefault="004F5BFE">
      <w:pPr>
        <w:pStyle w:val="ListParagraph"/>
        <w:numPr>
          <w:ilvl w:val="0"/>
          <w:numId w:val="1"/>
        </w:numPr>
        <w:spacing w:after="60"/>
      </w:pPr>
      <w:r>
        <w:t>In the Environment tab, set the ambient temperature and configure the gate and drain voltage sweeps.</w:t>
      </w:r>
    </w:p>
    <w:p w:rsidR="00E41416" w:rsidRDefault="004F5BFE">
      <w:pPr>
        <w:pStyle w:val="ListParagraph"/>
        <w:numPr>
          <w:ilvl w:val="0"/>
          <w:numId w:val="1"/>
        </w:numPr>
        <w:spacing w:after="60"/>
      </w:pPr>
      <w:r>
        <w:t>Cl</w:t>
      </w:r>
      <w:r>
        <w:t>ick Simulate to generate the results.</w:t>
      </w:r>
    </w:p>
    <w:p w:rsidR="00E41416" w:rsidRDefault="004F5BFE">
      <w:pPr>
        <w:pStyle w:val="ListParagraph"/>
        <w:numPr>
          <w:ilvl w:val="0"/>
          <w:numId w:val="1"/>
        </w:numPr>
        <w:spacing w:after="60"/>
      </w:pPr>
      <w:r>
        <w:t xml:space="preserve">View the Drain Current </w:t>
      </w:r>
      <w:proofErr w:type="gramStart"/>
      <w:r>
        <w:t>vs</w:t>
      </w:r>
      <w:proofErr w:type="gramEnd"/>
      <w:r>
        <w:t xml:space="preserve"> Gate Voltage, Drain Current vs Drain Voltage and gm/Id vs Gate Voltage plots.</w:t>
      </w:r>
    </w:p>
    <w:p w:rsidR="00E41416" w:rsidRDefault="004F5BFE">
      <w:pPr>
        <w:pStyle w:val="ListParagraph"/>
        <w:numPr>
          <w:ilvl w:val="0"/>
          <w:numId w:val="1"/>
        </w:numPr>
        <w:spacing w:after="60"/>
      </w:pPr>
      <w:r>
        <w:t xml:space="preserve">Export the data and calculate the </w:t>
      </w:r>
      <w:proofErr w:type="spellStart"/>
      <w:r>
        <w:t>transconductance</w:t>
      </w:r>
      <w:proofErr w:type="spellEnd"/>
      <w:r>
        <w:t xml:space="preserve"> efficiency and the saturation region.</w:t>
      </w:r>
    </w:p>
    <w:p w:rsidR="00E41416" w:rsidRDefault="004F5BFE">
      <w:r>
        <w:br w:type="page"/>
      </w:r>
    </w:p>
    <w:p w:rsidR="00E41416" w:rsidRDefault="004F5BFE">
      <w:pPr>
        <w:pStyle w:val="Heading2"/>
        <w:spacing w:before="200" w:after="120"/>
      </w:pPr>
      <w:r>
        <w:rPr>
          <w:b/>
          <w:bCs/>
          <w:color w:val="000000"/>
          <w:sz w:val="24"/>
          <w:szCs w:val="24"/>
        </w:rPr>
        <w:lastRenderedPageBreak/>
        <w:t>Output — Device Tab Configuration</w:t>
      </w:r>
    </w:p>
    <w:p w:rsidR="00E41416" w:rsidRDefault="004F5BFE">
      <w:pPr>
        <w:spacing w:after="160"/>
        <w:jc w:val="center"/>
      </w:pPr>
      <w:r>
        <w:rPr>
          <w:noProof/>
        </w:rPr>
        <w:drawing>
          <wp:inline distT="0" distB="0" distL="0" distR="0">
            <wp:extent cx="381000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4114800"/>
                    </a:xfrm>
                    <a:prstGeom prst="rect">
                      <a:avLst/>
                    </a:prstGeom>
                  </pic:spPr>
                </pic:pic>
              </a:graphicData>
            </a:graphic>
          </wp:inline>
        </w:drawing>
      </w:r>
    </w:p>
    <w:p w:rsidR="00E41416" w:rsidRDefault="004F5BFE">
      <w:pPr>
        <w:spacing w:after="200"/>
        <w:jc w:val="center"/>
      </w:pPr>
      <w:proofErr w:type="spellStart"/>
      <w:r>
        <w:rPr>
          <w:i/>
          <w:iCs/>
          <w:sz w:val="20"/>
          <w:szCs w:val="20"/>
        </w:rPr>
        <w:t>FETToy</w:t>
      </w:r>
      <w:proofErr w:type="spellEnd"/>
      <w:r>
        <w:rPr>
          <w:i/>
          <w:iCs/>
          <w:sz w:val="20"/>
          <w:szCs w:val="20"/>
        </w:rPr>
        <w:t xml:space="preserve"> Device tab — Single-Gate MOSFET parameters</w:t>
      </w:r>
    </w:p>
    <w:p w:rsidR="00E41416" w:rsidRDefault="004F5BFE">
      <w:pPr>
        <w:spacing w:after="120"/>
        <w:jc w:val="both"/>
      </w:pPr>
      <w:r>
        <w:t>Parameters set: Gate Insulator Thickness – 1.5 nm, Gate Insulator Dielectric Constant – 3.9 (</w:t>
      </w:r>
      <w:proofErr w:type="spellStart"/>
      <w:r>
        <w:t>SiO</w:t>
      </w:r>
      <w:proofErr w:type="spellEnd"/>
      <w:r>
        <w:t>₂), Effective Mass Ratio – 0.19, Valley Degeneracy – 2, Floating Boundary Flag – no, Body Thickness – 10 nm, Source Doping Density – 1e+20 /cm³.</w:t>
      </w:r>
    </w:p>
    <w:p w:rsidR="00E41416" w:rsidRDefault="004F5BFE">
      <w:pPr>
        <w:pStyle w:val="Heading2"/>
        <w:spacing w:before="200" w:after="120"/>
      </w:pPr>
      <w:r>
        <w:rPr>
          <w:b/>
          <w:bCs/>
          <w:color w:val="000000"/>
          <w:sz w:val="24"/>
          <w:szCs w:val="24"/>
        </w:rPr>
        <w:t>Output — Models</w:t>
      </w:r>
      <w:r>
        <w:rPr>
          <w:b/>
          <w:bCs/>
          <w:color w:val="000000"/>
          <w:sz w:val="24"/>
          <w:szCs w:val="24"/>
        </w:rPr>
        <w:t xml:space="preserve"> Tab Configuration</w:t>
      </w:r>
    </w:p>
    <w:p w:rsidR="00E41416" w:rsidRDefault="004F5BFE">
      <w:pPr>
        <w:spacing w:after="160"/>
        <w:jc w:val="center"/>
      </w:pPr>
      <w:r>
        <w:rPr>
          <w:noProof/>
        </w:rPr>
        <w:lastRenderedPageBreak/>
        <w:drawing>
          <wp:inline distT="0" distB="0" distL="0" distR="0">
            <wp:extent cx="3714750" cy="4133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714750" cy="4133850"/>
                    </a:xfrm>
                    <a:prstGeom prst="rect">
                      <a:avLst/>
                    </a:prstGeom>
                  </pic:spPr>
                </pic:pic>
              </a:graphicData>
            </a:graphic>
          </wp:inline>
        </w:drawing>
      </w:r>
    </w:p>
    <w:p w:rsidR="00E41416" w:rsidRDefault="004F5BFE">
      <w:pPr>
        <w:spacing w:after="200"/>
        <w:jc w:val="center"/>
      </w:pPr>
      <w:proofErr w:type="spellStart"/>
      <w:r>
        <w:rPr>
          <w:i/>
          <w:iCs/>
          <w:sz w:val="20"/>
          <w:szCs w:val="20"/>
        </w:rPr>
        <w:t>FETToy</w:t>
      </w:r>
      <w:proofErr w:type="spellEnd"/>
      <w:r>
        <w:rPr>
          <w:i/>
          <w:iCs/>
          <w:sz w:val="20"/>
          <w:szCs w:val="20"/>
        </w:rPr>
        <w:t xml:space="preserve"> Models tab — electrical model parameters</w:t>
      </w:r>
    </w:p>
    <w:p w:rsidR="00E41416" w:rsidRDefault="004F5BFE">
      <w:pPr>
        <w:spacing w:after="120"/>
        <w:jc w:val="both"/>
      </w:pPr>
      <w:r>
        <w:t>Parameters set: Threshold Voltage – 0.32 V, Gate Control Parameter – 0.88, Drain Control Parameter – 0.035, Series Resistance – 0 Ω·µm. The gate control parameter of 0.88 indicates that 8</w:t>
      </w:r>
      <w:r>
        <w:t>8 % of the applied gate voltage is effective in controlling the channel potential, while the small drain control parameter of 0.035 quantifies the unwanted influence of the drain on the channel barrier, i.e. the drain-induced barrier lowering.</w:t>
      </w:r>
    </w:p>
    <w:p w:rsidR="00E41416" w:rsidRDefault="004F5BFE">
      <w:pPr>
        <w:pStyle w:val="Heading2"/>
        <w:spacing w:before="200" w:after="120"/>
      </w:pPr>
      <w:r>
        <w:rPr>
          <w:b/>
          <w:bCs/>
          <w:color w:val="000000"/>
          <w:sz w:val="24"/>
          <w:szCs w:val="24"/>
        </w:rPr>
        <w:t>Output — Env</w:t>
      </w:r>
      <w:r>
        <w:rPr>
          <w:b/>
          <w:bCs/>
          <w:color w:val="000000"/>
          <w:sz w:val="24"/>
          <w:szCs w:val="24"/>
        </w:rPr>
        <w:t>ironment Tab Configuration</w:t>
      </w:r>
    </w:p>
    <w:p w:rsidR="00E41416" w:rsidRDefault="004F5BFE">
      <w:pPr>
        <w:spacing w:after="160"/>
        <w:jc w:val="center"/>
      </w:pPr>
      <w:r>
        <w:rPr>
          <w:noProof/>
        </w:rPr>
        <w:lastRenderedPageBreak/>
        <w:drawing>
          <wp:inline distT="0" distB="0" distL="0" distR="0">
            <wp:extent cx="3619500" cy="4276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4276725"/>
                    </a:xfrm>
                    <a:prstGeom prst="rect">
                      <a:avLst/>
                    </a:prstGeom>
                  </pic:spPr>
                </pic:pic>
              </a:graphicData>
            </a:graphic>
          </wp:inline>
        </w:drawing>
      </w:r>
    </w:p>
    <w:p w:rsidR="00E41416" w:rsidRDefault="004F5BFE">
      <w:pPr>
        <w:spacing w:after="200"/>
        <w:jc w:val="center"/>
      </w:pPr>
      <w:proofErr w:type="spellStart"/>
      <w:r>
        <w:rPr>
          <w:i/>
          <w:iCs/>
          <w:sz w:val="20"/>
          <w:szCs w:val="20"/>
        </w:rPr>
        <w:t>FETToy</w:t>
      </w:r>
      <w:proofErr w:type="spellEnd"/>
      <w:r>
        <w:rPr>
          <w:i/>
          <w:iCs/>
          <w:sz w:val="20"/>
          <w:szCs w:val="20"/>
        </w:rPr>
        <w:t xml:space="preserve"> Environment tab — temperature and voltage sweep settings</w:t>
      </w:r>
    </w:p>
    <w:p w:rsidR="00E41416" w:rsidRDefault="004F5BFE">
      <w:pPr>
        <w:spacing w:after="120"/>
        <w:jc w:val="both"/>
      </w:pPr>
      <w:r>
        <w:t>Parameters set: Ambient Temperature – 300 K; Gate Voltage Sweep – 0 V to 1 V with 13 bias points; Drain Voltage Sweep – 0 V to 1 V with 13 bias points.</w:t>
      </w:r>
    </w:p>
    <w:p w:rsidR="00E41416" w:rsidRDefault="004F5BFE">
      <w:r>
        <w:br w:type="page"/>
      </w:r>
    </w:p>
    <w:p w:rsidR="00E41416" w:rsidRDefault="004F5BFE">
      <w:pPr>
        <w:pStyle w:val="Heading2"/>
        <w:spacing w:before="200" w:after="120"/>
      </w:pPr>
      <w:r>
        <w:rPr>
          <w:b/>
          <w:bCs/>
          <w:color w:val="000000"/>
          <w:sz w:val="24"/>
          <w:szCs w:val="24"/>
        </w:rPr>
        <w:lastRenderedPageBreak/>
        <w:t xml:space="preserve">Output — </w:t>
      </w:r>
      <w:r>
        <w:rPr>
          <w:b/>
          <w:bCs/>
          <w:color w:val="000000"/>
          <w:sz w:val="24"/>
          <w:szCs w:val="24"/>
        </w:rPr>
        <w:t xml:space="preserve">Drain Current </w:t>
      </w:r>
      <w:proofErr w:type="gramStart"/>
      <w:r>
        <w:rPr>
          <w:b/>
          <w:bCs/>
          <w:color w:val="000000"/>
          <w:sz w:val="24"/>
          <w:szCs w:val="24"/>
        </w:rPr>
        <w:t>vs</w:t>
      </w:r>
      <w:proofErr w:type="gramEnd"/>
      <w:r>
        <w:rPr>
          <w:b/>
          <w:bCs/>
          <w:color w:val="000000"/>
          <w:sz w:val="24"/>
          <w:szCs w:val="24"/>
        </w:rPr>
        <w:t xml:space="preserve"> Gate Voltage</w:t>
      </w:r>
    </w:p>
    <w:p w:rsidR="00E41416" w:rsidRDefault="004F5BFE">
      <w:pPr>
        <w:spacing w:after="160"/>
        <w:jc w:val="center"/>
      </w:pPr>
      <w:r>
        <w:rPr>
          <w:noProof/>
        </w:rPr>
        <w:drawing>
          <wp:inline distT="0" distB="0" distL="0" distR="0">
            <wp:extent cx="4381500" cy="3314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3314700"/>
                    </a:xfrm>
                    <a:prstGeom prst="rect">
                      <a:avLst/>
                    </a:prstGeom>
                  </pic:spPr>
                </pic:pic>
              </a:graphicData>
            </a:graphic>
          </wp:inline>
        </w:drawing>
      </w:r>
    </w:p>
    <w:p w:rsidR="00E41416" w:rsidRDefault="004F5BFE">
      <w:pPr>
        <w:spacing w:after="200"/>
        <w:jc w:val="center"/>
      </w:pPr>
      <w:r>
        <w:rPr>
          <w:i/>
          <w:iCs/>
          <w:sz w:val="20"/>
          <w:szCs w:val="20"/>
        </w:rPr>
        <w:t>Result: Drain current vs Gate voltage, plotted on a logarithmic current axis</w:t>
      </w:r>
    </w:p>
    <w:p w:rsidR="00E41416" w:rsidRDefault="004F5BFE">
      <w:pPr>
        <w:spacing w:after="120"/>
        <w:jc w:val="both"/>
      </w:pPr>
      <w:r>
        <w:rPr>
          <w:b/>
          <w:bCs/>
        </w:rPr>
        <w:t>Explanation of Output:</w:t>
      </w:r>
    </w:p>
    <w:p w:rsidR="00E41416" w:rsidRDefault="004F5BFE">
      <w:pPr>
        <w:spacing w:after="120"/>
        <w:jc w:val="both"/>
      </w:pPr>
      <w:r>
        <w:t xml:space="preserve">The drain current is plotted on a logarithmic scale from about 0.001 µA/µm to over 2000 µA/µm against the gate voltage from </w:t>
      </w:r>
      <w:r>
        <w:t>0 V to 1 V. Two curves are shown, corresponding to two different drain bias conditions.</w:t>
      </w:r>
    </w:p>
    <w:p w:rsidR="00E41416" w:rsidRDefault="004F5BFE">
      <w:pPr>
        <w:spacing w:after="120"/>
        <w:jc w:val="both"/>
      </w:pPr>
      <w:r>
        <w:t>Below the threshold voltage of 0.32 V the curve is a straight line on the logarithmic axis. A straight line on a log scale means the current is increasing exponentially</w:t>
      </w:r>
      <w:r>
        <w:t xml:space="preserve"> with gate voltage — this is the subthreshold region, where conduction is governed by thermionic emission of carriers over the source-to-channel barrier. The slope of this straight portion gives the subthreshold swing, the number of millivolts of gate volt</w:t>
      </w:r>
      <w:r>
        <w:t>age needed to change the drain current by one decade. The theoretical minimum at 300 K is 60 mV/decade, and a steeper (smaller) swing means the transistor can be switched off more sharply.</w:t>
      </w:r>
    </w:p>
    <w:p w:rsidR="00E41416" w:rsidRDefault="004F5BFE">
      <w:pPr>
        <w:spacing w:after="120"/>
        <w:jc w:val="both"/>
      </w:pPr>
      <w:r>
        <w:t>Above threshold the curve bends over and rises much more slowly, be</w:t>
      </w:r>
      <w:r>
        <w:t xml:space="preserve">cause the device has entered strong inversion where the current grows only linearly or </w:t>
      </w:r>
      <w:proofErr w:type="spellStart"/>
      <w:r>
        <w:t>quadratically</w:t>
      </w:r>
      <w:proofErr w:type="spellEnd"/>
      <w:r>
        <w:t xml:space="preserve"> with gate overdrive rather than exponentially. The vertical separation between the two curves at a fixed gate voltage is a measure of the drain-induced bar</w:t>
      </w:r>
      <w:r>
        <w:t>rier lowering caused by the higher drain bias.</w:t>
      </w:r>
    </w:p>
    <w:p w:rsidR="00E41416" w:rsidRDefault="004F5BFE">
      <w:r>
        <w:br w:type="page"/>
      </w:r>
    </w:p>
    <w:p w:rsidR="00E41416" w:rsidRDefault="004F5BFE">
      <w:pPr>
        <w:pStyle w:val="Heading2"/>
        <w:spacing w:before="200" w:after="120"/>
      </w:pPr>
      <w:r>
        <w:rPr>
          <w:b/>
          <w:bCs/>
          <w:color w:val="000000"/>
          <w:sz w:val="24"/>
          <w:szCs w:val="24"/>
        </w:rPr>
        <w:lastRenderedPageBreak/>
        <w:t xml:space="preserve">Output — Drain Current </w:t>
      </w:r>
      <w:proofErr w:type="gramStart"/>
      <w:r>
        <w:rPr>
          <w:b/>
          <w:bCs/>
          <w:color w:val="000000"/>
          <w:sz w:val="24"/>
          <w:szCs w:val="24"/>
        </w:rPr>
        <w:t>vs</w:t>
      </w:r>
      <w:proofErr w:type="gramEnd"/>
      <w:r>
        <w:rPr>
          <w:b/>
          <w:bCs/>
          <w:color w:val="000000"/>
          <w:sz w:val="24"/>
          <w:szCs w:val="24"/>
        </w:rPr>
        <w:t xml:space="preserve"> Drain Voltage</w:t>
      </w:r>
    </w:p>
    <w:p w:rsidR="00E41416" w:rsidRDefault="004F5BFE">
      <w:pPr>
        <w:spacing w:after="160"/>
        <w:jc w:val="center"/>
      </w:pPr>
      <w:r>
        <w:rPr>
          <w:noProof/>
        </w:rPr>
        <w:drawing>
          <wp:inline distT="0" distB="0" distL="0" distR="0">
            <wp:extent cx="4381500" cy="3314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3314700"/>
                    </a:xfrm>
                    <a:prstGeom prst="rect">
                      <a:avLst/>
                    </a:prstGeom>
                  </pic:spPr>
                </pic:pic>
              </a:graphicData>
            </a:graphic>
          </wp:inline>
        </w:drawing>
      </w:r>
    </w:p>
    <w:p w:rsidR="00E41416" w:rsidRDefault="004F5BFE">
      <w:pPr>
        <w:spacing w:after="200"/>
        <w:jc w:val="center"/>
      </w:pPr>
      <w:r>
        <w:rPr>
          <w:i/>
          <w:iCs/>
          <w:sz w:val="20"/>
          <w:szCs w:val="20"/>
        </w:rPr>
        <w:t>Result: Drain current vs Drain voltage family of curves; marked point 2530 µA/µm at V_D = 0.9167 V for V_G = 1.0 V</w:t>
      </w:r>
    </w:p>
    <w:p w:rsidR="00E41416" w:rsidRDefault="004F5BFE">
      <w:pPr>
        <w:spacing w:after="120"/>
        <w:jc w:val="both"/>
      </w:pPr>
      <w:r>
        <w:rPr>
          <w:b/>
          <w:bCs/>
        </w:rPr>
        <w:t>Explanation of Output:</w:t>
      </w:r>
    </w:p>
    <w:p w:rsidR="00E41416" w:rsidRDefault="004F5BFE">
      <w:pPr>
        <w:spacing w:after="120"/>
        <w:jc w:val="both"/>
      </w:pPr>
      <w:r>
        <w:t>This is the family of output characteristics, one curve for each of the 13 gate bias points from 0 V to 1 V. Each curve rises steeply and almost linearly at small drain voltage and then flattens into a nearly horizontal plateau.</w:t>
      </w:r>
    </w:p>
    <w:p w:rsidR="00E41416" w:rsidRDefault="004F5BFE">
      <w:pPr>
        <w:spacing w:after="120"/>
        <w:jc w:val="both"/>
      </w:pPr>
      <w:r>
        <w:t>The steep initial portion i</w:t>
      </w:r>
      <w:r>
        <w:t xml:space="preserve">s the linear (triode) region, where the channel behaves like a voltage-controlled resistor and I_D increases in proportion to V_D. The flat portion is the saturation region, reached once V_D exceeds V_G – </w:t>
      </w:r>
      <w:proofErr w:type="spellStart"/>
      <w:r>
        <w:t>V_th</w:t>
      </w:r>
      <w:proofErr w:type="spellEnd"/>
      <w:r>
        <w:t xml:space="preserve">; beyond this point the channel is pinched off </w:t>
      </w:r>
      <w:r>
        <w:t>at the drain end and further increases in drain voltage no longer increase the current appreciably. The residual gentle upward slope in saturation is due to channel length modulation.</w:t>
      </w:r>
    </w:p>
    <w:p w:rsidR="00E41416" w:rsidRDefault="004F5BFE">
      <w:pPr>
        <w:spacing w:after="120"/>
        <w:jc w:val="both"/>
      </w:pPr>
      <w:r>
        <w:t>The topmost curve corresponds to V_G = 1.0 V and the marked data point s</w:t>
      </w:r>
      <w:r>
        <w:t xml:space="preserve">hows a drain current of 2530 µA/µm at V_D = 0.9167 V. The vertical spacing between successive curves widens as the gate voltage increases, which reflects the fact that the saturation current depends on the square of the gate overdrive (V_G – </w:t>
      </w:r>
      <w:proofErr w:type="spellStart"/>
      <w:r>
        <w:t>V_th</w:t>
      </w:r>
      <w:proofErr w:type="spellEnd"/>
      <w:r>
        <w:t>).</w:t>
      </w:r>
    </w:p>
    <w:p w:rsidR="00E41416" w:rsidRDefault="004F5BFE">
      <w:r>
        <w:br w:type="page"/>
      </w:r>
    </w:p>
    <w:p w:rsidR="00E41416" w:rsidRDefault="004F5BFE">
      <w:pPr>
        <w:pStyle w:val="Heading2"/>
        <w:spacing w:before="200" w:after="120"/>
      </w:pPr>
      <w:r>
        <w:rPr>
          <w:b/>
          <w:bCs/>
          <w:color w:val="000000"/>
          <w:sz w:val="24"/>
          <w:szCs w:val="24"/>
        </w:rPr>
        <w:lastRenderedPageBreak/>
        <w:t>Outpu</w:t>
      </w:r>
      <w:r>
        <w:rPr>
          <w:b/>
          <w:bCs/>
          <w:color w:val="000000"/>
          <w:sz w:val="24"/>
          <w:szCs w:val="24"/>
        </w:rPr>
        <w:t>t — gm/Id vs Gate Voltage</w:t>
      </w:r>
    </w:p>
    <w:p w:rsidR="00E41416" w:rsidRDefault="004F5BFE">
      <w:pPr>
        <w:spacing w:after="160"/>
        <w:jc w:val="center"/>
      </w:pPr>
      <w:r>
        <w:rPr>
          <w:noProof/>
        </w:rPr>
        <w:drawing>
          <wp:inline distT="0" distB="0" distL="0" distR="0">
            <wp:extent cx="4381500" cy="3314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3314700"/>
                    </a:xfrm>
                    <a:prstGeom prst="rect">
                      <a:avLst/>
                    </a:prstGeom>
                  </pic:spPr>
                </pic:pic>
              </a:graphicData>
            </a:graphic>
          </wp:inline>
        </w:drawing>
      </w:r>
    </w:p>
    <w:p w:rsidR="00E41416" w:rsidRDefault="004F5BFE">
      <w:pPr>
        <w:spacing w:after="200"/>
        <w:jc w:val="center"/>
      </w:pPr>
      <w:r>
        <w:rPr>
          <w:i/>
          <w:iCs/>
          <w:sz w:val="20"/>
          <w:szCs w:val="20"/>
        </w:rPr>
        <w:t xml:space="preserve">Result: </w:t>
      </w:r>
      <w:proofErr w:type="spellStart"/>
      <w:r>
        <w:rPr>
          <w:i/>
          <w:iCs/>
          <w:sz w:val="20"/>
          <w:szCs w:val="20"/>
        </w:rPr>
        <w:t>Transconductance</w:t>
      </w:r>
      <w:proofErr w:type="spellEnd"/>
      <w:r>
        <w:rPr>
          <w:i/>
          <w:iCs/>
          <w:sz w:val="20"/>
          <w:szCs w:val="20"/>
        </w:rPr>
        <w:t xml:space="preserve"> efficiency gm/Id (1/V) vs Gate voltage</w:t>
      </w:r>
    </w:p>
    <w:p w:rsidR="00E41416" w:rsidRDefault="004F5BFE">
      <w:pPr>
        <w:spacing w:after="120"/>
        <w:jc w:val="both"/>
      </w:pPr>
      <w:r>
        <w:rPr>
          <w:b/>
          <w:bCs/>
        </w:rPr>
        <w:t>Explanation of Output:</w:t>
      </w:r>
    </w:p>
    <w:p w:rsidR="00E41416" w:rsidRDefault="004F5BFE">
      <w:pPr>
        <w:spacing w:after="120"/>
        <w:jc w:val="both"/>
      </w:pPr>
      <w:r>
        <w:t xml:space="preserve">The </w:t>
      </w:r>
      <w:proofErr w:type="spellStart"/>
      <w:r>
        <w:t>transconductance</w:t>
      </w:r>
      <w:proofErr w:type="spellEnd"/>
      <w:r>
        <w:t xml:space="preserve"> efficiency starts at a high value of about 34 V⁻¹ at low gate voltage, remains roughly flat up to about 0.2 V, then fall</w:t>
      </w:r>
      <w:r>
        <w:t>s steeply between 0.2 V and 0.5 V, and finally settles at a low value of about 3 V⁻¹ near V_G = 1 V.</w:t>
      </w:r>
    </w:p>
    <w:p w:rsidR="00E41416" w:rsidRDefault="004F5BFE">
      <w:pPr>
        <w:spacing w:after="120"/>
        <w:jc w:val="both"/>
      </w:pPr>
      <w:r>
        <w:t>The high plateau at low gate voltage corresponds to the subthreshold region. Here the current changes exponentially with gate voltage, so each additional v</w:t>
      </w:r>
      <w:r>
        <w:t xml:space="preserve">olt of gate bias produces the largest possible relative change in current — this is the most power-efficient operating point, and it is where low-power </w:t>
      </w:r>
      <w:proofErr w:type="spellStart"/>
      <w:r>
        <w:t>analog</w:t>
      </w:r>
      <w:proofErr w:type="spellEnd"/>
      <w:r>
        <w:t xml:space="preserve"> circuits are biased. The theoretical ceiling for this plateau is q/(</w:t>
      </w:r>
      <w:proofErr w:type="spellStart"/>
      <w:r>
        <w:t>nkT</w:t>
      </w:r>
      <w:proofErr w:type="spellEnd"/>
      <w:r>
        <w:t xml:space="preserve">), which is approximately </w:t>
      </w:r>
      <w:r>
        <w:t>38 V⁻¹ at 300 K for an ideal device; the simulated value of 34 V⁻¹ is close to this limit and confirms good gate control.</w:t>
      </w:r>
    </w:p>
    <w:p w:rsidR="00E41416" w:rsidRDefault="004F5BFE">
      <w:pPr>
        <w:spacing w:after="120"/>
        <w:jc w:val="both"/>
      </w:pPr>
      <w:r>
        <w:t>The sharp fall around the threshold voltage marks the transition from exponential subthreshold conduction to strong inversion. In stro</w:t>
      </w:r>
      <w:r>
        <w:t xml:space="preserve">ng inversion the current no longer grows exponentially, so the same increase in gate voltage produces a much smaller fractional current change and the efficiency drops. Operating at high gate voltage therefore gives large drive current but poor efficiency </w:t>
      </w:r>
      <w:r>
        <w:t>— the fundamental speed-versus-power trade-off in MOSFET design.</w:t>
      </w:r>
    </w:p>
    <w:p w:rsidR="00E41416" w:rsidRDefault="004F5BFE">
      <w:pPr>
        <w:pStyle w:val="Heading2"/>
        <w:spacing w:before="200" w:after="120"/>
      </w:pPr>
      <w:r>
        <w:rPr>
          <w:b/>
          <w:bCs/>
          <w:color w:val="000000"/>
          <w:sz w:val="24"/>
          <w:szCs w:val="24"/>
        </w:rPr>
        <w:t>Tabulation of Results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
        <w:gridCol w:w="676"/>
        <w:gridCol w:w="751"/>
        <w:gridCol w:w="1598"/>
      </w:tblGrid>
      <w:tr w:rsidR="00E41416">
        <w:tblPrEx>
          <w:tblCellMar>
            <w:top w:w="0" w:type="dxa"/>
            <w:bottom w:w="0" w:type="dxa"/>
          </w:tblCellMar>
        </w:tblPrEx>
        <w:tc>
          <w:tcPr>
            <w:tcW w:w="0" w:type="dxa"/>
            <w:shd w:val="clear" w:color="auto" w:fill="E8E8E8"/>
          </w:tcPr>
          <w:p w:rsidR="00E41416" w:rsidRDefault="004F5BFE">
            <w:pPr>
              <w:jc w:val="center"/>
            </w:pPr>
            <w:r>
              <w:rPr>
                <w:b/>
                <w:bCs/>
                <w:sz w:val="20"/>
                <w:szCs w:val="20"/>
              </w:rPr>
              <w:t>Gate Voltage V_G (V)</w:t>
            </w:r>
          </w:p>
        </w:tc>
        <w:tc>
          <w:tcPr>
            <w:tcW w:w="0" w:type="dxa"/>
            <w:shd w:val="clear" w:color="auto" w:fill="E8E8E8"/>
          </w:tcPr>
          <w:p w:rsidR="00E41416" w:rsidRDefault="004F5BFE">
            <w:pPr>
              <w:jc w:val="center"/>
            </w:pPr>
            <w:r>
              <w:rPr>
                <w:b/>
                <w:bCs/>
                <w:sz w:val="20"/>
                <w:szCs w:val="20"/>
              </w:rPr>
              <w:t>Drain Voltage V_D (V)</w:t>
            </w:r>
          </w:p>
        </w:tc>
        <w:tc>
          <w:tcPr>
            <w:tcW w:w="0" w:type="dxa"/>
            <w:shd w:val="clear" w:color="auto" w:fill="E8E8E8"/>
          </w:tcPr>
          <w:p w:rsidR="00E41416" w:rsidRDefault="004F5BFE">
            <w:pPr>
              <w:jc w:val="center"/>
            </w:pPr>
            <w:r>
              <w:rPr>
                <w:b/>
                <w:bCs/>
                <w:sz w:val="20"/>
                <w:szCs w:val="20"/>
              </w:rPr>
              <w:t>Drain Current I_D (µA/µm)</w:t>
            </w:r>
          </w:p>
        </w:tc>
        <w:tc>
          <w:tcPr>
            <w:tcW w:w="0" w:type="dxa"/>
            <w:shd w:val="clear" w:color="auto" w:fill="E8E8E8"/>
          </w:tcPr>
          <w:p w:rsidR="00E41416" w:rsidRDefault="004F5BFE">
            <w:pPr>
              <w:jc w:val="center"/>
            </w:pPr>
            <w:proofErr w:type="spellStart"/>
            <w:r>
              <w:rPr>
                <w:b/>
                <w:bCs/>
                <w:sz w:val="20"/>
                <w:szCs w:val="20"/>
              </w:rPr>
              <w:t>Transconductance</w:t>
            </w:r>
            <w:proofErr w:type="spellEnd"/>
            <w:r>
              <w:rPr>
                <w:b/>
                <w:bCs/>
                <w:sz w:val="20"/>
                <w:szCs w:val="20"/>
              </w:rPr>
              <w:t xml:space="preserve"> Efficiency gm/I_D (1/V)</w:t>
            </w:r>
          </w:p>
        </w:tc>
      </w:tr>
      <w:tr w:rsidR="00E41416">
        <w:tblPrEx>
          <w:tblCellMar>
            <w:top w:w="0" w:type="dxa"/>
            <w:bottom w:w="0" w:type="dxa"/>
          </w:tblCellMar>
        </w:tblPrEx>
        <w:tc>
          <w:tcPr>
            <w:tcW w:w="0" w:type="dxa"/>
          </w:tcPr>
          <w:p w:rsidR="00E41416" w:rsidRDefault="004F5BFE">
            <w:pPr>
              <w:jc w:val="center"/>
            </w:pPr>
            <w:r>
              <w:rPr>
                <w:sz w:val="20"/>
                <w:szCs w:val="20"/>
              </w:rPr>
              <w:t>0.25</w:t>
            </w:r>
          </w:p>
        </w:tc>
        <w:tc>
          <w:tcPr>
            <w:tcW w:w="0" w:type="dxa"/>
          </w:tcPr>
          <w:p w:rsidR="00E41416" w:rsidRDefault="004F5BFE">
            <w:pPr>
              <w:jc w:val="center"/>
            </w:pPr>
            <w:r>
              <w:rPr>
                <w:sz w:val="20"/>
                <w:szCs w:val="20"/>
              </w:rPr>
              <w:t>1.0</w:t>
            </w:r>
          </w:p>
        </w:tc>
        <w:tc>
          <w:tcPr>
            <w:tcW w:w="0" w:type="dxa"/>
          </w:tcPr>
          <w:p w:rsidR="00E41416" w:rsidRDefault="004F5BFE">
            <w:pPr>
              <w:jc w:val="center"/>
            </w:pPr>
            <w:r>
              <w:rPr>
                <w:sz w:val="20"/>
                <w:szCs w:val="20"/>
              </w:rPr>
              <w:t>24.4</w:t>
            </w:r>
          </w:p>
        </w:tc>
        <w:tc>
          <w:tcPr>
            <w:tcW w:w="0" w:type="dxa"/>
          </w:tcPr>
          <w:p w:rsidR="00E41416" w:rsidRDefault="004F5BFE">
            <w:pPr>
              <w:jc w:val="center"/>
            </w:pPr>
            <w:r>
              <w:rPr>
                <w:sz w:val="20"/>
                <w:szCs w:val="20"/>
              </w:rPr>
              <w:t>25</w:t>
            </w:r>
          </w:p>
        </w:tc>
      </w:tr>
      <w:tr w:rsidR="00E41416">
        <w:tblPrEx>
          <w:tblCellMar>
            <w:top w:w="0" w:type="dxa"/>
            <w:bottom w:w="0" w:type="dxa"/>
          </w:tblCellMar>
        </w:tblPrEx>
        <w:tc>
          <w:tcPr>
            <w:tcW w:w="0" w:type="dxa"/>
          </w:tcPr>
          <w:p w:rsidR="00E41416" w:rsidRDefault="004F5BFE">
            <w:pPr>
              <w:jc w:val="center"/>
            </w:pPr>
            <w:r>
              <w:rPr>
                <w:sz w:val="20"/>
                <w:szCs w:val="20"/>
              </w:rPr>
              <w:t>0.50</w:t>
            </w:r>
          </w:p>
        </w:tc>
        <w:tc>
          <w:tcPr>
            <w:tcW w:w="0" w:type="dxa"/>
          </w:tcPr>
          <w:p w:rsidR="00E41416" w:rsidRDefault="004F5BFE">
            <w:pPr>
              <w:jc w:val="center"/>
            </w:pPr>
            <w:r>
              <w:rPr>
                <w:sz w:val="20"/>
                <w:szCs w:val="20"/>
              </w:rPr>
              <w:t>1.0</w:t>
            </w:r>
          </w:p>
        </w:tc>
        <w:tc>
          <w:tcPr>
            <w:tcW w:w="0" w:type="dxa"/>
          </w:tcPr>
          <w:p w:rsidR="00E41416" w:rsidRDefault="004F5BFE">
            <w:pPr>
              <w:jc w:val="center"/>
            </w:pPr>
            <w:r>
              <w:rPr>
                <w:sz w:val="20"/>
                <w:szCs w:val="20"/>
              </w:rPr>
              <w:t>517</w:t>
            </w:r>
          </w:p>
        </w:tc>
        <w:tc>
          <w:tcPr>
            <w:tcW w:w="0" w:type="dxa"/>
          </w:tcPr>
          <w:p w:rsidR="00E41416" w:rsidRDefault="004F5BFE">
            <w:pPr>
              <w:jc w:val="center"/>
            </w:pPr>
            <w:r>
              <w:rPr>
                <w:sz w:val="20"/>
                <w:szCs w:val="20"/>
              </w:rPr>
              <w:t>5.8</w:t>
            </w:r>
          </w:p>
        </w:tc>
      </w:tr>
      <w:tr w:rsidR="00E41416">
        <w:tblPrEx>
          <w:tblCellMar>
            <w:top w:w="0" w:type="dxa"/>
            <w:bottom w:w="0" w:type="dxa"/>
          </w:tblCellMar>
        </w:tblPrEx>
        <w:tc>
          <w:tcPr>
            <w:tcW w:w="0" w:type="dxa"/>
          </w:tcPr>
          <w:p w:rsidR="00E41416" w:rsidRDefault="004F5BFE">
            <w:pPr>
              <w:jc w:val="center"/>
            </w:pPr>
            <w:r>
              <w:rPr>
                <w:sz w:val="20"/>
                <w:szCs w:val="20"/>
              </w:rPr>
              <w:t>0.75</w:t>
            </w:r>
          </w:p>
        </w:tc>
        <w:tc>
          <w:tcPr>
            <w:tcW w:w="0" w:type="dxa"/>
          </w:tcPr>
          <w:p w:rsidR="00E41416" w:rsidRDefault="004F5BFE">
            <w:pPr>
              <w:jc w:val="center"/>
            </w:pPr>
            <w:r>
              <w:rPr>
                <w:sz w:val="20"/>
                <w:szCs w:val="20"/>
              </w:rPr>
              <w:t>1.0</w:t>
            </w:r>
          </w:p>
        </w:tc>
        <w:tc>
          <w:tcPr>
            <w:tcW w:w="0" w:type="dxa"/>
          </w:tcPr>
          <w:p w:rsidR="00E41416" w:rsidRDefault="004F5BFE">
            <w:pPr>
              <w:jc w:val="center"/>
            </w:pPr>
            <w:r>
              <w:rPr>
                <w:sz w:val="20"/>
                <w:szCs w:val="20"/>
              </w:rPr>
              <w:t>1400</w:t>
            </w:r>
          </w:p>
        </w:tc>
        <w:tc>
          <w:tcPr>
            <w:tcW w:w="0" w:type="dxa"/>
          </w:tcPr>
          <w:p w:rsidR="00E41416" w:rsidRDefault="004F5BFE">
            <w:pPr>
              <w:jc w:val="center"/>
            </w:pPr>
            <w:r>
              <w:rPr>
                <w:sz w:val="20"/>
                <w:szCs w:val="20"/>
              </w:rPr>
              <w:t>2.94</w:t>
            </w:r>
          </w:p>
        </w:tc>
      </w:tr>
    </w:tbl>
    <w:p w:rsidR="00E41416" w:rsidRDefault="00E41416">
      <w:pPr>
        <w:spacing w:after="120"/>
      </w:pPr>
    </w:p>
    <w:p w:rsidR="00E41416" w:rsidRDefault="004F5BFE">
      <w:pPr>
        <w:pStyle w:val="Heading2"/>
        <w:spacing w:before="200" w:after="120"/>
      </w:pPr>
      <w:r>
        <w:rPr>
          <w:b/>
          <w:bCs/>
          <w:color w:val="000000"/>
          <w:sz w:val="24"/>
          <w:szCs w:val="24"/>
        </w:rPr>
        <w:t>Sample Calculation</w:t>
      </w:r>
    </w:p>
    <w:p w:rsidR="00E41416" w:rsidRDefault="004F5BFE">
      <w:pPr>
        <w:spacing w:after="120"/>
        <w:jc w:val="both"/>
      </w:pPr>
      <w:r>
        <w:t>For V_G = 0.5 V and V_D = 1.0 V:   I_D = 517 µA/µm.</w:t>
      </w:r>
    </w:p>
    <w:p w:rsidR="00E41416" w:rsidRDefault="004F5BFE">
      <w:pPr>
        <w:spacing w:after="120"/>
        <w:jc w:val="both"/>
      </w:pPr>
      <w:r>
        <w:t>Change in I_D from V_G = 0.5 V to V_G = 0.75 V:   ΔI_D = 1400 – 517 = 883 µA/µm.</w:t>
      </w:r>
    </w:p>
    <w:p w:rsidR="00E41416" w:rsidRDefault="004F5BFE">
      <w:pPr>
        <w:spacing w:after="120"/>
        <w:jc w:val="both"/>
      </w:pPr>
      <w:proofErr w:type="spellStart"/>
      <w:r>
        <w:t>Transconductance</w:t>
      </w:r>
      <w:proofErr w:type="spellEnd"/>
      <w:r>
        <w:t xml:space="preserve"> efficiency at V_G = 0.25 V:   gm/I_D = 25 V⁻¹.</w:t>
      </w:r>
    </w:p>
    <w:p w:rsidR="00E41416" w:rsidRDefault="004F5BFE">
      <w:pPr>
        <w:pStyle w:val="Heading2"/>
        <w:spacing w:before="200" w:after="120"/>
      </w:pPr>
      <w:r>
        <w:rPr>
          <w:b/>
          <w:bCs/>
          <w:color w:val="000000"/>
          <w:sz w:val="24"/>
          <w:szCs w:val="24"/>
        </w:rPr>
        <w:lastRenderedPageBreak/>
        <w:t>Case Analysis</w:t>
      </w:r>
    </w:p>
    <w:p w:rsidR="00E41416" w:rsidRDefault="004F5BFE">
      <w:pPr>
        <w:spacing w:after="120"/>
        <w:jc w:val="both"/>
      </w:pPr>
      <w:r>
        <w:t xml:space="preserve">Case 1 — Increase in V_G: </w:t>
      </w:r>
      <w:r>
        <w:t>As V_G increases, the drain current I_D increases exponentially in the subthreshold region and the device enters the saturation region earlier.</w:t>
      </w:r>
    </w:p>
    <w:p w:rsidR="00E41416" w:rsidRDefault="004F5BFE">
      <w:pPr>
        <w:spacing w:after="120"/>
        <w:jc w:val="both"/>
      </w:pPr>
      <w:r>
        <w:t>Case 2 — Variation in V_D: The drain current I_D saturates for higher V_D at a fixed V_G, becoming almost indepe</w:t>
      </w:r>
      <w:r>
        <w:t>ndent of the drain voltage once the channel is pinched off.</w:t>
      </w:r>
    </w:p>
    <w:p w:rsidR="00E41416" w:rsidRDefault="004F5BFE">
      <w:pPr>
        <w:pStyle w:val="Heading2"/>
        <w:spacing w:before="200" w:after="120"/>
      </w:pPr>
      <w:r>
        <w:rPr>
          <w:b/>
          <w:bCs/>
          <w:color w:val="000000"/>
          <w:sz w:val="24"/>
          <w:szCs w:val="24"/>
        </w:rPr>
        <w:t>Result</w:t>
      </w:r>
    </w:p>
    <w:p w:rsidR="00E41416" w:rsidRDefault="004F5BFE">
      <w:pPr>
        <w:pStyle w:val="ListParagraph"/>
        <w:numPr>
          <w:ilvl w:val="0"/>
          <w:numId w:val="1"/>
        </w:numPr>
        <w:spacing w:after="60"/>
      </w:pPr>
      <w:r>
        <w:t>The MOSFET exhibits saturation at higher V_D for V_G = 0.5 V.</w:t>
      </w:r>
    </w:p>
    <w:p w:rsidR="00E41416" w:rsidRDefault="004F5BFE">
      <w:pPr>
        <w:pStyle w:val="ListParagraph"/>
        <w:numPr>
          <w:ilvl w:val="0"/>
          <w:numId w:val="1"/>
        </w:numPr>
        <w:spacing w:after="60"/>
      </w:pPr>
      <w:r>
        <w:t xml:space="preserve">gm/I_D decreases with increasing V_G, indicating reduced </w:t>
      </w:r>
      <w:proofErr w:type="spellStart"/>
      <w:r>
        <w:t>transconductance</w:t>
      </w:r>
      <w:proofErr w:type="spellEnd"/>
      <w:r>
        <w:t xml:space="preserve"> efficiency at higher gate voltages.</w:t>
      </w:r>
    </w:p>
    <w:p w:rsidR="00E41416" w:rsidRDefault="004F5BFE">
      <w:pPr>
        <w:spacing w:after="120"/>
        <w:jc w:val="both"/>
      </w:pPr>
      <w:r>
        <w:t xml:space="preserve">Thus the current–voltage characteristics and the </w:t>
      </w:r>
      <w:proofErr w:type="spellStart"/>
      <w:r>
        <w:t>transconductance</w:t>
      </w:r>
      <w:proofErr w:type="spellEnd"/>
      <w:r>
        <w:t xml:space="preserve"> efficiency of a single-gate MOSFET are studied using the </w:t>
      </w:r>
      <w:proofErr w:type="spellStart"/>
      <w:r>
        <w:t>NanoHUB</w:t>
      </w:r>
      <w:proofErr w:type="spellEnd"/>
      <w:r>
        <w:t xml:space="preserve"> </w:t>
      </w:r>
      <w:proofErr w:type="spellStart"/>
      <w:r>
        <w:t>FETToy</w:t>
      </w:r>
      <w:proofErr w:type="spellEnd"/>
      <w:r>
        <w:t xml:space="preserve"> simulator.</w:t>
      </w:r>
    </w:p>
    <w:sectPr w:rsidR="00E4141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453702"/>
    <w:multiLevelType w:val="hybridMultilevel"/>
    <w:tmpl w:val="F2E012DE"/>
    <w:lvl w:ilvl="0" w:tplc="41FA94F6">
      <w:start w:val="1"/>
      <w:numFmt w:val="bullet"/>
      <w:lvlText w:val="●"/>
      <w:lvlJc w:val="left"/>
      <w:pPr>
        <w:ind w:left="720" w:hanging="360"/>
      </w:pPr>
    </w:lvl>
    <w:lvl w:ilvl="1" w:tplc="14CE6636">
      <w:start w:val="1"/>
      <w:numFmt w:val="bullet"/>
      <w:lvlText w:val="○"/>
      <w:lvlJc w:val="left"/>
      <w:pPr>
        <w:ind w:left="1440" w:hanging="360"/>
      </w:pPr>
    </w:lvl>
    <w:lvl w:ilvl="2" w:tplc="972CDD94">
      <w:start w:val="1"/>
      <w:numFmt w:val="bullet"/>
      <w:lvlText w:val="■"/>
      <w:lvlJc w:val="left"/>
      <w:pPr>
        <w:ind w:left="2160" w:hanging="360"/>
      </w:pPr>
    </w:lvl>
    <w:lvl w:ilvl="3" w:tplc="283262B2">
      <w:start w:val="1"/>
      <w:numFmt w:val="bullet"/>
      <w:lvlText w:val="●"/>
      <w:lvlJc w:val="left"/>
      <w:pPr>
        <w:ind w:left="2880" w:hanging="360"/>
      </w:pPr>
    </w:lvl>
    <w:lvl w:ilvl="4" w:tplc="C49C1D4C">
      <w:start w:val="1"/>
      <w:numFmt w:val="bullet"/>
      <w:lvlText w:val="○"/>
      <w:lvlJc w:val="left"/>
      <w:pPr>
        <w:ind w:left="3600" w:hanging="360"/>
      </w:pPr>
    </w:lvl>
    <w:lvl w:ilvl="5" w:tplc="3FC0F3A4">
      <w:start w:val="1"/>
      <w:numFmt w:val="bullet"/>
      <w:lvlText w:val="■"/>
      <w:lvlJc w:val="left"/>
      <w:pPr>
        <w:ind w:left="4320" w:hanging="360"/>
      </w:pPr>
    </w:lvl>
    <w:lvl w:ilvl="6" w:tplc="703AFDF4">
      <w:start w:val="1"/>
      <w:numFmt w:val="bullet"/>
      <w:lvlText w:val="●"/>
      <w:lvlJc w:val="left"/>
      <w:pPr>
        <w:ind w:left="5040" w:hanging="360"/>
      </w:pPr>
    </w:lvl>
    <w:lvl w:ilvl="7" w:tplc="36387CFA">
      <w:start w:val="1"/>
      <w:numFmt w:val="bullet"/>
      <w:lvlText w:val="●"/>
      <w:lvlJc w:val="left"/>
      <w:pPr>
        <w:ind w:left="5760" w:hanging="360"/>
      </w:pPr>
    </w:lvl>
    <w:lvl w:ilvl="8" w:tplc="E9F857F0">
      <w:start w:val="1"/>
      <w:numFmt w:val="bullet"/>
      <w:lvlText w:val="●"/>
      <w:lvlJc w:val="left"/>
      <w:pPr>
        <w:ind w:left="6480" w:hanging="360"/>
      </w:pPr>
    </w:lvl>
  </w:abstractNum>
  <w:abstractNum w:abstractNumId="1" w15:restartNumberingAfterBreak="0">
    <w:nsid w:val="7A4F7783"/>
    <w:multiLevelType w:val="hybridMultilevel"/>
    <w:tmpl w:val="4E244C78"/>
    <w:lvl w:ilvl="0" w:tplc="F5EADDEA">
      <w:start w:val="1"/>
      <w:numFmt w:val="bullet"/>
      <w:lvlText w:val="•"/>
      <w:lvlJc w:val="left"/>
    </w:lvl>
    <w:lvl w:ilvl="1" w:tplc="D8862482">
      <w:numFmt w:val="decimal"/>
      <w:lvlText w:val=""/>
      <w:lvlJc w:val="left"/>
    </w:lvl>
    <w:lvl w:ilvl="2" w:tplc="0B74D564">
      <w:numFmt w:val="decimal"/>
      <w:lvlText w:val=""/>
      <w:lvlJc w:val="left"/>
    </w:lvl>
    <w:lvl w:ilvl="3" w:tplc="01322298">
      <w:numFmt w:val="decimal"/>
      <w:lvlText w:val=""/>
      <w:lvlJc w:val="left"/>
    </w:lvl>
    <w:lvl w:ilvl="4" w:tplc="7CD2EB3A">
      <w:numFmt w:val="decimal"/>
      <w:lvlText w:val=""/>
      <w:lvlJc w:val="left"/>
    </w:lvl>
    <w:lvl w:ilvl="5" w:tplc="9550934E">
      <w:numFmt w:val="decimal"/>
      <w:lvlText w:val=""/>
      <w:lvlJc w:val="left"/>
    </w:lvl>
    <w:lvl w:ilvl="6" w:tplc="BF64E660">
      <w:numFmt w:val="decimal"/>
      <w:lvlText w:val=""/>
      <w:lvlJc w:val="left"/>
    </w:lvl>
    <w:lvl w:ilvl="7" w:tplc="9DD20FC2">
      <w:numFmt w:val="decimal"/>
      <w:lvlText w:val=""/>
      <w:lvlJc w:val="left"/>
    </w:lvl>
    <w:lvl w:ilvl="8" w:tplc="EE2496D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416"/>
    <w:rsid w:val="004F5BFE"/>
    <w:rsid w:val="00E41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B818"/>
  <w15:docId w15:val="{EC7BB1E2-49D3-48E0-BF70-6F555FE8D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3512</Words>
  <Characters>20025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RUPASHREE</cp:lastModifiedBy>
  <cp:revision>2</cp:revision>
  <dcterms:created xsi:type="dcterms:W3CDTF">2026-08-06T14:32:00Z</dcterms:created>
  <dcterms:modified xsi:type="dcterms:W3CDTF">2026-08-06T14:32:00Z</dcterms:modified>
</cp:coreProperties>
</file>