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7B1FF" w14:textId="77777777" w:rsidR="005943FA" w:rsidRDefault="00000000">
      <w:r>
        <w:rPr>
          <w:b/>
          <w:sz w:val="36"/>
        </w:rPr>
        <w:t>Long-Term Forecasting Module (12-Month) — Findings and Proposal</w:t>
      </w:r>
    </w:p>
    <w:p w14:paraId="7015D6B9" w14:textId="77777777" w:rsidR="005943FA" w:rsidRDefault="00000000">
      <w:r>
        <w:t>This document captures findings and the proposed approach for building a Long-Term Forecasting (LTF) module as an extension to the existing Mid-Term Forecasting (MTF) capability. The long-term module targets a 12-month horizon with one prediction per month and is scoped primarily around the Rolling Forecast (Period Rollover) strategy.</w:t>
      </w:r>
    </w:p>
    <w:p w14:paraId="4A9875E5" w14:textId="77777777" w:rsidR="005943FA" w:rsidRDefault="00000000">
      <w:pPr>
        <w:pStyle w:val="Heading2"/>
      </w:pPr>
      <w:r>
        <w:t>Enterprise Planning Use Case</w:t>
      </w:r>
    </w:p>
    <w:p w14:paraId="55EFC13C" w14:textId="77777777" w:rsidR="005943FA" w:rsidRDefault="00000000">
      <w:r>
        <w:t>Enterprise Planning is used to forecast medium-to-long-term financial positions (cash, assets, and liabilities) using a cross-tab structure:</w:t>
      </w:r>
    </w:p>
    <w:p w14:paraId="69D4FBFA" w14:textId="77777777" w:rsidR="005943FA" w:rsidRDefault="00000000">
      <w:pPr>
        <w:pStyle w:val="ListBullet"/>
      </w:pPr>
      <w:r>
        <w:t>Columns: date buckets (typically weekly for 12 weeks or monthly for 12 months)</w:t>
      </w:r>
    </w:p>
    <w:p w14:paraId="2AD39637" w14:textId="77777777" w:rsidR="005943FA" w:rsidRDefault="00000000">
      <w:pPr>
        <w:pStyle w:val="ListBullet"/>
      </w:pPr>
      <w:r>
        <w:t>Rows: planning categories</w:t>
      </w:r>
    </w:p>
    <w:p w14:paraId="12368124" w14:textId="77777777" w:rsidR="005943FA" w:rsidRDefault="00000000">
      <w:pPr>
        <w:pStyle w:val="ListBullet"/>
      </w:pPr>
      <w:r>
        <w:t>Forecasts are performed at the Entity level (not bank-account level) because many future cashflows may not have an associated bank account yet.</w:t>
      </w:r>
    </w:p>
    <w:p w14:paraId="50050EA7" w14:textId="77777777" w:rsidR="005943FA" w:rsidRDefault="00000000">
      <w:pPr>
        <w:pStyle w:val="Heading2"/>
      </w:pPr>
      <w:r>
        <w:t>Forecast Styles</w:t>
      </w:r>
    </w:p>
    <w:p w14:paraId="6D100EEE" w14:textId="77777777" w:rsidR="005943FA" w:rsidRDefault="00000000">
      <w:pPr>
        <w:pStyle w:val="ListBullet"/>
      </w:pPr>
      <w:r>
        <w:t>Rolling Forecast: fixed number of future buckets; as a period becomes actual, a new period is appended.</w:t>
      </w:r>
    </w:p>
    <w:p w14:paraId="1C19C0BE" w14:textId="77777777" w:rsidR="005943FA" w:rsidRDefault="00000000">
      <w:pPr>
        <w:pStyle w:val="ListBullet"/>
      </w:pPr>
      <w:r>
        <w:t>Structured Forecast: fixed horizon; no new buckets are appended until a new forecast is created.</w:t>
      </w:r>
    </w:p>
    <w:p w14:paraId="2303EB4D" w14:textId="77777777" w:rsidR="005943FA" w:rsidRDefault="00000000">
      <w:pPr>
        <w:pStyle w:val="Heading2"/>
      </w:pPr>
      <w:r>
        <w:t>Primary Model Requests</w:t>
      </w:r>
    </w:p>
    <w:p w14:paraId="6866BE3D" w14:textId="77777777" w:rsidR="005943FA" w:rsidRDefault="00000000">
      <w:r>
        <w:t>1) Period Rollover: at rollover time, generate the next period projection (e.g., month 12 when month 1 becomes actual).</w:t>
      </w:r>
    </w:p>
    <w:p w14:paraId="4EBFD6DB" w14:textId="77777777" w:rsidR="005943FA" w:rsidRDefault="00000000">
      <w:pPr>
        <w:pStyle w:val="Heading2"/>
      </w:pPr>
      <w:r>
        <w:t>Data Considerations (Snapshot Nature)</w:t>
      </w:r>
    </w:p>
    <w:p w14:paraId="30A26D4C" w14:textId="77777777" w:rsidR="005943FA" w:rsidRDefault="00000000">
      <w:pPr>
        <w:pStyle w:val="ListBullet"/>
      </w:pPr>
      <w:r>
        <w:t>Data is a snapshot per day and may change across sources day-over-day.</w:t>
      </w:r>
    </w:p>
    <w:p w14:paraId="6247B900" w14:textId="77777777" w:rsidR="005943FA" w:rsidRDefault="00000000">
      <w:pPr>
        <w:pStyle w:val="ListBullet"/>
      </w:pPr>
      <w:r>
        <w:t>Training must respect 'as-at' rules: data from the future cannot be used.</w:t>
      </w:r>
    </w:p>
    <w:p w14:paraId="74911E45" w14:textId="77777777" w:rsidR="005943FA" w:rsidRDefault="00000000">
      <w:pPr>
        <w:pStyle w:val="ListBullet"/>
      </w:pPr>
      <w:r>
        <w:t>Audit tables may have multiple updates on a date; use the latest snapshot as-of that date (or most recent prior).</w:t>
      </w:r>
    </w:p>
    <w:p w14:paraId="7E434522" w14:textId="77777777" w:rsidR="005943FA" w:rsidRDefault="00000000">
      <w:pPr>
        <w:pStyle w:val="ListBullet"/>
      </w:pPr>
      <w:r>
        <w:t>Data may move sources between days (e.g., forecast to settlement); each record appears in one source per day.</w:t>
      </w:r>
    </w:p>
    <w:p w14:paraId="75C02428" w14:textId="7B8AF2B0" w:rsidR="005943FA" w:rsidRDefault="00000000">
      <w:pPr>
        <w:pStyle w:val="Heading1"/>
      </w:pPr>
      <w:r>
        <w:t xml:space="preserve">Outcomes from Business Discussion </w:t>
      </w:r>
    </w:p>
    <w:p w14:paraId="673807A4" w14:textId="77777777" w:rsidR="005943FA" w:rsidRDefault="00000000">
      <w:pPr>
        <w:pStyle w:val="ListBullet"/>
      </w:pPr>
      <w:r>
        <w:t xml:space="preserve">API payload should be </w:t>
      </w:r>
      <w:proofErr w:type="gramStart"/>
      <w:r>
        <w:t>similar to</w:t>
      </w:r>
      <w:proofErr w:type="gramEnd"/>
      <w:r>
        <w:t xml:space="preserve"> Mid-Term Forecasting; a design choice remains on where 12-month bucketing is performed (API vs UI).</w:t>
      </w:r>
    </w:p>
    <w:p w14:paraId="6B8A1B2E" w14:textId="77777777" w:rsidR="005943FA" w:rsidRDefault="00000000">
      <w:pPr>
        <w:pStyle w:val="ListBullet"/>
      </w:pPr>
      <w:r>
        <w:t>Build is to be done from the Rolling Forecast (Period Rollover) strategy perspective.</w:t>
      </w:r>
    </w:p>
    <w:p w14:paraId="2C41B68A" w14:textId="77777777" w:rsidR="005943FA" w:rsidRDefault="00000000">
      <w:pPr>
        <w:pStyle w:val="ListBullet"/>
      </w:pPr>
      <w:r>
        <w:lastRenderedPageBreak/>
        <w:t>Dataset (possibly synthetic) will be shared by the Integrity team to begin exploratory data analysis (EDA).</w:t>
      </w:r>
    </w:p>
    <w:p w14:paraId="70048527" w14:textId="77777777" w:rsidR="005943FA" w:rsidRDefault="00000000">
      <w:pPr>
        <w:pStyle w:val="ListBullet"/>
      </w:pPr>
      <w:r>
        <w:t>Data transformation strategies must be explored to train at month-level granularity. Model selection will follow after EDA.</w:t>
      </w:r>
    </w:p>
    <w:p w14:paraId="131A6966" w14:textId="19D285F3" w:rsidR="005943FA" w:rsidRDefault="00000000">
      <w:pPr>
        <w:pStyle w:val="Heading1"/>
      </w:pPr>
      <w:r>
        <w:t>Final View Needed for Enterprise Planning</w:t>
      </w:r>
    </w:p>
    <w:p w14:paraId="774A1A1C" w14:textId="77777777" w:rsidR="005943FA" w:rsidRDefault="00000000">
      <w:pPr>
        <w:pStyle w:val="Heading2"/>
      </w:pPr>
      <w:r>
        <w:t>What the user should see (functional view)</w:t>
      </w:r>
    </w:p>
    <w:p w14:paraId="70D89CE1" w14:textId="77777777" w:rsidR="005943FA" w:rsidRDefault="00000000">
      <w:pPr>
        <w:pStyle w:val="ListBullet"/>
      </w:pPr>
      <w:r>
        <w:t>A cross-tab grid with categories as rows and 12 monthly buckets as columns (M1…M12).</w:t>
      </w:r>
    </w:p>
    <w:p w14:paraId="4107558E" w14:textId="77777777" w:rsidR="005943FA" w:rsidRDefault="00000000">
      <w:pPr>
        <w:pStyle w:val="ListBullet"/>
      </w:pPr>
      <w:r>
        <w:t>Each cell represents the projected sum of movements for that category in that month (not end balance).</w:t>
      </w:r>
    </w:p>
    <w:p w14:paraId="5169FF21" w14:textId="77777777" w:rsidR="005943FA" w:rsidRDefault="00000000">
      <w:pPr>
        <w:pStyle w:val="ListBullet"/>
      </w:pPr>
      <w:r>
        <w:t>As months close, show Actuals and Forecast vs Actual variance (absolute and percentage where meaningful).</w:t>
      </w:r>
    </w:p>
    <w:p w14:paraId="6A6D66F5" w14:textId="77777777" w:rsidR="005943FA" w:rsidRDefault="00000000">
      <w:pPr>
        <w:pStyle w:val="ListBullet"/>
      </w:pPr>
      <w:r>
        <w:t>Rollover behavior maintains a 12-month forward horizon; the model predicts the newly added month bucket.</w:t>
      </w:r>
    </w:p>
    <w:p w14:paraId="0213BA45" w14:textId="77777777" w:rsidR="005943FA" w:rsidRDefault="00000000">
      <w:pPr>
        <w:pStyle w:val="Heading2"/>
      </w:pPr>
      <w:r>
        <w:t>Recommendation: where bucketing should happen (API vs UI)</w:t>
      </w:r>
    </w:p>
    <w:p w14:paraId="49DDA6CF" w14:textId="77777777" w:rsidR="005943FA" w:rsidRDefault="00000000">
      <w:r>
        <w:t>Recommendation: perform bucketing in the API response and keep the UI rendering thin.</w:t>
      </w:r>
    </w:p>
    <w:p w14:paraId="57552074" w14:textId="77777777" w:rsidR="005943FA" w:rsidRDefault="00000000">
      <w:r>
        <w:t>Rationale:</w:t>
      </w:r>
    </w:p>
    <w:p w14:paraId="77CAD708" w14:textId="77777777" w:rsidR="005943FA" w:rsidRDefault="00000000">
      <w:pPr>
        <w:pStyle w:val="ListBullet"/>
      </w:pPr>
      <w:r>
        <w:t>Canonical bucket boundary definitions (month start/end, timezone, as-at alignment).</w:t>
      </w:r>
    </w:p>
    <w:p w14:paraId="3BA84664" w14:textId="77777777" w:rsidR="005943FA" w:rsidRDefault="00000000">
      <w:pPr>
        <w:pStyle w:val="ListBullet"/>
      </w:pPr>
      <w:r>
        <w:t>Reduced UI complexity and reduced risk of divergent bucketing logic across clients.</w:t>
      </w:r>
    </w:p>
    <w:p w14:paraId="41A1472A" w14:textId="77777777" w:rsidR="005943FA" w:rsidRDefault="00000000">
      <w:pPr>
        <w:pStyle w:val="ListBullet"/>
      </w:pPr>
      <w:r>
        <w:t>A single structure can be consumed consistently by storage, audit, and downstream analytics workflows.</w:t>
      </w:r>
    </w:p>
    <w:p w14:paraId="6333F21E" w14:textId="77777777" w:rsidR="005943FA" w:rsidRDefault="00000000">
      <w:pPr>
        <w:pStyle w:val="Heading2"/>
      </w:pPr>
      <w:r>
        <w:t>Suggested API Response (illustrative)</w:t>
      </w:r>
    </w:p>
    <w:p w14:paraId="5ADC5D43" w14:textId="77777777" w:rsidR="005943FA" w:rsidRDefault="00000000">
      <w:r>
        <w:t>Return: plan/entity metadata, as-at date and horizon definition, explicit bucket start/end dates, and category-wise forecast values aligned to buckets.</w:t>
      </w:r>
    </w:p>
    <w:p w14:paraId="52F2B08D" w14:textId="77777777" w:rsidR="005943FA" w:rsidRDefault="00000000">
      <w:pPr>
        <w:pStyle w:val="ListBullet"/>
      </w:pPr>
      <w:r>
        <w:t>as_at_date (e.g., 2026-01-31)</w:t>
      </w:r>
    </w:p>
    <w:p w14:paraId="436BE990" w14:textId="77777777" w:rsidR="005943FA" w:rsidRDefault="00000000">
      <w:pPr>
        <w:pStyle w:val="ListBullet"/>
      </w:pPr>
      <w:r>
        <w:t>buckets: M1…M12 with explicit start/end</w:t>
      </w:r>
    </w:p>
    <w:p w14:paraId="1DEC1913" w14:textId="77777777" w:rsidR="005943FA" w:rsidRDefault="00000000">
      <w:pPr>
        <w:pStyle w:val="ListBullet"/>
      </w:pPr>
      <w:r>
        <w:t>categories: per category values keyed by bucket (M1…M12)</w:t>
      </w:r>
    </w:p>
    <w:p w14:paraId="058AA6A1" w14:textId="77777777" w:rsidR="005943FA" w:rsidRDefault="00000000">
      <w:pPr>
        <w:pStyle w:val="Heading2"/>
      </w:pPr>
      <w:r>
        <w:t>Persistence View (Integrity storage)</w:t>
      </w:r>
    </w:p>
    <w:p w14:paraId="33270EDC" w14:textId="77777777" w:rsidR="005943FA" w:rsidRDefault="00000000">
      <w:pPr>
        <w:pStyle w:val="ListBullet"/>
      </w:pPr>
      <w:r>
        <w:t>Store as_at_date, bucket definitions, and forecasted movement sums per category per bucket.</w:t>
      </w:r>
    </w:p>
    <w:p w14:paraId="7C71D361" w14:textId="77777777" w:rsidR="005943FA" w:rsidRDefault="00000000">
      <w:pPr>
        <w:pStyle w:val="ListBullet"/>
      </w:pPr>
      <w:r>
        <w:t>Store model version and feature snapshot references aligned to existing Mid-Term conventions.</w:t>
      </w:r>
    </w:p>
    <w:p w14:paraId="35C718B0" w14:textId="389A9ED4" w:rsidR="005943FA" w:rsidRDefault="00000000">
      <w:pPr>
        <w:pStyle w:val="Heading1"/>
      </w:pPr>
      <w:r>
        <w:lastRenderedPageBreak/>
        <w:t>Differences Between Long-Term and Mid-Term Forecasting</w:t>
      </w:r>
    </w:p>
    <w:p w14:paraId="320AF9B8" w14:textId="77777777" w:rsidR="005943FA" w:rsidRDefault="00000000">
      <w:pPr>
        <w:pStyle w:val="Heading2"/>
      </w:pPr>
      <w:r>
        <w:t>Key differences (functional)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43FA" w14:paraId="6583F046" w14:textId="77777777">
        <w:trPr>
          <w:jc w:val="center"/>
        </w:trPr>
        <w:tc>
          <w:tcPr>
            <w:tcW w:w="2880" w:type="dxa"/>
          </w:tcPr>
          <w:p w14:paraId="6A1AE341" w14:textId="77777777" w:rsidR="005943FA" w:rsidRDefault="00000000">
            <w:r>
              <w:rPr>
                <w:b/>
              </w:rPr>
              <w:t>Dimension</w:t>
            </w:r>
          </w:p>
        </w:tc>
        <w:tc>
          <w:tcPr>
            <w:tcW w:w="2880" w:type="dxa"/>
          </w:tcPr>
          <w:p w14:paraId="248D2588" w14:textId="77777777" w:rsidR="005943FA" w:rsidRDefault="00000000">
            <w:r>
              <w:rPr>
                <w:b/>
              </w:rPr>
              <w:t>Mid-Term Forecast (MTF)</w:t>
            </w:r>
          </w:p>
        </w:tc>
        <w:tc>
          <w:tcPr>
            <w:tcW w:w="2880" w:type="dxa"/>
          </w:tcPr>
          <w:p w14:paraId="55E5A1FB" w14:textId="77777777" w:rsidR="005943FA" w:rsidRDefault="00000000">
            <w:r>
              <w:rPr>
                <w:b/>
              </w:rPr>
              <w:t>Long-Term Forecast (LTF)</w:t>
            </w:r>
          </w:p>
        </w:tc>
      </w:tr>
      <w:tr w:rsidR="005943FA" w14:paraId="6092E125" w14:textId="77777777">
        <w:trPr>
          <w:jc w:val="center"/>
        </w:trPr>
        <w:tc>
          <w:tcPr>
            <w:tcW w:w="2880" w:type="dxa"/>
          </w:tcPr>
          <w:p w14:paraId="11A5A252" w14:textId="77777777" w:rsidR="005943FA" w:rsidRDefault="00000000">
            <w:r>
              <w:t>Horizon</w:t>
            </w:r>
          </w:p>
        </w:tc>
        <w:tc>
          <w:tcPr>
            <w:tcW w:w="2880" w:type="dxa"/>
          </w:tcPr>
          <w:p w14:paraId="1A50E50E" w14:textId="77777777" w:rsidR="005943FA" w:rsidRDefault="00000000">
            <w:r>
              <w:t>Typically shorter (e.g., weeks)</w:t>
            </w:r>
          </w:p>
        </w:tc>
        <w:tc>
          <w:tcPr>
            <w:tcW w:w="2880" w:type="dxa"/>
          </w:tcPr>
          <w:p w14:paraId="2C700595" w14:textId="77777777" w:rsidR="005943FA" w:rsidRDefault="00000000">
            <w:r>
              <w:t>12 months</w:t>
            </w:r>
          </w:p>
        </w:tc>
      </w:tr>
      <w:tr w:rsidR="005943FA" w14:paraId="69E04A2D" w14:textId="77777777">
        <w:trPr>
          <w:jc w:val="center"/>
        </w:trPr>
        <w:tc>
          <w:tcPr>
            <w:tcW w:w="2880" w:type="dxa"/>
          </w:tcPr>
          <w:p w14:paraId="7DD4353C" w14:textId="77777777" w:rsidR="005943FA" w:rsidRDefault="00000000">
            <w:r>
              <w:t>Granularity</w:t>
            </w:r>
          </w:p>
        </w:tc>
        <w:tc>
          <w:tcPr>
            <w:tcW w:w="2880" w:type="dxa"/>
          </w:tcPr>
          <w:p w14:paraId="510B351C" w14:textId="77777777" w:rsidR="005943FA" w:rsidRDefault="00000000">
            <w:r>
              <w:t>Often daily/weekly buckets</w:t>
            </w:r>
          </w:p>
        </w:tc>
        <w:tc>
          <w:tcPr>
            <w:tcW w:w="2880" w:type="dxa"/>
          </w:tcPr>
          <w:p w14:paraId="360145D2" w14:textId="77777777" w:rsidR="005943FA" w:rsidRDefault="00000000">
            <w:r>
              <w:t>Monthly buckets (one prediction per month)</w:t>
            </w:r>
          </w:p>
        </w:tc>
      </w:tr>
      <w:tr w:rsidR="005943FA" w14:paraId="45CF5DC3" w14:textId="77777777">
        <w:trPr>
          <w:jc w:val="center"/>
        </w:trPr>
        <w:tc>
          <w:tcPr>
            <w:tcW w:w="2880" w:type="dxa"/>
          </w:tcPr>
          <w:p w14:paraId="5C8A85B9" w14:textId="77777777" w:rsidR="005943FA" w:rsidRDefault="00000000">
            <w:r>
              <w:t>Trigger</w:t>
            </w:r>
          </w:p>
        </w:tc>
        <w:tc>
          <w:tcPr>
            <w:tcW w:w="2880" w:type="dxa"/>
          </w:tcPr>
          <w:p w14:paraId="49390131" w14:textId="77777777" w:rsidR="005943FA" w:rsidRDefault="00000000">
            <w:r>
              <w:t>More frequent cycles</w:t>
            </w:r>
          </w:p>
        </w:tc>
        <w:tc>
          <w:tcPr>
            <w:tcW w:w="2880" w:type="dxa"/>
          </w:tcPr>
          <w:p w14:paraId="2AEF9FBA" w14:textId="77777777" w:rsidR="005943FA" w:rsidRDefault="00000000">
            <w:r>
              <w:t>Month-end rollover</w:t>
            </w:r>
          </w:p>
        </w:tc>
      </w:tr>
      <w:tr w:rsidR="005943FA" w14:paraId="1C6F0981" w14:textId="77777777">
        <w:trPr>
          <w:jc w:val="center"/>
        </w:trPr>
        <w:tc>
          <w:tcPr>
            <w:tcW w:w="2880" w:type="dxa"/>
          </w:tcPr>
          <w:p w14:paraId="3F4CEEB6" w14:textId="77777777" w:rsidR="005943FA" w:rsidRDefault="00000000">
            <w:r>
              <w:t>Signal vs uncertainty</w:t>
            </w:r>
          </w:p>
        </w:tc>
        <w:tc>
          <w:tcPr>
            <w:tcW w:w="2880" w:type="dxa"/>
          </w:tcPr>
          <w:p w14:paraId="056E930A" w14:textId="77777777" w:rsidR="005943FA" w:rsidRDefault="00000000">
            <w:r>
              <w:t>Higher signal near-term</w:t>
            </w:r>
          </w:p>
        </w:tc>
        <w:tc>
          <w:tcPr>
            <w:tcW w:w="2880" w:type="dxa"/>
          </w:tcPr>
          <w:p w14:paraId="7E0B8EB7" w14:textId="77777777" w:rsidR="005943FA" w:rsidRDefault="00000000">
            <w:r>
              <w:t>Higher uncertainty long horizon</w:t>
            </w:r>
          </w:p>
        </w:tc>
      </w:tr>
    </w:tbl>
    <w:p w14:paraId="0C83DC6A" w14:textId="77777777" w:rsidR="005943FA" w:rsidRDefault="00000000">
      <w:pPr>
        <w:pStyle w:val="Heading1"/>
      </w:pPr>
      <w:r>
        <w:t>Proposal — Reuse Mid-Term Approach with Monthly Granularity Transformation</w:t>
      </w:r>
    </w:p>
    <w:p w14:paraId="39AB9850" w14:textId="77777777" w:rsidR="005943FA" w:rsidRDefault="00000000">
      <w:r>
        <w:t>We propose implementing Long-Term Forecasting by reusing the existing Mid-Term forecasting approach and pipeline patterns, with the primary extension being a monthly granularity transformation (month-level roll-up).</w:t>
      </w:r>
    </w:p>
    <w:p w14:paraId="06FF0BAF" w14:textId="77777777" w:rsidR="005943FA" w:rsidRDefault="00000000">
      <w:pPr>
        <w:pStyle w:val="Heading2"/>
      </w:pPr>
      <w:r>
        <w:t>Scope alignment</w:t>
      </w:r>
    </w:p>
    <w:p w14:paraId="016FEB28" w14:textId="77777777" w:rsidR="005943FA" w:rsidRDefault="00000000">
      <w:pPr>
        <w:pStyle w:val="ListBullet"/>
      </w:pPr>
      <w:r>
        <w:t>Initial build prioritizes Rolling Forecast / Period Rollover (month-end).</w:t>
      </w:r>
    </w:p>
    <w:p w14:paraId="3D9D01F2" w14:textId="77777777" w:rsidR="005943FA" w:rsidRDefault="00000000">
      <w:pPr>
        <w:pStyle w:val="ListBullet"/>
      </w:pPr>
      <w:r>
        <w:t>At each rollover, the model generates predictions for the newly added month bucket (M12) across all categories.</w:t>
      </w:r>
    </w:p>
    <w:p w14:paraId="4B608565" w14:textId="77777777" w:rsidR="005943FA" w:rsidRDefault="00000000">
      <w:pPr>
        <w:pStyle w:val="Heading2"/>
      </w:pPr>
      <w:r>
        <w:t>Monthly roll-up transformation (training and inference)</w:t>
      </w:r>
    </w:p>
    <w:p w14:paraId="50EA48E2" w14:textId="77777777" w:rsidR="005943FA" w:rsidRDefault="00000000">
      <w:pPr>
        <w:pStyle w:val="ListBullet"/>
      </w:pPr>
      <w:r>
        <w:t>Transform daily snapshots into month-level features (e.g., trailing monthly averages, last-month value, volatility).</w:t>
      </w:r>
    </w:p>
    <w:p w14:paraId="46FAF419" w14:textId="77777777" w:rsidR="005943FA" w:rsidRDefault="00000000">
      <w:pPr>
        <w:pStyle w:val="ListBullet"/>
      </w:pPr>
      <w:r>
        <w:t>Define targets as the month-level sum (or monthly average where required by category definition) of movements per category for each forecast month bucket.</w:t>
      </w:r>
    </w:p>
    <w:p w14:paraId="24732F70" w14:textId="77777777" w:rsidR="005943FA" w:rsidRDefault="00000000">
      <w:pPr>
        <w:pStyle w:val="ListBullet"/>
      </w:pPr>
      <w:r>
        <w:t>Ensure features are constructed strictly from data known as-of the as_at_date (no future leakage).</w:t>
      </w:r>
    </w:p>
    <w:p w14:paraId="71EF92AF" w14:textId="77777777" w:rsidR="005943FA" w:rsidRDefault="00000000">
      <w:pPr>
        <w:pStyle w:val="Heading2"/>
      </w:pPr>
      <w:r>
        <w:t>Deferred items</w:t>
      </w:r>
    </w:p>
    <w:p w14:paraId="0EDB29DB" w14:textId="77777777" w:rsidR="005943FA" w:rsidRDefault="00000000">
      <w:pPr>
        <w:pStyle w:val="ListBullet"/>
      </w:pPr>
      <w:r>
        <w:t>Additional dataset requirements and final model selection will be confirmed after EDA once datasets are received.</w:t>
      </w:r>
    </w:p>
    <w:p w14:paraId="1305C131" w14:textId="77777777" w:rsidR="008E2682" w:rsidRDefault="008E2682">
      <w:pPr>
        <w:pStyle w:val="Heading1"/>
      </w:pPr>
    </w:p>
    <w:p w14:paraId="08E167CA" w14:textId="1ECBFF16" w:rsidR="005943FA" w:rsidRDefault="00000000">
      <w:pPr>
        <w:pStyle w:val="Heading1"/>
      </w:pPr>
      <w:r>
        <w:t>Risks and Open Questions</w:t>
      </w:r>
    </w:p>
    <w:p w14:paraId="4A5770D2" w14:textId="77777777" w:rsidR="005943FA" w:rsidRDefault="00000000">
      <w:pPr>
        <w:pStyle w:val="ListBullet"/>
      </w:pPr>
      <w:r>
        <w:t>Confirm final decision on bucketing responsibility (API vs UI).</w:t>
      </w:r>
    </w:p>
    <w:p w14:paraId="17900A39" w14:textId="77777777" w:rsidR="005943FA" w:rsidRDefault="00000000">
      <w:pPr>
        <w:pStyle w:val="ListBullet"/>
      </w:pPr>
      <w:r>
        <w:t>Validate category sparsity patterns once data is received; some categories may have many zero months.</w:t>
      </w:r>
    </w:p>
    <w:p w14:paraId="0BE4EFB2" w14:textId="77777777" w:rsidR="005943FA" w:rsidRDefault="00000000">
      <w:pPr>
        <w:pStyle w:val="ListBullet"/>
      </w:pPr>
      <w:r>
        <w:t>Finalize training window definitions and backtesting methodology after dataset inspection.</w:t>
      </w:r>
    </w:p>
    <w:p w14:paraId="4E86FE05" w14:textId="08E0F0D7" w:rsidR="005943FA" w:rsidRDefault="005943FA" w:rsidP="008E2682">
      <w:pPr>
        <w:pStyle w:val="ListBullet"/>
        <w:numPr>
          <w:ilvl w:val="0"/>
          <w:numId w:val="0"/>
        </w:numPr>
        <w:ind w:left="360"/>
      </w:pPr>
    </w:p>
    <w:sectPr w:rsidR="005943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394004">
    <w:abstractNumId w:val="8"/>
  </w:num>
  <w:num w:numId="2" w16cid:durableId="1757284810">
    <w:abstractNumId w:val="6"/>
  </w:num>
  <w:num w:numId="3" w16cid:durableId="637808280">
    <w:abstractNumId w:val="5"/>
  </w:num>
  <w:num w:numId="4" w16cid:durableId="1793552717">
    <w:abstractNumId w:val="4"/>
  </w:num>
  <w:num w:numId="5" w16cid:durableId="1705862823">
    <w:abstractNumId w:val="7"/>
  </w:num>
  <w:num w:numId="6" w16cid:durableId="1295407925">
    <w:abstractNumId w:val="3"/>
  </w:num>
  <w:num w:numId="7" w16cid:durableId="1942453052">
    <w:abstractNumId w:val="2"/>
  </w:num>
  <w:num w:numId="8" w16cid:durableId="24598136">
    <w:abstractNumId w:val="1"/>
  </w:num>
  <w:num w:numId="9" w16cid:durableId="104027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43FA"/>
    <w:rsid w:val="008E2682"/>
    <w:rsid w:val="00AA1D8D"/>
    <w:rsid w:val="00B47730"/>
    <w:rsid w:val="00BC6DD3"/>
    <w:rsid w:val="00CB0664"/>
    <w:rsid w:val="00CB1B90"/>
    <w:rsid w:val="00F316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91180"/>
  <w14:defaultImageDpi w14:val="300"/>
  <w15:docId w15:val="{A14D82AC-E039-C74C-80DE-F7C050E2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Rupesh Wadibhasme</cp:lastModifiedBy>
  <cp:revision>2</cp:revision>
  <dcterms:created xsi:type="dcterms:W3CDTF">2026-01-22T08:28:00Z</dcterms:created>
  <dcterms:modified xsi:type="dcterms:W3CDTF">2026-01-22T08:28:00Z</dcterms:modified>
  <cp:category/>
</cp:coreProperties>
</file>