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Model Exploration Summary - Bank Statement Anomaly Detection (Raw Notes)</w:t>
      </w:r>
    </w:p>
    <w:p>
      <w:pPr>
        <w:spacing w:after="120"/>
      </w:pPr>
      <w:r>
        <w:t xml:space="preserve">Working notes on all model families we looked at for replacing/augmenting the per-client autoencoder, why most of them are hard to adopt, and why TabPFN is the one we are moving ahead with. To be cleaned up later.</w:t>
      </w:r>
    </w:p>
    <w:p>
      <w:pPr>
        <w:pStyle w:val="Heading2"/>
      </w:pPr>
      <w:r>
        <w:t xml:space="preserve">The problem we are trying to solve</w:t>
      </w:r>
    </w:p>
    <w:p>
      <w:pPr>
        <w:spacing w:after="120"/>
      </w:pPr>
      <w:r>
        <w:t xml:space="preserve">Current design: one autoencoder per client, trained on that client's history, retrained on a schedule. Product owners asked if a transformer-based model can avoid the regular retraining, either as-is or by fine-tuning open-source weights. Hard constraint: client data cannot be mixed. The model must still learn each client's normal behavior.</w:t>
      </w:r>
    </w:p>
    <w:p>
      <w:pPr>
        <w:spacing w:after="120"/>
      </w:pPr>
      <w:r>
        <w:t xml:space="preserve">Honest note we keep coming back to: "learn from client history" + "no retraining" is a contradiction if learning means weight updates. The only way both hold is in-context learning (ICL), where a pretrained model reads the client's history at inference time instead of training on it. This one observation basically decided the direction.</w:t>
      </w:r>
    </w:p>
    <w:p>
      <w:pPr>
        <w:pStyle w:val="Heading2"/>
      </w:pPr>
      <w:r>
        <w:t xml:space="preserve">1. Current approach - per-client autoencoder (baseline)</w:t>
      </w:r>
    </w:p>
    <w:p>
      <w:pPr>
        <w:spacing w:after="120"/>
      </w:pPr>
      <w:r>
        <w:rPr>
          <w:b/>
          <w:bCs/>
        </w:rPr>
        <w:t xml:space="preserve">What it does: </w:t>
      </w:r>
      <w:r>
        <w:t xml:space="preserve">Learns to reconstruct the client's normal daily account rows (17 engineered features). High reconstruction error = anomaly. Threshold set so ~2-3% of training rows flag.</w:t>
      </w:r>
    </w:p>
    <w:p>
      <w:pPr>
        <w:spacing w:after="120"/>
      </w:pPr>
      <w:r>
        <w:rPr>
          <w:b/>
          <w:bCs/>
        </w:rPr>
        <w:t xml:space="preserve">Why it works: </w:t>
      </w:r>
      <w:r>
        <w:t xml:space="preserve">Simple, well understood, cheap inference, anomaly signal is easy to explain to analysts.</w:t>
      </w:r>
    </w:p>
    <w:p>
      <w:pPr>
        <w:spacing w:after="120"/>
      </w:pPr>
      <w:r>
        <w:rPr>
          <w:b/>
          <w:bCs/>
        </w:rPr>
        <w:t xml:space="preserve">Why it is painful: </w:t>
      </w:r>
      <w:r>
        <w:t xml:space="preserve">One model + scaler + threshold per client. Every client needs a training pipeline, retraining schedule, versioning, and validation. Multiply by number of clients and this is the exact MLOps burden product owners want gone.</w:t>
      </w:r>
    </w:p>
    <w:p>
      <w:pPr>
        <w:pStyle w:val="Heading2"/>
      </w:pPr>
      <w:r>
        <w:t xml:space="preserve">2. Classical unsupervised models (IForest, LOF, ECOD, COPOD, PCA)</w:t>
      </w:r>
    </w:p>
    <w:p>
      <w:pPr>
        <w:spacing w:after="120"/>
      </w:pPr>
      <w:r>
        <w:rPr>
          <w:b/>
          <w:bCs/>
        </w:rPr>
        <w:t xml:space="preserve">What they do: </w:t>
      </w:r>
      <w:r>
        <w:t xml:space="preserve">Score how isolated / low-density / hard-to-project a row is. We use them as baselines in the benchmark harness.</w:t>
      </w:r>
    </w:p>
    <w:p>
      <w:pPr>
        <w:spacing w:after="120"/>
      </w:pPr>
      <w:r>
        <w:rPr>
          <w:b/>
          <w:bCs/>
        </w:rPr>
        <w:t xml:space="preserve">Why not adopt as the answer: </w:t>
      </w:r>
      <w:r>
        <w:t xml:space="preserve">Same retraining story as the autoencoder - they fit on client data, so per-client pipelines remain. They are useful as sanity baselines and for consensus voting in the analyst export, not as the strategic answer to the retraining question.</w:t>
      </w:r>
    </w:p>
    <w:p>
      <w:pPr>
        <w:pStyle w:val="Heading2"/>
      </w:pPr>
      <w:r>
        <w:t xml:space="preserve">3. Time-series foundation models (MOMENT, Chronos, TimesFM, Lag-Llama, and zero-shot detectors like DADA)</w:t>
      </w:r>
    </w:p>
    <w:p>
      <w:pPr>
        <w:spacing w:after="120"/>
      </w:pPr>
      <w:r>
        <w:rPr>
          <w:b/>
          <w:bCs/>
        </w:rPr>
        <w:t xml:space="preserve">What they do: </w:t>
      </w:r>
      <w:r>
        <w:t xml:space="preserve">Pretrained transformers for time series. Zero-shot forecasting and anomaly detection on sequences. Open weights exist for several.</w:t>
      </w:r>
    </w:p>
    <w:p>
      <w:pPr>
        <w:spacing w:after="120"/>
      </w:pPr>
      <w:r>
        <w:rPr>
          <w:b/>
          <w:bCs/>
        </w:rPr>
        <w:t xml:space="preserve">Why hard to adopt: </w:t>
      </w:r>
      <w:r>
        <w:t xml:space="preserve">They eat sequences, not single tabular rows. To use them we would have to feed each account's daily history as a series, which quietly reintroduces the stateful design we deliberately dropped for the MVP. Our accounts also do not transact every day - sparse, irregular series with gaps, which these models handle poorly without heavy imputation. And with only 3-4 transactions on active days, each daily point is noisy anyway. Structural mismatch, parked.</w:t>
      </w:r>
    </w:p>
    <w:p>
      <w:pPr>
        <w:pStyle w:val="Heading2"/>
      </w:pPr>
      <w:r>
        <w:t xml:space="preserve">4. Industry payments foundation models (Revolut PRAGMA, Featurespace NPPR, Mastercard LTM, Nubank nuFormer)</w:t>
      </w:r>
    </w:p>
    <w:p>
      <w:pPr>
        <w:spacing w:after="120"/>
      </w:pPr>
      <w:r>
        <w:rPr>
          <w:b/>
          <w:bCs/>
        </w:rPr>
        <w:t xml:space="preserve">What they do: </w:t>
      </w:r>
      <w:r>
        <w:t xml:space="preserve">Big transformers pretrained on billions of pooled transactions across institutions. Strong zero-shot fraud/anomaly results. Proof that the concept works on transaction data.</w:t>
      </w:r>
    </w:p>
    <w:p>
      <w:pPr>
        <w:spacing w:after="120"/>
      </w:pPr>
      <w:r>
        <w:rPr>
          <w:b/>
          <w:bCs/>
        </w:rPr>
        <w:t xml:space="preserve">Why hard to adopt: </w:t>
      </w:r>
      <w:r>
        <w:t xml:space="preserve">None are open source, so nothing to download or fine-tune. And they were built by pooling data across many banks - exactly what our constraint forbids us from replicating internally. Good ammunition for the strategy narrative, not usable technology for us today.</w:t>
      </w:r>
    </w:p>
    <w:p>
      <w:pPr>
        <w:pStyle w:val="Heading2"/>
      </w:pPr>
      <w:r>
        <w:t xml:space="preserve">5. Per-client fine-tuning of transformer architectures (TranAD, Anomaly Transformer, LoRA on any backbone)</w:t>
      </w:r>
    </w:p>
    <w:p>
      <w:pPr>
        <w:spacing w:after="120"/>
      </w:pPr>
      <w:r>
        <w:rPr>
          <w:b/>
          <w:bCs/>
        </w:rPr>
        <w:t xml:space="preserve">What it does: </w:t>
      </w:r>
      <w:r>
        <w:t xml:space="preserve">Take an open transformer AD architecture, fine-tune per client (LoRA keeps it cheap). Each client gets its own adapter, so no data mixing.</w:t>
      </w:r>
    </w:p>
    <w:p>
      <w:pPr>
        <w:spacing w:after="120"/>
      </w:pPr>
      <w:r>
        <w:rPr>
          <w:b/>
          <w:bCs/>
        </w:rPr>
        <w:t xml:space="preserve">Why hard to adopt: </w:t>
      </w:r>
      <w:r>
        <w:t xml:space="preserve">Being blunt: fine-tuning per client IS per-client training. It shrinks the retraining pipeline, it does not remove it, so it does not actually answer the product owners' ask. Also there are no open pretrained weights for bank-statement style aggregate data, so the starting point is a generic prior - unclear benefit over our existing autoencoder for added complexity (base model + adapter per client).</w:t>
      </w:r>
    </w:p>
    <w:p>
      <w:pPr>
        <w:pStyle w:val="Heading2"/>
      </w:pPr>
      <w:r>
        <w:t xml:space="preserve">6. TabPFN - the one we are adopting</w:t>
      </w:r>
    </w:p>
    <w:p>
      <w:pPr>
        <w:spacing w:after="120"/>
      </w:pPr>
      <w:r>
        <w:rPr>
          <w:b/>
          <w:bCs/>
        </w:rPr>
        <w:t xml:space="preserve">What it is: </w:t>
      </w:r>
      <w:r>
        <w:t xml:space="preserve">A transformer for tables (rows and columns instead of words), pretrained by Prior Labs on millions of synthetic datasets. Published in Nature (v2, 2025). It does in-context learning: hand it the client's historical rows as context and it infers what is normal for that client in one forward pass. No weight updates, ever.</w:t>
      </w:r>
    </w:p>
    <w:p>
      <w:pPr>
        <w:spacing w:after="120"/>
      </w:pPr>
      <w:r>
        <w:rPr>
          <w:b/>
          <w:bCs/>
        </w:rPr>
        <w:t xml:space="preserve">Why it fits our constraints: </w:t>
      </w:r>
      <w:r>
        <w:t xml:space="preserve">1) No per-client training - 'retraining' becomes appending rows to a context file. 2) No data mixing - pretraining was synthetic only, and each client's inference uses only that client's rows. 3) Still learns from client history - just at read-time instead of train-time. 4) Our data is tabular daily rows, which is exactly what it is built for, and our history (~9.7K rows per client) fits the ~10K context design range of v2.</w:t>
      </w:r>
    </w:p>
    <w:p>
      <w:pPr>
        <w:spacing w:after="120"/>
      </w:pPr>
      <w:r>
        <w:rPr>
          <w:b/>
          <w:bCs/>
        </w:rPr>
        <w:t xml:space="preserve">Anomaly scoring: </w:t>
      </w:r>
      <w:r>
        <w:t xml:space="preserve">Official unsupervised extension estimates the likelihood of each row under the client's historical distribution. Low likelihood = anomaly. Same idea as reconstruction error, same percentile thresholding, same 9 anomaly types covered. Business rules still run first, untouched.</w:t>
      </w:r>
    </w:p>
    <w:p>
      <w:pPr>
        <w:spacing w:after="120"/>
      </w:pPr>
      <w:r>
        <w:rPr>
          <w:b/>
          <w:bCs/>
        </w:rPr>
        <w:t xml:space="preserve">Licensing: </w:t>
      </w:r>
      <w:r>
        <w:t xml:space="preserve">v2 weights are Apache 2.0 + attribution (free for commercial use). Newer versions (2.5/3) are non-commercial without an enterprise license - and the pip package defaults to v3, so we explicitly pin/load v2 in code. Worth a proper legal read before production, but the pilot is clean.</w:t>
      </w:r>
    </w:p>
    <w:p>
      <w:pPr>
        <w:pStyle w:val="Heading2"/>
      </w:pPr>
      <w:r>
        <w:t xml:space="preserve">How we plan to adopt TabPFN</w:t>
      </w:r>
    </w:p>
    <w:p>
      <w:pPr>
        <w:spacing w:after="120"/>
      </w:pPr>
      <w:r>
        <w:t xml:space="preserve">Two tracks running in parallel, deliberately separated:</w:t>
      </w:r>
    </w:p>
    <w:p>
      <w:pPr>
        <w:spacing w:after="120"/>
      </w:pPr>
      <w:r>
        <w:rPr>
          <w:b/>
          <w:bCs/>
        </w:rPr>
        <w:t xml:space="preserve">Business track: </w:t>
      </w:r>
      <w:r>
        <w:t xml:space="preserve">Scoring notebook that fits AE + IForest on train, scores the recent test window, labels flagged rows with anomaly types (volume_spike first), and exports a consensus CSV for analyst review. TabPFN sits in the same notebook as an optional per-account-context scorer using v2 weights. Analyst verdicts collected on the export become our first labeled dataset.</w:t>
      </w:r>
    </w:p>
    <w:p>
      <w:pPr>
        <w:spacing w:after="120"/>
      </w:pPr>
      <w:r>
        <w:rPr>
          <w:b/>
          <w:bCs/>
        </w:rPr>
        <w:t xml:space="preserve">Research track: </w:t>
      </w:r>
      <w:r>
        <w:t xml:space="preserve">Benchmark harness with typed anomaly injection (8 corruption types with known ground truth), multi-seed evaluation, per-type recall, context-size ablation, runtime profiling. Target: applied paper (ICAIF / DSAA style) framed as 'can in-context learning replace per-client training pipelines under data-isolation constraints'. Synthetic data generator doubles as the reproducibility package.</w:t>
      </w:r>
    </w:p>
    <w:p>
      <w:pPr>
        <w:spacing w:after="120"/>
      </w:pPr>
      <w:r>
        <w:rPr>
          <w:b/>
          <w:bCs/>
        </w:rPr>
        <w:t xml:space="preserve">Inference design settled so far: </w:t>
      </w:r>
      <w:r>
        <w:t xml:space="preserve">Per-day payload; context = full history of only the accounts transacting that day, capped at 9,800 rows with equal-share-plus-redistribution (water-filling) when over cap; threshold calibrated on the test accounts' own history and cached; verbose logging for every step.</w:t>
      </w:r>
    </w:p>
    <w:p>
      <w:pPr>
        <w:pStyle w:val="Heading2"/>
      </w:pPr>
      <w:r>
        <w:t xml:space="preserve">Current blockers / open items (honest status)</w:t>
      </w:r>
    </w:p>
    <w:p>
      <w:pPr>
        <w:spacing w:after="120"/>
      </w:pPr>
      <w:r>
        <w:t xml:space="preserve">- TabPFN unsupervised scoring currently hangs on our CPU-only FIS box even on tiny inputs (200 rows stuck 30+ min). Data size is ruled out as the cause; suspects are torch CPU thread thrashing or the corporate proxy re-fetching weights. Diagnosis in progress (thread caps, fit/outliers bisect, interrupt traceback). GPU access would likely make this moot and is worth pushing for regardless.</w:t>
      </w:r>
    </w:p>
    <w:p>
      <w:pPr>
        <w:spacing w:after="120"/>
      </w:pPr>
      <w:r>
        <w:t xml:space="preserve">- Score sign of the outliers() API must be verified against known extreme rows before any analyst round.</w:t>
      </w:r>
    </w:p>
    <w:p>
      <w:pPr>
        <w:spacing w:after="120"/>
      </w:pPr>
      <w:r>
        <w:t xml:space="preserve">- Only one client's data so far; a second client is requested - needed for any generalization claim in the paper.</w:t>
      </w:r>
    </w:p>
    <w:p>
      <w:pPr>
        <w:spacing w:after="120"/>
      </w:pPr>
      <w:r>
        <w:t xml:space="preserve">- Type labels on flagged rows come from univariate deviation logic - fine as 'best explanation' for analysts, not ground truth.</w:t>
      </w:r>
    </w:p>
    <w:p>
      <w:pPr>
        <w:spacing w:after="120"/>
      </w:pPr>
      <w:r>
        <w:t xml:space="preserve">- 2 years of history, not 3 as originally assumed. Fine for pilot, note for documentation.</w:t>
      </w:r>
    </w:p>
    <w:p>
      <w:pPr>
        <w:pStyle w:val="Heading2"/>
      </w:pPr>
      <w:r>
        <w:t xml:space="preserve">Bottom line</w:t>
      </w:r>
    </w:p>
    <w:p>
      <w:pPr>
        <w:spacing w:after="120"/>
      </w:pPr>
      <w:r>
        <w:t xml:space="preserve">Everything except TabPFN either keeps the per-client training burden (autoencoder, classical models, fine-tuning) or does not fit our data and constraints (time-series FMs, proprietary payments FMs). TabPFN is the only option that satisfies no-retraining + no-data-mixing + learns-from-history simultaneously. Adoption risk is operational (CPU runtime, current hang, licensing sign-off), not conceptual. Pilot continues; autoencoder stays as the working baseline until TabPFN proves itself head-to-head.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40" w:before="200"/>
      <w:outlineLvl w:val="1"/>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2026-07-09T11:56:07.988Z</dcterms:created>
  <dcterms:modified xsi:type="dcterms:W3CDTF">2026-07-09T11:56:08.002Z</dcterms:modified>
</cp:coreProperties>
</file>

<file path=docProps/custom.xml><?xml version="1.0" encoding="utf-8"?>
<Properties xmlns="http://schemas.openxmlformats.org/officeDocument/2006/custom-properties" xmlns:vt="http://schemas.openxmlformats.org/officeDocument/2006/docPropsVTypes"/>
</file>