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jc w:val="left"/>
        <w:rPr/>
      </w:pPr>
      <w:r>
        <w:rPr/>
      </w:r>
    </w:p>
    <w:p>
      <w:pPr>
        <w:pStyle w:val="Normal"/>
        <w:spacing w:before="0" w:after="120"/>
        <w:jc w:val="left"/>
        <w:rPr/>
      </w:pPr>
      <w:r>
        <w:rPr/>
      </w:r>
    </w:p>
    <w:p>
      <w:pPr>
        <w:pStyle w:val="Normal"/>
        <w:spacing w:before="0" w:after="120"/>
        <w:jc w:val="left"/>
        <w:rPr/>
      </w:pPr>
      <w:r>
        <w:rPr/>
      </w:r>
    </w:p>
    <w:p>
      <w:pPr>
        <w:pStyle w:val="Normal"/>
        <w:spacing w:before="0" w:after="120"/>
        <w:jc w:val="left"/>
        <w:rPr/>
      </w:pPr>
      <w:r>
        <w:rPr/>
      </w:r>
    </w:p>
    <w:p>
      <w:pPr>
        <w:pStyle w:val="Normal"/>
        <w:spacing w:before="0" w:after="120"/>
        <w:jc w:val="left"/>
        <w:rPr/>
      </w:pPr>
      <w:r>
        <w:rPr/>
      </w:r>
    </w:p>
    <w:p>
      <w:pPr>
        <w:pStyle w:val="Normal"/>
        <w:pBdr>
          <w:bottom w:val="single" w:sz="18" w:space="1" w:color="2F6F62"/>
        </w:pBdr>
        <w:spacing w:before="0" w:after="360"/>
        <w:jc w:val="left"/>
        <w:rPr/>
      </w:pPr>
      <w:r>
        <w:rPr/>
      </w:r>
    </w:p>
    <w:p>
      <w:pPr>
        <w:pStyle w:val="Normal"/>
        <w:spacing w:before="0" w:after="160"/>
        <w:jc w:val="left"/>
        <w:rPr/>
      </w:pPr>
      <w:r>
        <w:rPr>
          <w:b/>
          <w:i w:val="false"/>
          <w:color w:val="2F6F62"/>
          <w:sz w:val="56"/>
        </w:rPr>
        <w:t>InsightfulCell Product Report</w:t>
      </w:r>
    </w:p>
    <w:p>
      <w:pPr>
        <w:pStyle w:val="Normal"/>
        <w:spacing w:before="0" w:after="720"/>
        <w:jc w:val="left"/>
        <w:rPr/>
      </w:pPr>
      <w:r>
        <w:rPr>
          <w:b w:val="false"/>
          <w:i w:val="false"/>
          <w:color w:val="333333"/>
          <w:sz w:val="32"/>
        </w:rPr>
        <w:t>A one-stop solution for trustworthy, private data analysis</w:t>
      </w:r>
    </w:p>
    <w:p>
      <w:pPr>
        <w:pStyle w:val="Normal"/>
        <w:spacing w:before="0" w:after="40"/>
        <w:jc w:val="left"/>
        <w:rPr/>
      </w:pPr>
      <w:r>
        <w:rPr>
          <w:b/>
          <w:i w:val="false"/>
          <w:sz w:val="24"/>
        </w:rPr>
        <w:t>Prepared for</w:t>
      </w:r>
    </w:p>
    <w:p>
      <w:pPr>
        <w:pStyle w:val="Normal"/>
        <w:spacing w:before="0" w:after="360"/>
        <w:jc w:val="left"/>
        <w:rPr/>
      </w:pPr>
      <w:r>
        <w:rPr>
          <w:b w:val="false"/>
          <w:i w:val="false"/>
          <w:sz w:val="24"/>
        </w:rPr>
        <w:t>CDU IT Code Fair Sydney 2026 · Category: Coding Competition</w:t>
      </w:r>
    </w:p>
    <w:p>
      <w:pPr>
        <w:pStyle w:val="Normal"/>
        <w:spacing w:before="0" w:after="40"/>
        <w:jc w:val="left"/>
        <w:rPr/>
      </w:pPr>
      <w:r>
        <w:rPr>
          <w:b/>
          <w:i w:val="false"/>
          <w:sz w:val="24"/>
        </w:rPr>
        <w:t>Prepared by</w:t>
      </w:r>
    </w:p>
    <w:p>
      <w:pPr>
        <w:pStyle w:val="Normal"/>
        <w:spacing w:before="0" w:after="40"/>
        <w:jc w:val="left"/>
        <w:rPr/>
      </w:pPr>
      <w:r>
        <w:rPr>
          <w:b w:val="false"/>
          <w:i w:val="false"/>
          <w:sz w:val="24"/>
        </w:rPr>
        <w:t>Rupesh Ghimire (s403354), Product Owner and Lead Engineer</w:t>
      </w:r>
    </w:p>
    <w:p>
      <w:pPr>
        <w:pStyle w:val="Normal"/>
        <w:spacing w:before="0" w:after="40"/>
        <w:jc w:val="left"/>
        <w:rPr/>
      </w:pPr>
      <w:r>
        <w:rPr>
          <w:b w:val="false"/>
          <w:i w:val="false"/>
          <w:sz w:val="24"/>
        </w:rPr>
        <w:t>Sandesh Prasad Paudel (s388230), Quality Assurance and Deployment Engineer</w:t>
      </w:r>
    </w:p>
    <w:p>
      <w:pPr>
        <w:pStyle w:val="Normal"/>
        <w:spacing w:before="0" w:after="360"/>
        <w:jc w:val="left"/>
        <w:rPr/>
      </w:pPr>
      <w:r>
        <w:rPr>
          <w:b w:val="false"/>
          <w:i w:val="false"/>
          <w:sz w:val="24"/>
        </w:rPr>
        <w:t>Master of Data Science, Charles Darwin University</w:t>
      </w:r>
    </w:p>
    <w:p>
      <w:pPr>
        <w:pStyle w:val="Normal"/>
        <w:spacing w:before="0" w:after="720"/>
        <w:jc w:val="left"/>
        <w:rPr/>
      </w:pPr>
      <w:r>
        <w:rPr>
          <w:b w:val="false"/>
          <w:i w:val="false"/>
          <w:sz w:val="24"/>
        </w:rPr>
        <w:t>Date: 25 October 2026</w:t>
      </w:r>
    </w:p>
    <w:p>
      <w:pPr>
        <w:pStyle w:val="Normal"/>
        <w:spacing w:before="0" w:after="40"/>
        <w:jc w:val="left"/>
        <w:rPr/>
      </w:pPr>
      <w:r>
        <w:rPr>
          <w:b w:val="false"/>
          <w:i w:val="false"/>
          <w:sz w:val="22"/>
        </w:rPr>
        <w:t>Live application: https://app.ic.rgproject.me</w:t>
      </w:r>
    </w:p>
    <w:p>
      <w:pPr>
        <w:pStyle w:val="Normal"/>
        <w:spacing w:before="0" w:after="40"/>
        <w:jc w:val="left"/>
        <w:rPr/>
      </w:pPr>
      <w:r>
        <w:rPr>
          <w:b w:val="false"/>
          <w:i w:val="false"/>
          <w:sz w:val="22"/>
        </w:rPr>
        <w:t>Source code: https://github.com/rupeshghimire7/InsightfullCell</w:t>
      </w:r>
    </w:p>
    <w:p>
      <w:pPr>
        <w:pStyle w:val="Normal"/>
        <w:spacing w:before="0" w:after="40"/>
        <w:jc w:val="left"/>
        <w:rPr/>
      </w:pPr>
      <w:r>
        <w:rPr>
          <w:b w:val="false"/>
          <w:i w:val="false"/>
          <w:sz w:val="22"/>
        </w:rPr>
        <w:t xml:space="preserve">Demo video: </w:t>
      </w:r>
      <w:r>
        <w:rPr>
          <w:sz w:val="22"/>
          <w:highlight w:val="yellow"/>
        </w:rPr>
        <w:t>[YouTube link]</w:t>
      </w:r>
    </w:p>
    <w:p>
      <w:pPr>
        <w:pStyle w:val="Normal"/>
        <w:spacing w:before="0" w:after="40"/>
        <w:jc w:val="left"/>
        <w:rPr/>
      </w:pPr>
      <w:r>
        <w:rPr>
          <w:b w:val="false"/>
          <w:i w:val="false"/>
          <w:sz w:val="22"/>
        </w:rPr>
        <w:t>Contact: rupeshghimire17@gmail.com</w:t>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417" w:gutter="0" w:header="720" w:top="1417" w:footer="720" w:bottom="1417"/>
          <w:pgNumType w:fmt="decimal"/>
          <w:formProt w:val="false"/>
          <w:textDirection w:val="lrTb"/>
          <w:docGrid w:type="default" w:linePitch="100" w:charSpace="0"/>
        </w:sectPr>
      </w:pPr>
    </w:p>
    <w:sdt>
      <w:sdtPr>
        <w:docPartObj>
          <w:docPartGallery w:val="Table of Contents"/>
          <w:docPartUnique w:val="true"/>
        </w:docPartObj>
      </w:sdtPr>
      <w:sdtContent>
        <w:p>
          <w:pPr>
            <w:pStyle w:val="TOCHeading"/>
            <w:rPr/>
          </w:pPr>
          <w:r>
            <w:rPr/>
            <w:t>Contents</w:t>
          </w:r>
        </w:p>
        <w:p>
          <w:pPr>
            <w:pStyle w:val="TOC1"/>
            <w:tabs>
              <w:tab w:val="clear" w:pos="9072"/>
              <w:tab w:val="right" w:pos="9071" w:leader="dot"/>
            </w:tabs>
            <w:rPr/>
          </w:pPr>
          <w:r>
            <w:fldChar w:fldCharType="begin"/>
          </w:r>
          <w:r>
            <w:rPr>
              <w:webHidden/>
              <w:rStyle w:val="IndexLink"/>
            </w:rPr>
            <w:instrText xml:space="preserve"> TOC \z \o "1-2" \u \h</w:instrText>
          </w:r>
          <w:r>
            <w:rPr>
              <w:webHidden/>
              <w:rStyle w:val="IndexLink"/>
            </w:rPr>
            <w:fldChar w:fldCharType="separate"/>
          </w:r>
          <w:hyperlink w:anchor="__RefHeading___Toc4463_2567261957">
            <w:r>
              <w:rPr>
                <w:webHidden/>
                <w:rStyle w:val="IndexLink"/>
              </w:rPr>
              <w:t>Executive summary</w:t>
              <w:tab/>
              <w:t>4</w:t>
            </w:r>
          </w:hyperlink>
        </w:p>
        <w:p>
          <w:pPr>
            <w:pStyle w:val="TOC1"/>
            <w:tabs>
              <w:tab w:val="clear" w:pos="9072"/>
              <w:tab w:val="right" w:pos="9071" w:leader="dot"/>
            </w:tabs>
            <w:rPr/>
          </w:pPr>
          <w:hyperlink w:anchor="__RefHeading___Toc4465_2567261957">
            <w:r>
              <w:rPr>
                <w:webHidden/>
                <w:rStyle w:val="IndexLink"/>
              </w:rPr>
              <w:t>1 Introduction and background</w:t>
              <w:tab/>
              <w:t>5</w:t>
            </w:r>
          </w:hyperlink>
        </w:p>
        <w:p>
          <w:pPr>
            <w:pStyle w:val="TOC2"/>
            <w:tabs>
              <w:tab w:val="clear" w:pos="8789"/>
              <w:tab w:val="right" w:pos="9071" w:leader="dot"/>
            </w:tabs>
            <w:rPr/>
          </w:pPr>
          <w:hyperlink w:anchor="__RefHeading___Toc4467_2567261957">
            <w:r>
              <w:rPr>
                <w:webHidden/>
                <w:rStyle w:val="IndexLink"/>
              </w:rPr>
              <w:t>1.1 Background</w:t>
              <w:tab/>
              <w:t>5</w:t>
            </w:r>
          </w:hyperlink>
        </w:p>
        <w:p>
          <w:pPr>
            <w:pStyle w:val="TOC2"/>
            <w:tabs>
              <w:tab w:val="clear" w:pos="8789"/>
              <w:tab w:val="right" w:pos="9071" w:leader="dot"/>
            </w:tabs>
            <w:rPr/>
          </w:pPr>
          <w:hyperlink w:anchor="__RefHeading___Toc4469_2567261957">
            <w:r>
              <w:rPr>
                <w:webHidden/>
                <w:rStyle w:val="IndexLink"/>
              </w:rPr>
              <w:t>1.2 Problem statement</w:t>
              <w:tab/>
              <w:t>5</w:t>
            </w:r>
          </w:hyperlink>
        </w:p>
        <w:p>
          <w:pPr>
            <w:pStyle w:val="TOC2"/>
            <w:tabs>
              <w:tab w:val="clear" w:pos="8789"/>
              <w:tab w:val="right" w:pos="9071" w:leader="dot"/>
            </w:tabs>
            <w:rPr/>
          </w:pPr>
          <w:hyperlink w:anchor="__RefHeading___Toc4471_2567261957">
            <w:r>
              <w:rPr>
                <w:webHidden/>
                <w:rStyle w:val="IndexLink"/>
              </w:rPr>
              <w:t>1.3 The idea</w:t>
              <w:tab/>
              <w:t>5</w:t>
            </w:r>
          </w:hyperlink>
        </w:p>
        <w:p>
          <w:pPr>
            <w:pStyle w:val="TOC2"/>
            <w:tabs>
              <w:tab w:val="clear" w:pos="8789"/>
              <w:tab w:val="right" w:pos="9071" w:leader="dot"/>
            </w:tabs>
            <w:rPr/>
          </w:pPr>
          <w:hyperlink w:anchor="__RefHeading___Toc4473_2567261957">
            <w:r>
              <w:rPr>
                <w:webHidden/>
                <w:rStyle w:val="IndexLink"/>
              </w:rPr>
              <w:t>1.4 Objectives</w:t>
              <w:tab/>
              <w:t>6</w:t>
            </w:r>
          </w:hyperlink>
        </w:p>
        <w:p>
          <w:pPr>
            <w:pStyle w:val="TOC2"/>
            <w:tabs>
              <w:tab w:val="clear" w:pos="8789"/>
              <w:tab w:val="right" w:pos="9071" w:leader="dot"/>
            </w:tabs>
            <w:rPr/>
          </w:pPr>
          <w:hyperlink w:anchor="__RefHeading___Toc4475_2567261957">
            <w:r>
              <w:rPr>
                <w:webHidden/>
                <w:rStyle w:val="IndexLink"/>
              </w:rPr>
              <w:t>1.5 Project plan and execution</w:t>
              <w:tab/>
              <w:t>6</w:t>
            </w:r>
          </w:hyperlink>
        </w:p>
        <w:p>
          <w:pPr>
            <w:pStyle w:val="TOC2"/>
            <w:tabs>
              <w:tab w:val="clear" w:pos="8789"/>
              <w:tab w:val="right" w:pos="9071" w:leader="dot"/>
            </w:tabs>
            <w:rPr/>
          </w:pPr>
          <w:hyperlink w:anchor="__RefHeading___Toc4477_2567261957">
            <w:r>
              <w:rPr>
                <w:webHidden/>
                <w:rStyle w:val="IndexLink"/>
              </w:rPr>
              <w:t>1.6 Scope of this report</w:t>
              <w:tab/>
              <w:t>7</w:t>
            </w:r>
          </w:hyperlink>
        </w:p>
        <w:p>
          <w:pPr>
            <w:pStyle w:val="TOC1"/>
            <w:tabs>
              <w:tab w:val="clear" w:pos="9072"/>
              <w:tab w:val="right" w:pos="9071" w:leader="dot"/>
            </w:tabs>
            <w:rPr/>
          </w:pPr>
          <w:hyperlink w:anchor="__RefHeading___Toc4479_2567261957">
            <w:r>
              <w:rPr>
                <w:webHidden/>
                <w:rStyle w:val="IndexLink"/>
              </w:rPr>
              <w:t>2 The product: InsightfulCell</w:t>
              <w:tab/>
              <w:t>8</w:t>
            </w:r>
          </w:hyperlink>
        </w:p>
        <w:p>
          <w:pPr>
            <w:pStyle w:val="TOC2"/>
            <w:tabs>
              <w:tab w:val="clear" w:pos="8789"/>
              <w:tab w:val="right" w:pos="9071" w:leader="dot"/>
            </w:tabs>
            <w:rPr/>
          </w:pPr>
          <w:hyperlink w:anchor="__RefHeading___Toc4481_2567261957">
            <w:r>
              <w:rPr>
                <w:webHidden/>
                <w:rStyle w:val="IndexLink"/>
              </w:rPr>
              <w:t>2.1 Product at a glance</w:t>
              <w:tab/>
              <w:t>8</w:t>
            </w:r>
          </w:hyperlink>
        </w:p>
        <w:p>
          <w:pPr>
            <w:pStyle w:val="TOC2"/>
            <w:tabs>
              <w:tab w:val="clear" w:pos="8789"/>
              <w:tab w:val="right" w:pos="9071" w:leader="dot"/>
            </w:tabs>
            <w:rPr/>
          </w:pPr>
          <w:hyperlink w:anchor="__RefHeading___Toc4483_2567261957">
            <w:r>
              <w:rPr>
                <w:webHidden/>
                <w:rStyle w:val="IndexLink"/>
              </w:rPr>
              <w:t>2.2 Upload any spreadsheet</w:t>
              <w:tab/>
              <w:t>8</w:t>
            </w:r>
          </w:hyperlink>
        </w:p>
        <w:p>
          <w:pPr>
            <w:pStyle w:val="TOC2"/>
            <w:tabs>
              <w:tab w:val="clear" w:pos="8789"/>
              <w:tab w:val="right" w:pos="9071" w:leader="dot"/>
            </w:tabs>
            <w:rPr/>
          </w:pPr>
          <w:hyperlink w:anchor="__RefHeading___Toc4485_2567261957">
            <w:r>
              <w:rPr>
                <w:webHidden/>
                <w:rStyle w:val="IndexLink"/>
              </w:rPr>
              <w:t>2.3 Automatic understanding and privacy protection</w:t>
              <w:tab/>
              <w:t>9</w:t>
            </w:r>
          </w:hyperlink>
        </w:p>
        <w:p>
          <w:pPr>
            <w:pStyle w:val="TOC2"/>
            <w:tabs>
              <w:tab w:val="clear" w:pos="8789"/>
              <w:tab w:val="right" w:pos="9071" w:leader="dot"/>
            </w:tabs>
            <w:rPr/>
          </w:pPr>
          <w:hyperlink w:anchor="__RefHeading___Toc4487_2567261957">
            <w:r>
              <w:rPr>
                <w:webHidden/>
                <w:rStyle w:val="IndexLink"/>
              </w:rPr>
              <w:t>2.4 Cleaning you can review</w:t>
              <w:tab/>
              <w:t>10</w:t>
            </w:r>
          </w:hyperlink>
        </w:p>
        <w:p>
          <w:pPr>
            <w:pStyle w:val="TOC2"/>
            <w:tabs>
              <w:tab w:val="clear" w:pos="8789"/>
              <w:tab w:val="right" w:pos="9071" w:leader="dot"/>
            </w:tabs>
            <w:rPr/>
          </w:pPr>
          <w:hyperlink w:anchor="__RefHeading___Toc4489_2567261957">
            <w:r>
              <w:rPr>
                <w:webHidden/>
                <w:rStyle w:val="IndexLink"/>
              </w:rPr>
              <w:t>2.5 Statistically tested findings</w:t>
              <w:tab/>
              <w:t>10</w:t>
            </w:r>
          </w:hyperlink>
        </w:p>
        <w:p>
          <w:pPr>
            <w:pStyle w:val="TOC2"/>
            <w:tabs>
              <w:tab w:val="clear" w:pos="8789"/>
              <w:tab w:val="right" w:pos="9071" w:leader="dot"/>
            </w:tabs>
            <w:rPr/>
          </w:pPr>
          <w:hyperlink w:anchor="__RefHeading___Toc4491_2567261957">
            <w:r>
              <w:rPr>
                <w:webHidden/>
                <w:rStyle w:val="IndexLink"/>
              </w:rPr>
              <w:t>2.6 A report where every number shows its work</w:t>
              <w:tab/>
              <w:t>13</w:t>
            </w:r>
          </w:hyperlink>
        </w:p>
        <w:p>
          <w:pPr>
            <w:pStyle w:val="TOC2"/>
            <w:tabs>
              <w:tab w:val="clear" w:pos="8789"/>
              <w:tab w:val="right" w:pos="9071" w:leader="dot"/>
            </w:tabs>
            <w:rPr/>
          </w:pPr>
          <w:hyperlink w:anchor="__RefHeading___Toc4493_2567261957">
            <w:r>
              <w:rPr>
                <w:webHidden/>
                <w:rStyle w:val="IndexLink"/>
              </w:rPr>
              <w:t>2.7 Dashboards, maps and exploration</w:t>
              <w:tab/>
              <w:t>13</w:t>
            </w:r>
          </w:hyperlink>
        </w:p>
        <w:p>
          <w:pPr>
            <w:pStyle w:val="TOC2"/>
            <w:tabs>
              <w:tab w:val="clear" w:pos="8789"/>
              <w:tab w:val="right" w:pos="9071" w:leader="dot"/>
            </w:tabs>
            <w:rPr/>
          </w:pPr>
          <w:hyperlink w:anchor="__RefHeading___Toc4495_2567261957">
            <w:r>
              <w:rPr>
                <w:webHidden/>
                <w:rStyle w:val="IndexLink"/>
              </w:rPr>
              <w:t>2.8 Download and share</w:t>
              <w:tab/>
              <w:t>14</w:t>
            </w:r>
          </w:hyperlink>
        </w:p>
        <w:p>
          <w:pPr>
            <w:pStyle w:val="TOC2"/>
            <w:tabs>
              <w:tab w:val="clear" w:pos="8789"/>
              <w:tab w:val="right" w:pos="9071" w:leader="dot"/>
            </w:tabs>
            <w:rPr/>
          </w:pPr>
          <w:hyperlink w:anchor="__RefHeading___Toc4497_2567261957">
            <w:r>
              <w:rPr>
                <w:webHidden/>
                <w:rStyle w:val="IndexLink"/>
              </w:rPr>
              <w:t>2.9 Works with or without AI</w:t>
              <w:tab/>
              <w:t>15</w:t>
            </w:r>
          </w:hyperlink>
        </w:p>
        <w:p>
          <w:pPr>
            <w:pStyle w:val="TOC2"/>
            <w:tabs>
              <w:tab w:val="clear" w:pos="8789"/>
              <w:tab w:val="right" w:pos="9071" w:leader="dot"/>
            </w:tabs>
            <w:rPr/>
          </w:pPr>
          <w:hyperlink w:anchor="__RefHeading___Toc4499_2567261957">
            <w:r>
              <w:rPr>
                <w:webHidden/>
                <w:rStyle w:val="IndexLink"/>
              </w:rPr>
              <w:t>2.10 Accessible by design</w:t>
              <w:tab/>
              <w:t>15</w:t>
            </w:r>
          </w:hyperlink>
        </w:p>
        <w:p>
          <w:pPr>
            <w:pStyle w:val="TOC2"/>
            <w:tabs>
              <w:tab w:val="clear" w:pos="8789"/>
              <w:tab w:val="right" w:pos="9071" w:leader="dot"/>
            </w:tabs>
            <w:rPr/>
          </w:pPr>
          <w:hyperlink w:anchor="__RefHeading___Toc4501_2567261957">
            <w:r>
              <w:rPr>
                <w:webHidden/>
                <w:rStyle w:val="IndexLink"/>
              </w:rPr>
              <w:t>2.11 Handling everyday situations</w:t>
              <w:tab/>
              <w:t>16</w:t>
            </w:r>
          </w:hyperlink>
        </w:p>
        <w:p>
          <w:pPr>
            <w:pStyle w:val="TOC2"/>
            <w:tabs>
              <w:tab w:val="clear" w:pos="8789"/>
              <w:tab w:val="right" w:pos="9071" w:leader="dot"/>
            </w:tabs>
            <w:rPr/>
          </w:pPr>
          <w:hyperlink w:anchor="__RefHeading___Toc4503_2567261957">
            <w:r>
              <w:rPr>
                <w:webHidden/>
                <w:rStyle w:val="IndexLink"/>
              </w:rPr>
              <w:t>2.12 Feature summary</w:t>
              <w:tab/>
              <w:t>17</w:t>
            </w:r>
          </w:hyperlink>
        </w:p>
        <w:p>
          <w:pPr>
            <w:pStyle w:val="TOC1"/>
            <w:tabs>
              <w:tab w:val="clear" w:pos="9072"/>
              <w:tab w:val="right" w:pos="9071" w:leader="dot"/>
            </w:tabs>
            <w:rPr/>
          </w:pPr>
          <w:hyperlink w:anchor="__RefHeading___Toc4505_2567261957">
            <w:r>
              <w:rPr>
                <w:webHidden/>
                <w:rStyle w:val="IndexLink"/>
              </w:rPr>
              <w:t>3 Methodology: technical implementation</w:t>
              <w:tab/>
              <w:t>18</w:t>
            </w:r>
          </w:hyperlink>
        </w:p>
        <w:p>
          <w:pPr>
            <w:pStyle w:val="TOC2"/>
            <w:tabs>
              <w:tab w:val="clear" w:pos="8789"/>
              <w:tab w:val="right" w:pos="9071" w:leader="dot"/>
            </w:tabs>
            <w:rPr/>
          </w:pPr>
          <w:hyperlink w:anchor="__RefHeading___Toc4507_2567261957">
            <w:r>
              <w:rPr>
                <w:webHidden/>
                <w:rStyle w:val="IndexLink"/>
              </w:rPr>
              <w:t>3.1 Development approach</w:t>
              <w:tab/>
              <w:t>18</w:t>
            </w:r>
          </w:hyperlink>
        </w:p>
        <w:p>
          <w:pPr>
            <w:pStyle w:val="TOC2"/>
            <w:tabs>
              <w:tab w:val="clear" w:pos="8789"/>
              <w:tab w:val="right" w:pos="9071" w:leader="dot"/>
            </w:tabs>
            <w:rPr/>
          </w:pPr>
          <w:hyperlink w:anchor="__RefHeading___Toc4509_2567261957">
            <w:r>
              <w:rPr>
                <w:webHidden/>
                <w:rStyle w:val="IndexLink"/>
              </w:rPr>
              <w:t>3.2 Team roles and task division</w:t>
              <w:tab/>
              <w:t>18</w:t>
            </w:r>
          </w:hyperlink>
        </w:p>
        <w:p>
          <w:pPr>
            <w:pStyle w:val="TOC2"/>
            <w:tabs>
              <w:tab w:val="clear" w:pos="8789"/>
              <w:tab w:val="right" w:pos="9071" w:leader="dot"/>
            </w:tabs>
            <w:rPr/>
          </w:pPr>
          <w:hyperlink w:anchor="__RefHeading___Toc4511_2567261957">
            <w:r>
              <w:rPr>
                <w:webHidden/>
                <w:rStyle w:val="IndexLink"/>
              </w:rPr>
              <w:t>3.3 System architecture</w:t>
              <w:tab/>
              <w:t>19</w:t>
            </w:r>
          </w:hyperlink>
        </w:p>
        <w:p>
          <w:pPr>
            <w:pStyle w:val="TOC2"/>
            <w:tabs>
              <w:tab w:val="clear" w:pos="8789"/>
              <w:tab w:val="right" w:pos="9071" w:leader="dot"/>
            </w:tabs>
            <w:rPr/>
          </w:pPr>
          <w:hyperlink w:anchor="__RefHeading___Toc4513_2567261957">
            <w:r>
              <w:rPr>
                <w:webHidden/>
                <w:rStyle w:val="IndexLink"/>
              </w:rPr>
              <w:t>3.4 Technology stack</w:t>
              <w:tab/>
              <w:t>20</w:t>
            </w:r>
          </w:hyperlink>
        </w:p>
        <w:p>
          <w:pPr>
            <w:pStyle w:val="TOC2"/>
            <w:tabs>
              <w:tab w:val="clear" w:pos="8789"/>
              <w:tab w:val="right" w:pos="9071" w:leader="dot"/>
            </w:tabs>
            <w:rPr/>
          </w:pPr>
          <w:hyperlink w:anchor="__RefHeading___Toc4515_2567261957">
            <w:r>
              <w:rPr>
                <w:webHidden/>
                <w:rStyle w:val="IndexLink"/>
              </w:rPr>
              <w:t>3.5 How the analysis works</w:t>
              <w:tab/>
              <w:t>20</w:t>
            </w:r>
          </w:hyperlink>
        </w:p>
        <w:p>
          <w:pPr>
            <w:pStyle w:val="TOC2"/>
            <w:tabs>
              <w:tab w:val="clear" w:pos="8789"/>
              <w:tab w:val="right" w:pos="9071" w:leader="dot"/>
            </w:tabs>
            <w:rPr/>
          </w:pPr>
          <w:hyperlink w:anchor="__RefHeading___Toc4517_2567261957">
            <w:r>
              <w:rPr>
                <w:webHidden/>
                <w:rStyle w:val="IndexLink"/>
              </w:rPr>
              <w:t>3.6 Software engineering principles</w:t>
              <w:tab/>
              <w:t>23</w:t>
            </w:r>
          </w:hyperlink>
        </w:p>
        <w:p>
          <w:pPr>
            <w:pStyle w:val="TOC2"/>
            <w:tabs>
              <w:tab w:val="clear" w:pos="8789"/>
              <w:tab w:val="right" w:pos="9071" w:leader="dot"/>
            </w:tabs>
            <w:rPr/>
          </w:pPr>
          <w:hyperlink w:anchor="__RefHeading___Toc4519_2567261957">
            <w:r>
              <w:rPr>
                <w:webHidden/>
                <w:rStyle w:val="IndexLink"/>
              </w:rPr>
              <w:t>3.7 Security and privacy by design</w:t>
              <w:tab/>
              <w:t>23</w:t>
            </w:r>
          </w:hyperlink>
        </w:p>
        <w:p>
          <w:pPr>
            <w:pStyle w:val="TOC2"/>
            <w:tabs>
              <w:tab w:val="clear" w:pos="8789"/>
              <w:tab w:val="right" w:pos="9071" w:leader="dot"/>
            </w:tabs>
            <w:rPr/>
          </w:pPr>
          <w:hyperlink w:anchor="__RefHeading___Toc4521_2567261957">
            <w:r>
              <w:rPr>
                <w:webHidden/>
                <w:rStyle w:val="IndexLink"/>
              </w:rPr>
              <w:t>3.8 Testing and quality assurance</w:t>
              <w:tab/>
              <w:t>24</w:t>
            </w:r>
          </w:hyperlink>
        </w:p>
        <w:p>
          <w:pPr>
            <w:pStyle w:val="TOC2"/>
            <w:tabs>
              <w:tab w:val="clear" w:pos="8789"/>
              <w:tab w:val="right" w:pos="9071" w:leader="dot"/>
            </w:tabs>
            <w:rPr/>
          </w:pPr>
          <w:hyperlink w:anchor="__RefHeading___Toc4523_2567261957">
            <w:r>
              <w:rPr>
                <w:webHidden/>
                <w:rStyle w:val="IndexLink"/>
              </w:rPr>
              <w:t>3.9 Code quality and documentation</w:t>
              <w:tab/>
              <w:t>25</w:t>
            </w:r>
          </w:hyperlink>
        </w:p>
        <w:p>
          <w:pPr>
            <w:pStyle w:val="TOC2"/>
            <w:tabs>
              <w:tab w:val="clear" w:pos="8789"/>
              <w:tab w:val="right" w:pos="9071" w:leader="dot"/>
            </w:tabs>
            <w:rPr/>
          </w:pPr>
          <w:hyperlink w:anchor="__RefHeading___Toc4525_2567261957">
            <w:r>
              <w:rPr>
                <w:webHidden/>
                <w:rStyle w:val="IndexLink"/>
              </w:rPr>
              <w:t>3.10 Deployment and operations</w:t>
              <w:tab/>
              <w:t>25</w:t>
            </w:r>
          </w:hyperlink>
        </w:p>
        <w:p>
          <w:pPr>
            <w:pStyle w:val="TOC1"/>
            <w:tabs>
              <w:tab w:val="clear" w:pos="9072"/>
              <w:tab w:val="right" w:pos="9071" w:leader="dot"/>
            </w:tabs>
            <w:rPr/>
          </w:pPr>
          <w:hyperlink w:anchor="__RefHeading___Toc4527_2567261957">
            <w:r>
              <w:rPr>
                <w:webHidden/>
                <w:rStyle w:val="IndexLink"/>
              </w:rPr>
              <w:t>4 Discussion</w:t>
              <w:tab/>
              <w:t>27</w:t>
            </w:r>
          </w:hyperlink>
        </w:p>
        <w:p>
          <w:pPr>
            <w:pStyle w:val="TOC2"/>
            <w:tabs>
              <w:tab w:val="clear" w:pos="8789"/>
              <w:tab w:val="right" w:pos="9071" w:leader="dot"/>
            </w:tabs>
            <w:rPr/>
          </w:pPr>
          <w:hyperlink w:anchor="__RefHeading___Toc4529_2567261957">
            <w:r>
              <w:rPr>
                <w:webHidden/>
                <w:rStyle w:val="IndexLink"/>
              </w:rPr>
              <w:t>4.1 Market need and opportunity</w:t>
              <w:tab/>
              <w:t>27</w:t>
            </w:r>
          </w:hyperlink>
        </w:p>
        <w:p>
          <w:pPr>
            <w:pStyle w:val="TOC2"/>
            <w:tabs>
              <w:tab w:val="clear" w:pos="8789"/>
              <w:tab w:val="right" w:pos="9071" w:leader="dot"/>
            </w:tabs>
            <w:rPr/>
          </w:pPr>
          <w:hyperlink w:anchor="__RefHeading___Toc4531_2567261957">
            <w:r>
              <w:rPr>
                <w:webHidden/>
                <w:rStyle w:val="IndexLink"/>
              </w:rPr>
              <w:t>4.2 Target customers and use cases</w:t>
              <w:tab/>
              <w:t>27</w:t>
            </w:r>
          </w:hyperlink>
        </w:p>
        <w:p>
          <w:pPr>
            <w:pStyle w:val="TOC2"/>
            <w:tabs>
              <w:tab w:val="clear" w:pos="8789"/>
              <w:tab w:val="right" w:pos="9071" w:leader="dot"/>
            </w:tabs>
            <w:rPr/>
          </w:pPr>
          <w:hyperlink w:anchor="__RefHeading___Toc4533_2567261957">
            <w:r>
              <w:rPr>
                <w:webHidden/>
                <w:rStyle w:val="IndexLink"/>
              </w:rPr>
              <w:t>4.3 Competitive positioning</w:t>
              <w:tab/>
              <w:t>27</w:t>
            </w:r>
          </w:hyperlink>
        </w:p>
        <w:p>
          <w:pPr>
            <w:pStyle w:val="TOC2"/>
            <w:tabs>
              <w:tab w:val="clear" w:pos="8789"/>
              <w:tab w:val="right" w:pos="9071" w:leader="dot"/>
            </w:tabs>
            <w:rPr/>
          </w:pPr>
          <w:hyperlink w:anchor="__RefHeading___Toc4535_2567261957">
            <w:r>
              <w:rPr>
                <w:webHidden/>
                <w:rStyle w:val="IndexLink"/>
              </w:rPr>
              <w:t>4.4 Business model and cost to serve</w:t>
              <w:tab/>
              <w:t>28</w:t>
            </w:r>
          </w:hyperlink>
        </w:p>
        <w:p>
          <w:pPr>
            <w:pStyle w:val="TOC2"/>
            <w:tabs>
              <w:tab w:val="clear" w:pos="8789"/>
              <w:tab w:val="right" w:pos="9071" w:leader="dot"/>
            </w:tabs>
            <w:rPr/>
          </w:pPr>
          <w:hyperlink w:anchor="__RefHeading___Toc4537_2567261957">
            <w:r>
              <w:rPr>
                <w:webHidden/>
                <w:rStyle w:val="IndexLink"/>
              </w:rPr>
              <w:t>4.5 Scalability and go-to-market</w:t>
              <w:tab/>
              <w:t>28</w:t>
            </w:r>
          </w:hyperlink>
        </w:p>
        <w:p>
          <w:pPr>
            <w:pStyle w:val="TOC2"/>
            <w:tabs>
              <w:tab w:val="clear" w:pos="8789"/>
              <w:tab w:val="right" w:pos="9071" w:leader="dot"/>
            </w:tabs>
            <w:rPr/>
          </w:pPr>
          <w:hyperlink w:anchor="__RefHeading___Toc4539_2567261957">
            <w:r>
              <w:rPr>
                <w:webHidden/>
                <w:rStyle w:val="IndexLink"/>
              </w:rPr>
              <w:t>4.6 Ethical and social impact</w:t>
              <w:tab/>
              <w:t>29</w:t>
            </w:r>
          </w:hyperlink>
        </w:p>
        <w:p>
          <w:pPr>
            <w:pStyle w:val="TOC2"/>
            <w:tabs>
              <w:tab w:val="clear" w:pos="8789"/>
              <w:tab w:val="right" w:pos="9071" w:leader="dot"/>
            </w:tabs>
            <w:rPr/>
          </w:pPr>
          <w:hyperlink w:anchor="__RefHeading___Toc4541_2567261957">
            <w:r>
              <w:rPr>
                <w:webHidden/>
                <w:rStyle w:val="IndexLink"/>
              </w:rPr>
              <w:t>4.7 Current limitations</w:t>
              <w:tab/>
              <w:t>29</w:t>
            </w:r>
          </w:hyperlink>
        </w:p>
        <w:p>
          <w:pPr>
            <w:pStyle w:val="TOC2"/>
            <w:tabs>
              <w:tab w:val="clear" w:pos="8789"/>
              <w:tab w:val="right" w:pos="9071" w:leader="dot"/>
            </w:tabs>
            <w:rPr/>
          </w:pPr>
          <w:hyperlink w:anchor="__RefHeading___Toc4543_2567261957">
            <w:r>
              <w:rPr>
                <w:webHidden/>
                <w:rStyle w:val="IndexLink"/>
              </w:rPr>
              <w:t>4.8 Future improvements and roadmap</w:t>
              <w:tab/>
              <w:t>29</w:t>
            </w:r>
          </w:hyperlink>
        </w:p>
        <w:p>
          <w:pPr>
            <w:pStyle w:val="TOC2"/>
            <w:tabs>
              <w:tab w:val="clear" w:pos="8789"/>
              <w:tab w:val="right" w:pos="9071" w:leader="dot"/>
            </w:tabs>
            <w:rPr/>
          </w:pPr>
          <w:hyperlink w:anchor="__RefHeading___Toc4545_2567261957">
            <w:r>
              <w:rPr>
                <w:webHidden/>
                <w:rStyle w:val="IndexLink"/>
              </w:rPr>
              <w:t>4.9 Risks and mitigations</w:t>
              <w:tab/>
              <w:t>30</w:t>
            </w:r>
          </w:hyperlink>
        </w:p>
        <w:p>
          <w:pPr>
            <w:pStyle w:val="TOC2"/>
            <w:tabs>
              <w:tab w:val="clear" w:pos="8789"/>
              <w:tab w:val="right" w:pos="9071" w:leader="dot"/>
            </w:tabs>
            <w:rPr/>
          </w:pPr>
          <w:hyperlink w:anchor="__RefHeading___Toc4547_2567261957">
            <w:r>
              <w:rPr>
                <w:webHidden/>
                <w:rStyle w:val="IndexLink"/>
              </w:rPr>
              <w:t>4.10 SWOT summary</w:t>
              <w:tab/>
              <w:t>30</w:t>
            </w:r>
          </w:hyperlink>
        </w:p>
        <w:p>
          <w:pPr>
            <w:pStyle w:val="TOC1"/>
            <w:tabs>
              <w:tab w:val="clear" w:pos="9072"/>
              <w:tab w:val="right" w:pos="9071" w:leader="dot"/>
            </w:tabs>
            <w:rPr/>
          </w:pPr>
          <w:hyperlink w:anchor="__RefHeading___Toc4549_2567261957">
            <w:r>
              <w:rPr>
                <w:webHidden/>
                <w:rStyle w:val="IndexLink"/>
              </w:rPr>
              <w:t>5 Conclusion</w:t>
              <w:tab/>
              <w:t>31</w:t>
            </w:r>
          </w:hyperlink>
        </w:p>
        <w:p>
          <w:pPr>
            <w:pStyle w:val="TOC1"/>
            <w:tabs>
              <w:tab w:val="clear" w:pos="9072"/>
              <w:tab w:val="right" w:pos="9071" w:leader="dot"/>
            </w:tabs>
            <w:rPr/>
          </w:pPr>
          <w:hyperlink w:anchor="__RefHeading___Toc4551_2567261957">
            <w:r>
              <w:rPr>
                <w:webHidden/>
                <w:rStyle w:val="IndexLink"/>
              </w:rPr>
              <w:t>Appendices</w:t>
              <w:tab/>
              <w:t>32</w:t>
            </w:r>
          </w:hyperlink>
        </w:p>
        <w:p>
          <w:pPr>
            <w:pStyle w:val="TOC2"/>
            <w:tabs>
              <w:tab w:val="clear" w:pos="8789"/>
              <w:tab w:val="right" w:pos="9071" w:leader="dot"/>
            </w:tabs>
            <w:rPr/>
          </w:pPr>
          <w:hyperlink w:anchor="__RefHeading___Toc4553_2567261957">
            <w:r>
              <w:rPr>
                <w:webHidden/>
                <w:rStyle w:val="IndexLink"/>
              </w:rPr>
              <w:t>Appendix A. Evidence charts</w:t>
              <w:tab/>
              <w:t>32</w:t>
            </w:r>
          </w:hyperlink>
        </w:p>
        <w:p>
          <w:pPr>
            <w:pStyle w:val="TOC2"/>
            <w:tabs>
              <w:tab w:val="clear" w:pos="8789"/>
              <w:tab w:val="right" w:pos="9071" w:leader="dot"/>
            </w:tabs>
            <w:rPr/>
          </w:pPr>
          <w:hyperlink w:anchor="__RefHeading___Toc4555_2567261957">
            <w:r>
              <w:rPr>
                <w:webHidden/>
                <w:rStyle w:val="IndexLink"/>
              </w:rPr>
              <w:t>Appendix B. Delivery timeline</w:t>
              <w:tab/>
              <w:t>33</w:t>
            </w:r>
          </w:hyperlink>
        </w:p>
        <w:p>
          <w:pPr>
            <w:pStyle w:val="TOC2"/>
            <w:tabs>
              <w:tab w:val="clear" w:pos="8789"/>
              <w:tab w:val="right" w:pos="9071" w:leader="dot"/>
            </w:tabs>
            <w:rPr/>
          </w:pPr>
          <w:hyperlink w:anchor="__RefHeading___Toc4557_2567261957">
            <w:r>
              <w:rPr>
                <w:webHidden/>
                <w:rStyle w:val="IndexLink"/>
              </w:rPr>
              <w:t>Appendix C. Additional screenshots</w:t>
              <w:tab/>
              <w:t>34</w:t>
            </w:r>
          </w:hyperlink>
        </w:p>
        <w:p>
          <w:pPr>
            <w:pStyle w:val="TOC2"/>
            <w:tabs>
              <w:tab w:val="clear" w:pos="8789"/>
              <w:tab w:val="right" w:pos="9071" w:leader="dot"/>
            </w:tabs>
            <w:rPr/>
          </w:pPr>
          <w:hyperlink w:anchor="__RefHeading___Toc4559_2567261957">
            <w:r>
              <w:rPr>
                <w:webHidden/>
                <w:rStyle w:val="IndexLink"/>
              </w:rPr>
              <w:t>Appendix D. Sample output</w:t>
              <w:tab/>
              <w:t>35</w:t>
            </w:r>
          </w:hyperlink>
        </w:p>
        <w:p>
          <w:pPr>
            <w:pStyle w:val="TOC2"/>
            <w:tabs>
              <w:tab w:val="clear" w:pos="8789"/>
              <w:tab w:val="right" w:pos="9071" w:leader="dot"/>
            </w:tabs>
            <w:rPr/>
          </w:pPr>
          <w:hyperlink w:anchor="__RefHeading___Toc4561_2567261957">
            <w:r>
              <w:rPr>
                <w:webHidden/>
                <w:rStyle w:val="IndexLink"/>
              </w:rPr>
              <w:t>Appendix E. Technology detail</w:t>
              <w:tab/>
              <w:t>36</w:t>
            </w:r>
          </w:hyperlink>
        </w:p>
        <w:p>
          <w:pPr>
            <w:pStyle w:val="TOC2"/>
            <w:tabs>
              <w:tab w:val="clear" w:pos="8789"/>
              <w:tab w:val="right" w:pos="9071" w:leader="dot"/>
            </w:tabs>
            <w:rPr/>
          </w:pPr>
          <w:hyperlink w:anchor="__RefHeading___Toc4563_2567261957">
            <w:r>
              <w:rPr>
                <w:webHidden/>
                <w:rStyle w:val="IndexLink"/>
              </w:rPr>
              <w:t>Appendix F. Glossary</w:t>
              <w:tab/>
              <w:t>36</w:t>
            </w:r>
          </w:hyperlink>
        </w:p>
        <w:p>
          <w:pPr>
            <w:pStyle w:val="TOC2"/>
            <w:tabs>
              <w:tab w:val="clear" w:pos="8789"/>
              <w:tab w:val="right" w:pos="9071" w:leader="dot"/>
            </w:tabs>
            <w:rPr/>
          </w:pPr>
          <w:hyperlink w:anchor="__RefHeading___Toc4565_2567261957">
            <w:r>
              <w:rPr>
                <w:webHidden/>
                <w:rStyle w:val="IndexLink"/>
              </w:rPr>
              <w:t>Appendix G. How to evaluate InsightfulCell</w:t>
              <w:tab/>
              <w:t>37</w:t>
            </w:r>
          </w:hyperlink>
        </w:p>
        <w:p>
          <w:pPr>
            <w:pStyle w:val="TOC2"/>
            <w:tabs>
              <w:tab w:val="clear" w:pos="8789"/>
              <w:tab w:val="right" w:pos="9071" w:leader="dot"/>
            </w:tabs>
            <w:rPr/>
          </w:pPr>
          <w:hyperlink w:anchor="__RefHeading___Toc4567_2567261957">
            <w:r>
              <w:rPr>
                <w:webHidden/>
                <w:rStyle w:val="IndexLink"/>
              </w:rPr>
              <w:t>Appendix H. Acknowledgements and attribution</w:t>
              <w:tab/>
              <w:t>37</w:t>
            </w:r>
          </w:hyperlink>
        </w:p>
        <w:p>
          <w:pPr>
            <w:pStyle w:val="TOC1"/>
            <w:tabs>
              <w:tab w:val="clear" w:pos="9072"/>
              <w:tab w:val="right" w:pos="9071" w:leader="dot"/>
            </w:tabs>
            <w:rPr/>
          </w:pPr>
          <w:hyperlink w:anchor="__RefHeading___Toc4569_2567261957">
            <w:r>
              <w:rPr>
                <w:webHidden/>
                <w:rStyle w:val="IndexLink"/>
              </w:rPr>
              <w:t>References</w:t>
              <w:tab/>
              <w:t>39</w:t>
            </w:r>
          </w:hyperlink>
          <w:r>
            <w:rPr>
              <w:rStyle w:val="IndexLink"/>
            </w:rPr>
            <w:fldChar w:fldCharType="end"/>
          </w:r>
        </w:p>
      </w:sdtContent>
    </w:sdt>
    <w:p>
      <w:pPr>
        <w:pStyle w:val="Heading1"/>
        <w:rPr/>
      </w:pPr>
      <w:bookmarkStart w:id="0" w:name="__RefHeading___Toc4463_2567261957"/>
      <w:bookmarkStart w:id="1" w:name="executive-summary"/>
      <w:bookmarkEnd w:id="0"/>
      <w:r>
        <w:rPr/>
        <w:t>Executive summary</w:t>
      </w:r>
    </w:p>
    <w:p>
      <w:pPr>
        <w:pStyle w:val="FirstParagraph"/>
        <w:rPr/>
      </w:pPr>
      <w:r>
        <w:rPr/>
        <w:t>InsightfulCell is a one-stop solution for data analysis: upload a spreadsheet and receive a cleaned dataset, statistically tested findings, checked charts and maps, and a plain-language report in which every number traces back to the test that produced it.</w:t>
      </w:r>
    </w:p>
    <w:p>
      <w:pPr>
        <w:pStyle w:val="BodyText"/>
        <w:rPr/>
      </w:pPr>
      <w:r>
        <w:rPr/>
        <w:t>Organisations of every size now hold more data than they have people to analyse it. They face a trust gap. General AI assistants are easy to use, but they can invent numbers, hide how they cleaned the data and need the raw rows. Business intelligence and statistics tools are accurate, but they need a trained analyst to prepare the data and choose the tests.</w:t>
      </w:r>
    </w:p>
    <w:p>
      <w:pPr>
        <w:pStyle w:val="BodyText"/>
        <w:rPr/>
      </w:pPr>
      <w:r>
        <w:rPr/>
        <w:t>InsightfulCell closes that gap with a strict division of labour. Code computes every number: parsing, cleaning, statistical tests, chart values and map values. An AI model, when one is switched on, only plans the questions and phrases the sentences, and everything it writes is verified against stored facts before anyone sees it. Raw rows never reach an AI model, and the product works fully without one.</w:t>
      </w:r>
    </w:p>
    <w:p>
      <w:pPr>
        <w:pStyle w:val="BodyText"/>
        <w:rPr/>
      </w:pPr>
      <w:r>
        <w:rPr>
          <w:b/>
          <w:bCs/>
        </w:rPr>
        <w:t>Key results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535"/>
        <w:gridCol w:w="4536"/>
      </w:tblGrid>
      <w:tr>
        <w:trPr>
          <w:tblHeader w:val="true"/>
          <w:cantSplit w:val="true"/>
        </w:trPr>
        <w:tc>
          <w:tcPr>
            <w:tcW w:w="4535"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Result</w:t>
            </w:r>
          </w:p>
        </w:tc>
        <w:tc>
          <w:tcPr>
            <w:tcW w:w="4536"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Evidence</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14 seconds from upload to report</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5,000 rows × 19 columns on the 1 GB live server, 22 October 2026</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0 of 22 cross-tenant attacks succeeded</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99-check security test, 18 October 2026</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31 of 31 planted errors rejected</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Sentence verifier evaluation, run with every test suite</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1,439 chart and map values recomputed, 0 withheld</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Zomato case study, 25 October 2026</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1,275 automated tests; 93.04% backend coverage</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Quality gate, 24 October 2026</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US$0 model cost on the live site</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Rules plan the analysis and the engine writes the report</w:t>
            </w:r>
          </w:p>
        </w:tc>
      </w:tr>
    </w:tbl>
    <w:p>
      <w:pPr>
        <w:pStyle w:val="BodyText"/>
        <w:rPr/>
      </w:pPr>
      <w:r>
        <w:rPr/>
        <w:t>InsightfulCell serves small and medium businesses, community organisations, students, researchers and consultants who need defensible answers without an analyst. It runs on a single free-tier cloud server for about US$3.60 a month (estimated), and with an AI model switched on, a measured analysis costs about US$0.02 in model fees.</w:t>
      </w:r>
    </w:p>
    <w:p>
      <w:pPr>
        <w:pStyle w:val="BodyText"/>
        <w:rPr/>
      </w:pPr>
      <w:bookmarkStart w:id="2" w:name="executive-summary"/>
      <w:r>
        <w:rPr/>
        <w:t>Next, users will ask questions of their data in plain language and the service gains staging, monitoring and rate limits (Release 1 alpha, 11 December 2026), followed by team workspaces and shared reports (Release 2 beta, 12 March 2027).</w:t>
      </w:r>
      <w:bookmarkEnd w:id="2"/>
    </w:p>
    <w:p>
      <w:pPr>
        <w:pStyle w:val="Heading1"/>
        <w:rPr/>
      </w:pPr>
      <w:bookmarkStart w:id="3" w:name="__RefHeading___Toc4465_2567261957"/>
      <w:bookmarkStart w:id="4" w:name="introduction-and-background"/>
      <w:bookmarkEnd w:id="3"/>
      <w:r>
        <w:rPr>
          <w:rStyle w:val="SectionNumber"/>
        </w:rPr>
        <w:t>1</w:t>
      </w:r>
      <w:r>
        <w:rPr/>
        <w:tab/>
        <w:t>Introduction and background</w:t>
      </w:r>
    </w:p>
    <w:p>
      <w:pPr>
        <w:pStyle w:val="Heading2"/>
        <w:rPr/>
      </w:pPr>
      <w:bookmarkStart w:id="5" w:name="__RefHeading___Toc4467_2567261957"/>
      <w:bookmarkStart w:id="6" w:name="background"/>
      <w:bookmarkEnd w:id="5"/>
      <w:r>
        <w:rPr>
          <w:rStyle w:val="SectionNumber"/>
        </w:rPr>
        <w:t>1.1</w:t>
      </w:r>
      <w:r>
        <w:rPr/>
        <w:tab/>
        <w:t>Background</w:t>
      </w:r>
    </w:p>
    <w:p>
      <w:pPr>
        <w:pStyle w:val="FirstParagraph"/>
        <w:rPr/>
      </w:pPr>
      <w:r>
        <w:rPr/>
        <w:t>Australia had 2,814,778 actively trading businesses at 30 June 2026, and 996,203 of them employed staff (Australian Bureau of Statistics [ABS], 2026). Most are small. They keep sales, bookings, survey and operations data in spreadsheets, yet few employ anyone whose job is statistics. Community organisations, public-sector teams and students are in the same position: the data exists, the analyst does not.</w:t>
      </w:r>
    </w:p>
    <w:p>
      <w:pPr>
        <w:pStyle w:val="BodyText"/>
        <w:rPr/>
      </w:pPr>
      <w:bookmarkStart w:id="7" w:name="background"/>
      <w:r>
        <w:rPr/>
        <w:t>Generative AI made analysis feel easy, but fluent text is not the same as correct numbers. Language models are known to produce confident statements that their inputs do not support, a behaviour the research literature calls hallucination (Ji et al., 2023). For a business decision, an invented average is worse than no answer.</w:t>
      </w:r>
      <w:bookmarkEnd w:id="7"/>
    </w:p>
    <w:p>
      <w:pPr>
        <w:pStyle w:val="Heading2"/>
        <w:rPr/>
      </w:pPr>
      <w:bookmarkStart w:id="8" w:name="__RefHeading___Toc4469_2567261957"/>
      <w:bookmarkStart w:id="9" w:name="problem-statement"/>
      <w:bookmarkEnd w:id="8"/>
      <w:r>
        <w:rPr>
          <w:rStyle w:val="SectionNumber"/>
        </w:rPr>
        <w:t>1.2</w:t>
      </w:r>
      <w:r>
        <w:rPr/>
        <w:tab/>
        <w:t>Problem statement</w:t>
      </w:r>
    </w:p>
    <w:p>
      <w:pPr>
        <w:pStyle w:val="FirstParagraph"/>
        <w:rPr/>
      </w:pPr>
      <w:r>
        <w:rPr/>
        <w:t>People who own data choose today between two imperfect options, compared in Table 1.</w:t>
      </w:r>
    </w:p>
    <w:p>
      <w:pPr>
        <w:pStyle w:val="TableCaption"/>
        <w:rPr/>
      </w:pPr>
      <w:r>
        <w:rPr/>
        <w:t>Table 1. The trust gap between the two common options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024"/>
        <w:gridCol w:w="3024"/>
        <w:gridCol w:w="3024"/>
      </w:tblGrid>
      <w:tr>
        <w:trPr>
          <w:tblHeader w:val="true"/>
          <w:cantSplit w:val="true"/>
        </w:trPr>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kern w:val="0"/>
                <w:szCs w:val="24"/>
                <w:lang w:val="en-AU" w:eastAsia="en-US" w:bidi="ar-SA"/>
              </w:rPr>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General AI assistants</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BI and statistics tools</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Ease of use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High: ask in plain words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Low: needs a trained analyst</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Numbers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Can be invented, with no way to check where they came from</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Correct when used correctly</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Data cleaning</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Invisible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Manual, and easy to get wrong</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Raw data</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Sent to the AI provider</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Stays local</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Many tests at once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Rarely corrected for chance findings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Depends on the analyst</w:t>
            </w:r>
          </w:p>
        </w:tc>
      </w:tr>
    </w:tbl>
    <w:p>
      <w:pPr>
        <w:pStyle w:val="BodyText"/>
        <w:rPr/>
      </w:pPr>
      <w:bookmarkStart w:id="10" w:name="problem-statement"/>
      <w:r>
        <w:rPr/>
        <w:t>The gap is trust: the easy option cannot be trusted, and the trustworthy option is not easy.</w:t>
      </w:r>
      <w:bookmarkEnd w:id="10"/>
    </w:p>
    <w:p>
      <w:pPr>
        <w:pStyle w:val="Heading2"/>
        <w:rPr/>
      </w:pPr>
      <w:bookmarkStart w:id="11" w:name="__RefHeading___Toc4471_2567261957"/>
      <w:bookmarkEnd w:id="11"/>
      <w:r>
        <w:rPr>
          <w:rStyle w:val="SectionNumber"/>
        </w:rPr>
        <w:t>1.3</w:t>
      </w:r>
      <w:r>
        <w:rPr/>
        <w:tab/>
        <w:t>The idea</w:t>
      </w:r>
    </w:p>
    <w:p>
      <w:pPr>
        <w:pStyle w:val="FirstParagraph"/>
        <w:rPr/>
      </w:pPr>
      <w:r>
        <w:rPr/>
        <w:t xml:space="preserve">We started from one question: </w:t>
      </w:r>
      <w:r>
        <w:rPr>
          <w:i/>
          <w:iCs/>
        </w:rPr>
        <w:t>can analysing your own data be as easy as asking an assistant, and as trustworthy as the work of a careful analyst?</w:t>
      </w:r>
      <w:r>
        <w:rPr/>
        <w:t xml:space="preserve"> We turned it into four principles, in priority order, so that a conflict between them always has an answer (Table 2).</w:t>
      </w:r>
    </w:p>
    <w:p>
      <w:pPr>
        <w:pStyle w:val="TableCaption"/>
        <w:rPr/>
      </w:pPr>
      <w:r>
        <w:rPr/>
        <w:t>Table 2. The four principles and what each one required</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024"/>
        <w:gridCol w:w="3024"/>
        <w:gridCol w:w="3024"/>
      </w:tblGrid>
      <w:tr>
        <w:trPr>
          <w:tblHeader w:val="true"/>
          <w:cantSplit w:val="true"/>
        </w:trPr>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Priority</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Principle</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What it required us to build</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1</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Correctness over fluency</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Sentences whose numbers are filled in by code; a seven-check sentence verifier; charts withheld on any mismatch</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2</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Traceability</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Unchangeable, hashed records of every finding; a source chip on every number; a reproducible cleaning recipe</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3</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Privacy</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Personal data masked the moment a file is read; no rows ever sent to an AI model; isolation enforced by the database</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4</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Simplicity</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One codebase; one database that also runs the job queue; a complete product with no AI model at all</w:t>
            </w:r>
            <w:bookmarkStart w:id="12" w:name="the-idea"/>
            <w:bookmarkEnd w:id="12"/>
          </w:p>
        </w:tc>
      </w:tr>
    </w:tbl>
    <w:p>
      <w:pPr>
        <w:pStyle w:val="Heading2"/>
        <w:rPr/>
      </w:pPr>
      <w:bookmarkStart w:id="13" w:name="__RefHeading___Toc4473_2567261957"/>
      <w:bookmarkEnd w:id="13"/>
      <w:r>
        <w:rPr>
          <w:rStyle w:val="SectionNumber"/>
        </w:rPr>
        <w:t>1.4</w:t>
      </w:r>
      <w:r>
        <w:rPr/>
        <w:tab/>
        <w:t>Objectives</w:t>
      </w:r>
    </w:p>
    <w:p>
      <w:pPr>
        <w:pStyle w:val="TableCaption"/>
        <w:rPr/>
      </w:pPr>
      <w:r>
        <w:rPr/>
        <w:t>Table 3. Project objectives and their status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267"/>
        <w:gridCol w:w="2268"/>
        <w:gridCol w:w="2268"/>
        <w:gridCol w:w="2268"/>
      </w:tblGrid>
      <w:tr>
        <w:trPr>
          <w:tblHeader w:val="true"/>
          <w:cantSplit w:val="true"/>
        </w:trPr>
        <w:tc>
          <w:tcPr>
            <w:tcW w:w="2267"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Objective</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Measure</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Status</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Evidence</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Turn a spreadsheet into a checked report without an analyst</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Upload to report in under a minute for a typical file</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Achieved</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14 s for 5,000 × 19 on the live server; 25 s for the 9,551-row case study, including the review step</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Make every number traceable</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Every number in the report links to a stored test</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Achieved</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Source chips on every number; 26 facts in the case study</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Control false findings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False alarms limited across each analysis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Achieved</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5% Benjamini–Hochberg control; 0 reliable findings on a pure-noise dataset</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Keep raw data away from AI</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No row or personal value reaches a model</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Achieved</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Masked description only; payload block; demo runs with no model</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Run reliably in public</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Live, secure, tested service</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Achieved</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Live on AWS since 22 October 2026; 0 of 22 cross-tenant attacks</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Answer questions in plain language</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Questions answered with the same checks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In progress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Planned for Release 1 alpha (11 December 2026)</w:t>
            </w:r>
          </w:p>
        </w:tc>
      </w:tr>
    </w:tbl>
    <w:p>
      <w:pPr>
        <w:pStyle w:val="Heading2"/>
        <w:rPr/>
      </w:pPr>
      <w:bookmarkStart w:id="14" w:name="__RefHeading___Toc4475_2567261957"/>
      <w:bookmarkEnd w:id="14"/>
      <w:r>
        <w:rPr>
          <w:rStyle w:val="SectionNumber"/>
        </w:rPr>
        <w:t>1.5</w:t>
      </w:r>
      <w:r>
        <w:rPr/>
        <w:tab/>
        <w:t>Project plan and execution</w:t>
      </w:r>
    </w:p>
    <w:p>
      <w:pPr>
        <w:pStyle w:val="FirstParagraph"/>
        <w:rPr/>
      </w:pPr>
      <w:r>
        <w:rPr/>
        <w:t>We wrote the requirements and the system design on 7 October 2026, then built in staged releases, each closed only when every automated quality gate passed. Figure 1 shows the 15 days from the first commit to a live product: sign-in and uploads (8–9 October), the job queue and the first analysis steps (10 October), testing, verified writing, checked charts and exports (11 October), review modes and deletion (16–17 October), a deep system test (18 October), cost controls (21 October) and the public launch on Amazon Web Services (22 October).</w:t>
      </w:r>
    </w:p>
    <w:p>
      <w:pPr>
        <w:pStyle w:val="CaptionedFigure"/>
        <w:jc w:val="center"/>
        <w:rPr/>
      </w:pPr>
      <w:r>
        <w:rPr/>
        <w:drawing>
          <wp:inline distT="0" distB="0" distL="0" distR="0">
            <wp:extent cx="5486400" cy="2571750"/>
            <wp:effectExtent l="0" t="0" r="0" b="0"/>
            <wp:docPr id="1" name="Picture" descr="Figure 1. Commits per day from the first commit to the live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Commits per day from the first commit to the live product"/>
                    <pic:cNvPicPr>
                      <a:picLocks noChangeAspect="1" noChangeArrowheads="1"/>
                    </pic:cNvPicPr>
                  </pic:nvPicPr>
                  <pic:blipFill>
                    <a:blip r:embed="rId8"/>
                    <a:stretch>
                      <a:fillRect/>
                    </a:stretch>
                  </pic:blipFill>
                  <pic:spPr bwMode="auto">
                    <a:xfrm>
                      <a:off x="0" y="0"/>
                      <a:ext cx="5486400" cy="2571750"/>
                    </a:xfrm>
                    <a:prstGeom prst="rect">
                      <a:avLst/>
                    </a:prstGeom>
                  </pic:spPr>
                </pic:pic>
              </a:graphicData>
            </a:graphic>
          </wp:inline>
        </w:drawing>
      </w:r>
    </w:p>
    <w:p>
      <w:pPr>
        <w:pStyle w:val="ImageCaption"/>
        <w:rPr/>
      </w:pPr>
      <w:r>
        <w:rPr/>
        <w:t>Figure 1. Commits per day from the first commit to the live product</w:t>
      </w:r>
    </w:p>
    <w:p>
      <w:pPr>
        <w:pStyle w:val="Heading2"/>
        <w:rPr/>
      </w:pPr>
      <w:bookmarkStart w:id="15" w:name="__RefHeading___Toc4477_2567261957"/>
      <w:bookmarkStart w:id="16" w:name="scope-of-this-report"/>
      <w:bookmarkEnd w:id="15"/>
      <w:r>
        <w:rPr>
          <w:rStyle w:val="SectionNumber"/>
        </w:rPr>
        <w:t>1.6</w:t>
      </w:r>
      <w:r>
        <w:rPr/>
        <w:tab/>
        <w:t>Scope of this report</w:t>
      </w:r>
    </w:p>
    <w:p>
      <w:pPr>
        <w:pStyle w:val="FirstParagraph"/>
        <w:rPr/>
      </w:pPr>
      <w:bookmarkStart w:id="17" w:name="introduction-and-background"/>
      <w:bookmarkStart w:id="18" w:name="scope-of-this-report"/>
      <w:r>
        <w:rPr/>
        <w:t>This report covers InsightfulCell as built and live on 25 October 2026. Features that are planned but not built are marked with their target release. Section 2 follows a user through the product, Section 3 explains how we engineered it, and Section 4 discusses its value, limitations and future.</w:t>
      </w:r>
      <w:bookmarkEnd w:id="17"/>
      <w:bookmarkEnd w:id="18"/>
    </w:p>
    <w:p>
      <w:pPr>
        <w:pStyle w:val="Heading1"/>
        <w:rPr/>
      </w:pPr>
      <w:bookmarkStart w:id="19" w:name="__RefHeading___Toc4479_2567261957"/>
      <w:bookmarkEnd w:id="19"/>
      <w:r>
        <w:rPr>
          <w:rStyle w:val="SectionNumber"/>
        </w:rPr>
        <w:t>2</w:t>
      </w:r>
      <w:r>
        <w:rPr/>
        <w:tab/>
        <w:t>The product: InsightfulCell</w:t>
      </w:r>
    </w:p>
    <w:p>
      <w:pPr>
        <w:pStyle w:val="Heading2"/>
        <w:rPr/>
      </w:pPr>
      <w:bookmarkStart w:id="20" w:name="__RefHeading___Toc4481_2567261957"/>
      <w:bookmarkEnd w:id="20"/>
      <w:r>
        <w:rPr>
          <w:rStyle w:val="SectionNumber"/>
        </w:rPr>
        <w:t>2.1</w:t>
      </w:r>
      <w:r>
        <w:rPr/>
        <w:tab/>
        <w:t>Product at a glance</w:t>
      </w:r>
    </w:p>
    <w:p>
      <w:pPr>
        <w:pStyle w:val="FirstParagraph"/>
        <w:rPr/>
      </w:pPr>
      <w:r>
        <w:rPr/>
        <w:t>InsightfulCell takes a file from upload to a shareable, checked report in six stages: upload, understand, clean, analyse, explain, and explore and share. Throughout this section we follow one real case study: the public Zomato restaurants dataset (9,551 restaurants in 15 countries, 21 columns, released into the public domain on Kaggle), analysed in Manual mode on 25 October 2026. Every screenshot and number below comes from that analysis.</w:t>
      </w:r>
    </w:p>
    <w:p>
      <w:pPr>
        <w:pStyle w:val="TableCaption"/>
        <w:rPr/>
      </w:pPr>
      <w:r>
        <w:rPr/>
        <w:t>Table 4. The six stages a user moves through</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024"/>
        <w:gridCol w:w="3024"/>
        <w:gridCol w:w="3024"/>
      </w:tblGrid>
      <w:tr>
        <w:trPr>
          <w:tblHeader w:val="true"/>
          <w:cantSplit w:val="true"/>
        </w:trPr>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Stage</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What the user does</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What InsightfulCell does</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Upload</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Drops a file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Stores it securely, detects duplicates</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Understand</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Nothing</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Identifies each column’s meaning; masks personal data</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Clean</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Reviews proposed changes (Manual mode)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Proposes fixes; applies approved ones to a copy</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Analyse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Nothing</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Tests every planned question with false-alarm control</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Explain</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Reads the report</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Writes verified sentences; checks every chart value</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Explore and share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Checks rows, explores a group, downloads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Opens the data, runs follow-ups, exports four formats</w:t>
            </w:r>
            <w:bookmarkStart w:id="21" w:name="product-at-a-glance"/>
            <w:bookmarkEnd w:id="21"/>
          </w:p>
        </w:tc>
      </w:tr>
    </w:tbl>
    <w:p>
      <w:pPr>
        <w:pStyle w:val="Heading2"/>
        <w:rPr/>
      </w:pPr>
      <w:bookmarkStart w:id="22" w:name="__RefHeading___Toc4483_2567261957"/>
      <w:bookmarkEnd w:id="22"/>
      <w:r>
        <w:rPr>
          <w:rStyle w:val="SectionNumber"/>
        </w:rPr>
        <w:t>2.2</w:t>
      </w:r>
      <w:r>
        <w:rPr/>
        <w:tab/>
        <w:t>Upload any spreadsheet</w:t>
      </w:r>
    </w:p>
    <w:p>
      <w:pPr>
        <w:pStyle w:val="FirstParagraph"/>
        <w:rPr/>
      </w:pPr>
      <w:r>
        <w:rPr>
          <w:b/>
          <w:bCs/>
        </w:rPr>
        <w:t>What it does:</w:t>
      </w:r>
      <w:r>
        <w:rPr/>
        <w:t xml:space="preserve"> accepts CSV, TSV, Excel, Parquet and JSON files up to 250 MB and sends them straight from the browser to secure storage in 8 MB parts.</w:t>
      </w:r>
    </w:p>
    <w:p>
      <w:pPr>
        <w:pStyle w:val="BodyText"/>
        <w:rPr/>
      </w:pPr>
      <w:r>
        <w:rPr>
          <w:b/>
          <w:bCs/>
        </w:rPr>
        <w:t>Why it matters:</w:t>
      </w:r>
      <w:r>
        <w:rPr/>
        <w:t xml:space="preserve"> large files upload quickly and the user never waits on our servers; uploading the same file twice stores nothing new.</w:t>
      </w:r>
    </w:p>
    <w:p>
      <w:pPr>
        <w:pStyle w:val="BodyText"/>
        <w:rPr/>
      </w:pPr>
      <w:r>
        <w:rPr>
          <w:b/>
          <w:bCs/>
        </w:rPr>
        <w:t>Proof:</w:t>
      </w:r>
      <w:r>
        <w:rPr/>
        <w:t xml:space="preserve"> the browser fingerprints each file while it uploads, and the server recognises an identical file: “You already uploaded this exact file” (Figure 2).</w:t>
      </w:r>
    </w:p>
    <w:p>
      <w:pPr>
        <w:pStyle w:val="CaptionedFigure"/>
        <w:jc w:val="center"/>
        <w:rPr/>
      </w:pPr>
      <w:r>
        <w:rPr/>
        <w:drawing>
          <wp:inline distT="0" distB="0" distL="0" distR="0">
            <wp:extent cx="5486400" cy="3429000"/>
            <wp:effectExtent l="0" t="0" r="0" b="0"/>
            <wp:docPr id="2" name="Image2" descr="Figure 2. The Zomato file saved, and the notice shown when the same file is uploaded ag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The Zomato file saved, and the notice shown when the same file is uploaded again"/>
                    <pic:cNvPicPr>
                      <a:picLocks noChangeAspect="1" noChangeArrowheads="1"/>
                    </pic:cNvPicPr>
                  </pic:nvPicPr>
                  <pic:blipFill>
                    <a:blip r:embed="rId9"/>
                    <a:stretch>
                      <a:fillRect/>
                    </a:stretch>
                  </pic:blipFill>
                  <pic:spPr bwMode="auto">
                    <a:xfrm>
                      <a:off x="0" y="0"/>
                      <a:ext cx="5486400" cy="3429000"/>
                    </a:xfrm>
                    <a:prstGeom prst="rect">
                      <a:avLst/>
                    </a:prstGeom>
                  </pic:spPr>
                </pic:pic>
              </a:graphicData>
            </a:graphic>
          </wp:inline>
        </w:drawing>
      </w:r>
    </w:p>
    <w:p>
      <w:pPr>
        <w:pStyle w:val="ImageCaption"/>
        <w:rPr/>
      </w:pPr>
      <w:r>
        <w:rPr/>
        <w:t>Figure 2. The Zomato file saved, and the notice shown when the same file is uploaded again</w:t>
      </w:r>
    </w:p>
    <w:p>
      <w:pPr>
        <w:pStyle w:val="Heading2"/>
        <w:rPr/>
      </w:pPr>
      <w:bookmarkStart w:id="23" w:name="__RefHeading___Toc4485_2567261957"/>
      <w:bookmarkStart w:id="24" w:name="X2c4eb658a867e8e2bf801fc9a50db8c9b57c1e7"/>
      <w:bookmarkEnd w:id="23"/>
      <w:r>
        <w:rPr>
          <w:rStyle w:val="SectionNumber"/>
        </w:rPr>
        <w:t>2.3</w:t>
      </w:r>
      <w:r>
        <w:rPr/>
        <w:tab/>
        <w:t>Automatic understanding and privacy protection</w:t>
      </w:r>
    </w:p>
    <w:p>
      <w:pPr>
        <w:pStyle w:val="FirstParagraph"/>
        <w:rPr/>
      </w:pPr>
      <w:r>
        <w:rPr>
          <w:b/>
          <w:bCs/>
        </w:rPr>
        <w:t>What it does:</w:t>
      </w:r>
      <w:r>
        <w:rPr/>
        <w:t xml:space="preserve"> reads every row, decides what each column means (a measure, money, a percentage, a category, a date, a place, an identifier or free text) and masks eight kinds of personal data before anything else reads the values.</w:t>
      </w:r>
    </w:p>
    <w:p>
      <w:pPr>
        <w:pStyle w:val="BodyText"/>
        <w:rPr/>
      </w:pPr>
      <w:r>
        <w:rPr>
          <w:b/>
          <w:bCs/>
        </w:rPr>
        <w:t>Why it matters:</w:t>
      </w:r>
      <w:r>
        <w:rPr/>
        <w:t xml:space="preserve"> the type of a column decides which tests are fair, and personal data never enters the analysis.</w:t>
      </w:r>
    </w:p>
    <w:p>
      <w:pPr>
        <w:pStyle w:val="BodyText"/>
        <w:rPr/>
      </w:pPr>
      <w:r>
        <w:rPr>
          <w:b/>
          <w:bCs/>
        </w:rPr>
        <w:t>Proof:</w:t>
      </w:r>
      <w:r>
        <w:rPr/>
        <w:t xml:space="preserve"> in the case study, the restaurant names and street addresses were masked and left out of the analysis (Figure 3).</w:t>
      </w:r>
    </w:p>
    <w:p>
      <w:pPr>
        <w:pStyle w:val="CaptionedFigure"/>
        <w:jc w:val="center"/>
        <w:rPr/>
      </w:pPr>
      <w:r>
        <w:rPr/>
        <w:drawing>
          <wp:inline distT="0" distB="0" distL="0" distR="0">
            <wp:extent cx="5486400" cy="3429000"/>
            <wp:effectExtent l="0" t="0" r="0" b="0"/>
            <wp:docPr id="3" name="Image3" descr="Figure 3. The analysis plan for the Zomato file, with its masked columns and the 20 planne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The analysis plan for the Zomato file, with its masked columns and the 20 planned questions"/>
                    <pic:cNvPicPr>
                      <a:picLocks noChangeAspect="1" noChangeArrowheads="1"/>
                    </pic:cNvPicPr>
                  </pic:nvPicPr>
                  <pic:blipFill>
                    <a:blip r:embed="rId10"/>
                    <a:stretch>
                      <a:fillRect/>
                    </a:stretch>
                  </pic:blipFill>
                  <pic:spPr bwMode="auto">
                    <a:xfrm>
                      <a:off x="0" y="0"/>
                      <a:ext cx="5486400" cy="3429000"/>
                    </a:xfrm>
                    <a:prstGeom prst="rect">
                      <a:avLst/>
                    </a:prstGeom>
                  </pic:spPr>
                </pic:pic>
              </a:graphicData>
            </a:graphic>
          </wp:inline>
        </w:drawing>
      </w:r>
    </w:p>
    <w:p>
      <w:pPr>
        <w:pStyle w:val="ImageCaption"/>
        <w:rPr/>
      </w:pPr>
      <w:bookmarkStart w:id="25" w:name="X2c4eb658a867e8e2bf801fc9a50db8c9b57c1e7"/>
      <w:r>
        <w:rPr/>
        <w:t>Figure 3. The analysis plan for the Zomato file, with its masked columns and the 20 planned questions</w:t>
      </w:r>
      <w:bookmarkEnd w:id="25"/>
    </w:p>
    <w:p>
      <w:pPr>
        <w:pStyle w:val="Heading2"/>
        <w:rPr/>
      </w:pPr>
      <w:bookmarkStart w:id="26" w:name="__RefHeading___Toc4487_2567261957"/>
      <w:bookmarkStart w:id="27" w:name="cleaning-you-can-review"/>
      <w:bookmarkEnd w:id="26"/>
      <w:r>
        <w:rPr>
          <w:rStyle w:val="SectionNumber"/>
        </w:rPr>
        <w:t>2.4</w:t>
      </w:r>
      <w:r>
        <w:rPr/>
        <w:tab/>
        <w:t>Cleaning you can review</w:t>
      </w:r>
    </w:p>
    <w:p>
      <w:pPr>
        <w:pStyle w:val="FirstParagraph"/>
        <w:rPr/>
      </w:pPr>
      <w:r>
        <w:rPr>
          <w:b/>
          <w:bCs/>
        </w:rPr>
        <w:t>What it does:</w:t>
      </w:r>
      <w:r>
        <w:rPr/>
        <w:t xml:space="preserve"> proposes fixes of 14 kinds, each either safe (it keeps every value) or able to remove or replace values. In Automatic mode (the default) all are applied. In Manual mode the analysis stops at a review step, showing each data-changing fix with “Now” and “After” examples and the rows affected.</w:t>
      </w:r>
    </w:p>
    <w:p>
      <w:pPr>
        <w:pStyle w:val="BodyText"/>
        <w:rPr/>
      </w:pPr>
      <w:r>
        <w:rPr>
          <w:b/>
          <w:bCs/>
        </w:rPr>
        <w:t>Why it matters:</w:t>
      </w:r>
      <w:r>
        <w:rPr/>
        <w:t xml:space="preserve"> the user, not a rule, decides anything that could change the truth of the data. The original file is never modified, and a downloadable Python recipe rebuilds the cleaned table.</w:t>
      </w:r>
    </w:p>
    <w:p>
      <w:pPr>
        <w:pStyle w:val="BodyText"/>
        <w:rPr/>
      </w:pPr>
      <w:r>
        <w:rPr>
          <w:b/>
          <w:bCs/>
        </w:rPr>
        <w:t>Proof:</w:t>
      </w:r>
      <w:r>
        <w:rPr/>
        <w:t xml:space="preserve"> for the Zomato file, InsightfulCell applied 6 safe changes and stopped on one: merging “Mangalore” into “Bangalore” because the names are spelt alike (20 rows). They are different cities, so the reviewer kept the values as they were (Figure 4).</w:t>
      </w:r>
    </w:p>
    <w:p>
      <w:pPr>
        <w:pStyle w:val="CaptionedFigure"/>
        <w:jc w:val="center"/>
        <w:rPr/>
      </w:pPr>
      <w:r>
        <w:rPr/>
        <w:drawing>
          <wp:inline distT="0" distB="0" distL="0" distR="0">
            <wp:extent cx="5486400" cy="817245"/>
            <wp:effectExtent l="0" t="0" r="0" b="0"/>
            <wp:docPr id="4" name="Image4" descr="Figure 4. The review step: one proposed merge, kept as it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review step: one proposed merge, kept as it is"/>
                    <pic:cNvPicPr>
                      <a:picLocks noChangeAspect="1" noChangeArrowheads="1"/>
                    </pic:cNvPicPr>
                  </pic:nvPicPr>
                  <pic:blipFill>
                    <a:blip r:embed="rId11"/>
                    <a:stretch>
                      <a:fillRect/>
                    </a:stretch>
                  </pic:blipFill>
                  <pic:spPr bwMode="auto">
                    <a:xfrm>
                      <a:off x="0" y="0"/>
                      <a:ext cx="5486400" cy="817245"/>
                    </a:xfrm>
                    <a:prstGeom prst="rect">
                      <a:avLst/>
                    </a:prstGeom>
                  </pic:spPr>
                </pic:pic>
              </a:graphicData>
            </a:graphic>
          </wp:inline>
        </w:drawing>
      </w:r>
    </w:p>
    <w:p>
      <w:pPr>
        <w:pStyle w:val="ImageCaption"/>
        <w:rPr/>
      </w:pPr>
      <w:bookmarkStart w:id="28" w:name="cleaning-you-can-review"/>
      <w:r>
        <w:rPr/>
        <w:t>Figure 4. The review step: one proposed merge, kept as it is</w:t>
      </w:r>
      <w:bookmarkEnd w:id="28"/>
    </w:p>
    <w:p>
      <w:pPr>
        <w:pStyle w:val="Heading2"/>
        <w:rPr/>
      </w:pPr>
      <w:bookmarkStart w:id="29" w:name="__RefHeading___Toc4489_2567261957"/>
      <w:bookmarkStart w:id="30" w:name="statistically-tested-findings"/>
      <w:bookmarkEnd w:id="29"/>
      <w:r>
        <w:rPr>
          <w:rStyle w:val="SectionNumber"/>
        </w:rPr>
        <w:t>2.5</w:t>
      </w:r>
      <w:r>
        <w:rPr/>
        <w:tab/>
        <w:t>Statistically tested findings</w:t>
      </w:r>
    </w:p>
    <w:p>
      <w:pPr>
        <w:pStyle w:val="FirstParagraph"/>
        <w:rPr/>
      </w:pPr>
      <w:r>
        <w:rPr>
          <w:b/>
          <w:bCs/>
        </w:rPr>
        <w:t>What it does:</w:t>
      </w:r>
      <w:r>
        <w:rPr/>
        <w:t xml:space="preserve"> answers each planned question with one proper statistical test, using nine analysis methods (distributions, relationships, trends, group differences, unusual rows, drivers of an outcome, missing values as a signal, groups against the overall, and whether a pattern holds within groups).</w:t>
      </w:r>
    </w:p>
    <w:p>
      <w:pPr>
        <w:pStyle w:val="BodyText"/>
        <w:rPr/>
      </w:pPr>
      <w:r>
        <w:rPr>
          <w:b/>
          <w:bCs/>
        </w:rPr>
        <w:t>Why it matters:</w:t>
      </w:r>
      <w:r>
        <w:rPr/>
        <w:t xml:space="preserve"> when you run many tests, some look significant by chance; InsightfulCell limits those false alarms to 5% across the whole analysis (Benjamini &amp; Hochberg, 1995). Each finding then gets an honest evidence tier: Strong evidence, Supported, Not reliable or Descriptive. The ten strongest reliable findings are re-tested on data with only safe changes, to show whether they depend on the cleaning.</w:t>
      </w:r>
    </w:p>
    <w:p>
      <w:pPr>
        <w:pStyle w:val="BodyText"/>
        <w:rPr/>
      </w:pPr>
      <w:r>
        <w:rPr>
          <w:b/>
          <w:bCs/>
        </w:rPr>
        <w:t>Proof:</w:t>
      </w:r>
      <w:r>
        <w:rPr/>
        <w:t xml:space="preserve"> the case study ran 10 tests and all 10 passed the control. One reads: “Price range and Aggregate rating rise together: the link is moderate (rank correlation 0.50; 95% interval 0.48 to 0.51)” (Figure 5).</w:t>
      </w:r>
    </w:p>
    <w:p>
      <w:pPr>
        <w:pStyle w:val="CaptionedFigure"/>
        <w:jc w:val="center"/>
        <w:rPr/>
      </w:pPr>
      <w:r>
        <w:rPr/>
        <w:drawing>
          <wp:inline distT="0" distB="0" distL="0" distR="0">
            <wp:extent cx="5486400" cy="116378990"/>
            <wp:effectExtent l="0" t="0" r="0" b="0"/>
            <wp:docPr id="5" name="Image5" descr="Figure 5. One answer in the report, with its checked chart and evidence ba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One answer in the report, with its checked chart and evidence badge"/>
                    <pic:cNvPicPr>
                      <a:picLocks noChangeAspect="1" noChangeArrowheads="1"/>
                    </pic:cNvPicPr>
                  </pic:nvPicPr>
                  <pic:blipFill>
                    <a:blip r:embed="rId12"/>
                    <a:stretch>
                      <a:fillRect/>
                    </a:stretch>
                  </pic:blipFill>
                  <pic:spPr bwMode="auto">
                    <a:xfrm>
                      <a:off x="0" y="0"/>
                      <a:ext cx="5486400" cy="116378990"/>
                    </a:xfrm>
                    <a:prstGeom prst="rect">
                      <a:avLst/>
                    </a:prstGeom>
                  </pic:spPr>
                </pic:pic>
              </a:graphicData>
            </a:graphic>
          </wp:inline>
        </w:drawing>
      </w:r>
    </w:p>
    <w:p>
      <w:pPr>
        <w:pStyle w:val="ImageCaption"/>
        <w:rPr/>
      </w:pPr>
      <w:bookmarkStart w:id="31" w:name="statistically-tested-findings"/>
      <w:r>
        <w:rPr/>
        <w:t>Figure 5. One answer in the report, with its checked chart and evidence badge</w:t>
      </w:r>
      <w:bookmarkEnd w:id="31"/>
    </w:p>
    <w:p>
      <w:pPr>
        <w:pStyle w:val="Heading2"/>
        <w:rPr/>
      </w:pPr>
      <w:bookmarkStart w:id="32" w:name="__RefHeading___Toc4491_2567261957"/>
      <w:bookmarkStart w:id="33" w:name="Xe104ac70dfde5c836f4588005105472d157623e"/>
      <w:bookmarkEnd w:id="32"/>
      <w:r>
        <w:rPr>
          <w:rStyle w:val="SectionNumber"/>
        </w:rPr>
        <w:t>2.6</w:t>
      </w:r>
      <w:r>
        <w:rPr/>
        <w:tab/>
        <w:t>A report where every number shows its work</w:t>
      </w:r>
    </w:p>
    <w:p>
      <w:pPr>
        <w:pStyle w:val="FirstParagraph"/>
        <w:rPr/>
      </w:pPr>
      <w:r>
        <w:rPr>
          <w:b/>
          <w:bCs/>
        </w:rPr>
        <w:t>What it does:</w:t>
      </w:r>
      <w:r>
        <w:rPr/>
        <w:t xml:space="preserve"> every finding is stored as an unchangeable fact with its test, rows, interval and a content hash. Sentences are written with numbered slots that the engine fills from those facts, and each sentence passes seven checks before it is kept.</w:t>
      </w:r>
    </w:p>
    <w:p>
      <w:pPr>
        <w:pStyle w:val="BodyText"/>
        <w:rPr/>
      </w:pPr>
      <w:r>
        <w:rPr>
          <w:b/>
          <w:bCs/>
        </w:rPr>
        <w:t>Why it matters:</w:t>
      </w:r>
      <w:r>
        <w:rPr/>
        <w:t xml:space="preserve"> a writer, human or AI, cannot put a wrong number into the report, and any reader can click a source chip to see the evidence.</w:t>
      </w:r>
    </w:p>
    <w:p>
      <w:pPr>
        <w:pStyle w:val="BodyText"/>
        <w:rPr/>
      </w:pPr>
      <w:r>
        <w:rPr>
          <w:b/>
          <w:bCs/>
        </w:rPr>
        <w:t>Proof:</w:t>
      </w:r>
      <w:r>
        <w:rPr/>
        <w:t xml:space="preserve"> Table 5 shows what the writer produced and what the reader sees; Figure 6 shows the fact behind it.</w:t>
      </w:r>
    </w:p>
    <w:p>
      <w:pPr>
        <w:pStyle w:val="TableCaption"/>
        <w:rPr/>
      </w:pPr>
      <w:r>
        <w:rPr/>
        <w:t>Table 5. The writer leaves slots; the engine fills them from the stored fact</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535"/>
        <w:gridCol w:w="4536"/>
      </w:tblGrid>
      <w:tr>
        <w:trPr>
          <w:tblHeader w:val="true"/>
          <w:cantSplit w:val="true"/>
        </w:trPr>
        <w:tc>
          <w:tcPr>
            <w:tcW w:w="4535"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The writer produces</w:t>
            </w:r>
          </w:p>
        </w:tc>
        <w:tc>
          <w:tcPr>
            <w:tcW w:w="4536"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The reader sees</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w:t>
            </w:r>
            <w:r>
              <w:rPr>
                <w:kern w:val="0"/>
                <w:sz w:val="20"/>
                <w:szCs w:val="24"/>
                <w:lang w:val="en-AU" w:eastAsia="en-US" w:bidi="ar-SA"/>
              </w:rPr>
              <w:t>Price range and Aggregate rating rise together: the link is moderate (rank correlation {F10.1}; 95% interval {F10.2} to {F10.3}).”</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w:t>
            </w:r>
            <w:r>
              <w:rPr>
                <w:kern w:val="0"/>
                <w:sz w:val="20"/>
                <w:szCs w:val="24"/>
                <w:lang w:val="en-AU" w:eastAsia="en-US" w:bidi="ar-SA"/>
              </w:rPr>
              <w:t>Price range and Aggregate rating rise together: the link is moderate (rank correlation 0.50; 95% interval 0.48 to 0.51).” F10</w:t>
            </w:r>
          </w:p>
        </w:tc>
      </w:tr>
    </w:tbl>
    <w:p>
      <w:pPr>
        <w:pStyle w:val="CaptionedFigure"/>
        <w:jc w:val="center"/>
        <w:rPr/>
      </w:pPr>
      <w:r>
        <w:rPr/>
        <w:drawing>
          <wp:inline distT="0" distB="0" distL="0" distR="0">
            <wp:extent cx="5486400" cy="3429000"/>
            <wp:effectExtent l="0" t="0" r="0" b="0"/>
            <wp:docPr id="6" name="Image6" descr="Figure 6. A source chip opened: the fact’s test, evidence tier, columns, rows and content h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A source chip opened: the fact’s test, evidence tier, columns, rows and content hash"/>
                    <pic:cNvPicPr>
                      <a:picLocks noChangeAspect="1" noChangeArrowheads="1"/>
                    </pic:cNvPicPr>
                  </pic:nvPicPr>
                  <pic:blipFill>
                    <a:blip r:embed="rId13"/>
                    <a:stretch>
                      <a:fillRect/>
                    </a:stretch>
                  </pic:blipFill>
                  <pic:spPr bwMode="auto">
                    <a:xfrm>
                      <a:off x="0" y="0"/>
                      <a:ext cx="5486400" cy="3429000"/>
                    </a:xfrm>
                    <a:prstGeom prst="rect">
                      <a:avLst/>
                    </a:prstGeom>
                  </pic:spPr>
                </pic:pic>
              </a:graphicData>
            </a:graphic>
          </wp:inline>
        </w:drawing>
      </w:r>
    </w:p>
    <w:p>
      <w:pPr>
        <w:pStyle w:val="ImageCaption"/>
        <w:rPr/>
      </w:pPr>
      <w:bookmarkStart w:id="34" w:name="Xe104ac70dfde5c836f4588005105472d157623e"/>
      <w:r>
        <w:rPr/>
        <w:t>Figure 6. A source chip opened: the fact’s test, evidence tier, columns, rows and content hash</w:t>
      </w:r>
      <w:bookmarkEnd w:id="34"/>
    </w:p>
    <w:p>
      <w:pPr>
        <w:pStyle w:val="Heading2"/>
        <w:rPr/>
      </w:pPr>
      <w:bookmarkStart w:id="35" w:name="__RefHeading___Toc4493_2567261957"/>
      <w:bookmarkStart w:id="36" w:name="dashboards-maps-and-exploration"/>
      <w:bookmarkEnd w:id="35"/>
      <w:r>
        <w:rPr>
          <w:rStyle w:val="SectionNumber"/>
        </w:rPr>
        <w:t>2.7</w:t>
      </w:r>
      <w:r>
        <w:rPr/>
        <w:tab/>
        <w:t>Dashboards, maps and exploration</w:t>
      </w:r>
    </w:p>
    <w:p>
      <w:pPr>
        <w:pStyle w:val="FirstParagraph"/>
        <w:rPr/>
      </w:pPr>
      <w:r>
        <w:rPr>
          <w:b/>
          <w:bCs/>
        </w:rPr>
        <w:t>What it does:</w:t>
      </w:r>
      <w:r>
        <w:rPr/>
        <w:t xml:space="preserve"> assembles a dashboard of headline tiles, top findings and maps. Before any chart is shown, every value it draws is recomputed by its own query; a chart that disagrees is withheld. Places are matched offline to 237 countries, the states and provinces of 9 countries, and Australian postcodes. “See the data” opens the original rows beside the report, with personal columns hidden, and “Explore” runs a follow-up analysis of one group, marked exploratory.</w:t>
      </w:r>
    </w:p>
    <w:p>
      <w:pPr>
        <w:pStyle w:val="BodyText"/>
        <w:rPr/>
      </w:pPr>
      <w:r>
        <w:rPr>
          <w:b/>
          <w:bCs/>
        </w:rPr>
        <w:t>Why it matters:</w:t>
      </w:r>
      <w:r>
        <w:rPr/>
        <w:t xml:space="preserve"> no chart shows a value the data does not hold, no place name leaves the server, and users can check any finding against real rows.</w:t>
      </w:r>
    </w:p>
    <w:p>
      <w:pPr>
        <w:pStyle w:val="BodyText"/>
        <w:rPr/>
      </w:pPr>
      <w:r>
        <w:rPr>
          <w:b/>
          <w:bCs/>
        </w:rPr>
        <w:t>Proof:</w:t>
      </w:r>
      <w:r>
        <w:rPr/>
        <w:t xml:space="preserve"> the case study recomputed 1,439 values across 21 charts and 1 map and withheld none; the restaurants’ coordinates matched to states of India for 85% of rows (Figure 7).</w:t>
      </w:r>
    </w:p>
    <w:p>
      <w:pPr>
        <w:pStyle w:val="CaptionedFigure"/>
        <w:jc w:val="center"/>
        <w:rPr/>
      </w:pPr>
      <w:r>
        <w:rPr/>
        <w:drawing>
          <wp:inline distT="0" distB="0" distL="0" distR="0">
            <wp:extent cx="5486400" cy="3429000"/>
            <wp:effectExtent l="0" t="0" r="0" b="0"/>
            <wp:docPr id="7" name="Image7" descr="Figure 7. The Zomato dashboard: headline tiles with evidence badges and source c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The Zomato dashboard: headline tiles with evidence badges and source chips"/>
                    <pic:cNvPicPr>
                      <a:picLocks noChangeAspect="1" noChangeArrowheads="1"/>
                    </pic:cNvPicPr>
                  </pic:nvPicPr>
                  <pic:blipFill>
                    <a:blip r:embed="rId14"/>
                    <a:stretch>
                      <a:fillRect/>
                    </a:stretch>
                  </pic:blipFill>
                  <pic:spPr bwMode="auto">
                    <a:xfrm>
                      <a:off x="0" y="0"/>
                      <a:ext cx="5486400" cy="3429000"/>
                    </a:xfrm>
                    <a:prstGeom prst="rect">
                      <a:avLst/>
                    </a:prstGeom>
                  </pic:spPr>
                </pic:pic>
              </a:graphicData>
            </a:graphic>
          </wp:inline>
        </w:drawing>
      </w:r>
    </w:p>
    <w:p>
      <w:pPr>
        <w:pStyle w:val="ImageCaption"/>
        <w:rPr/>
      </w:pPr>
      <w:bookmarkStart w:id="37" w:name="dashboards-maps-and-exploration"/>
      <w:r>
        <w:rPr/>
        <w:t>Figure 7. The Zomato dashboard: headline tiles with evidence badges and source chips</w:t>
      </w:r>
      <w:bookmarkEnd w:id="37"/>
    </w:p>
    <w:p>
      <w:pPr>
        <w:pStyle w:val="Heading2"/>
        <w:rPr/>
      </w:pPr>
      <w:bookmarkStart w:id="38" w:name="__RefHeading___Toc4495_2567261957"/>
      <w:bookmarkStart w:id="39" w:name="download-and-share"/>
      <w:bookmarkEnd w:id="38"/>
      <w:r>
        <w:rPr>
          <w:rStyle w:val="SectionNumber"/>
        </w:rPr>
        <w:t>2.8</w:t>
      </w:r>
      <w:r>
        <w:rPr/>
        <w:tab/>
        <w:t>Download and share</w:t>
      </w:r>
    </w:p>
    <w:p>
      <w:pPr>
        <w:pStyle w:val="FirstParagraph"/>
        <w:rPr/>
      </w:pPr>
      <w:r>
        <w:rPr>
          <w:b/>
          <w:bCs/>
        </w:rPr>
        <w:t>What it does:</w:t>
      </w:r>
      <w:r>
        <w:rPr/>
        <w:t xml:space="preserve"> exports the report as PDF (A4 pages), Word (editable), Markdown (plain text with tables) or HTML (one self-contained page).</w:t>
      </w:r>
    </w:p>
    <w:p>
      <w:pPr>
        <w:pStyle w:val="BodyText"/>
        <w:rPr/>
      </w:pPr>
      <w:r>
        <w:rPr>
          <w:b/>
          <w:bCs/>
        </w:rPr>
        <w:t>Why it matters:</w:t>
      </w:r>
      <w:r>
        <w:rPr/>
        <w:t xml:space="preserve"> findings travel to the people who need them in the format they already use, with every source kept.</w:t>
      </w:r>
    </w:p>
    <w:p>
      <w:pPr>
        <w:pStyle w:val="BodyText"/>
        <w:rPr/>
      </w:pPr>
      <w:r>
        <w:rPr>
          <w:b/>
          <w:bCs/>
        </w:rPr>
        <w:t>Proof:</w:t>
      </w:r>
      <w:r>
        <w:rPr/>
        <w:t xml:space="preserve"> all four formats carry the same verified sentences, charts and source list (Figure 8).</w:t>
      </w:r>
    </w:p>
    <w:p>
      <w:pPr>
        <w:pStyle w:val="CaptionedFigure"/>
        <w:jc w:val="center"/>
        <w:rPr/>
      </w:pPr>
      <w:r>
        <w:rPr/>
        <w:drawing>
          <wp:inline distT="0" distB="0" distL="0" distR="0">
            <wp:extent cx="4114800" cy="2571750"/>
            <wp:effectExtent l="0" t="0" r="0" b="0"/>
            <wp:docPr id="8" name="Image8" descr="Figure 8. The Download menu with its four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 The Download menu with its four formats"/>
                    <pic:cNvPicPr>
                      <a:picLocks noChangeAspect="1" noChangeArrowheads="1"/>
                    </pic:cNvPicPr>
                  </pic:nvPicPr>
                  <pic:blipFill>
                    <a:blip r:embed="rId15"/>
                    <a:stretch>
                      <a:fillRect/>
                    </a:stretch>
                  </pic:blipFill>
                  <pic:spPr bwMode="auto">
                    <a:xfrm>
                      <a:off x="0" y="0"/>
                      <a:ext cx="4114800" cy="2571750"/>
                    </a:xfrm>
                    <a:prstGeom prst="rect">
                      <a:avLst/>
                    </a:prstGeom>
                  </pic:spPr>
                </pic:pic>
              </a:graphicData>
            </a:graphic>
          </wp:inline>
        </w:drawing>
      </w:r>
    </w:p>
    <w:p>
      <w:pPr>
        <w:pStyle w:val="ImageCaption"/>
        <w:rPr/>
      </w:pPr>
      <w:bookmarkStart w:id="40" w:name="download-and-share"/>
      <w:r>
        <w:rPr/>
        <w:t>Figure 8. The Download menu with its four formats</w:t>
      </w:r>
      <w:bookmarkEnd w:id="40"/>
    </w:p>
    <w:p>
      <w:pPr>
        <w:pStyle w:val="Heading2"/>
        <w:rPr/>
      </w:pPr>
      <w:bookmarkStart w:id="41" w:name="__RefHeading___Toc4497_2567261957"/>
      <w:bookmarkEnd w:id="41"/>
      <w:r>
        <w:rPr>
          <w:rStyle w:val="SectionNumber"/>
        </w:rPr>
        <w:t>2.9</w:t>
      </w:r>
      <w:r>
        <w:rPr/>
        <w:tab/>
        <w:t>Works with or without AI</w:t>
      </w:r>
    </w:p>
    <w:p>
      <w:pPr>
        <w:pStyle w:val="FirstParagraph"/>
        <w:rPr/>
      </w:pPr>
      <w:r>
        <w:rPr>
          <w:b/>
          <w:bCs/>
        </w:rPr>
        <w:t>What it does:</w:t>
      </w:r>
      <w:r>
        <w:rPr/>
        <w:t xml:space="preserve"> with no AI model, built-in rules plan the analysis and the engine writes every sentence from the facts. An optional model from one of four providers can refine the plan and phrase the sentences. A backup model answers if the main provider fails, and a hard spending cap in Australian dollars is reserved before every request, so it can never be exceeded.</w:t>
      </w:r>
    </w:p>
    <w:p>
      <w:pPr>
        <w:pStyle w:val="BodyText"/>
        <w:rPr/>
      </w:pPr>
      <w:r>
        <w:rPr>
          <w:b/>
          <w:bCs/>
        </w:rPr>
        <w:t>Why it matters:</w:t>
      </w:r>
      <w:r>
        <w:rPr/>
        <w:t xml:space="preserve"> the product is resilient to provider outages and costs nothing to run without a model; adding one improves wording, not correctness.</w:t>
      </w:r>
    </w:p>
    <w:p>
      <w:pPr>
        <w:pStyle w:val="BodyText"/>
        <w:rPr/>
      </w:pPr>
      <w:r>
        <w:rPr>
          <w:b/>
          <w:bCs/>
        </w:rPr>
        <w:t>Proof:</w:t>
      </w:r>
      <w:r>
        <w:rPr/>
        <w:t xml:space="preserve"> the live site runs without any model at US$0 in model fees; with the default model, a measured analysis cost about US$0.02 (Table 6).</w:t>
      </w:r>
    </w:p>
    <w:p>
      <w:pPr>
        <w:pStyle w:val="TableCaption"/>
        <w:rPr/>
      </w:pPr>
      <w:r>
        <w:rPr/>
        <w:t>Table 6. Who plans and who writes in each mode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267"/>
        <w:gridCol w:w="2268"/>
        <w:gridCol w:w="2268"/>
        <w:gridCol w:w="2268"/>
      </w:tblGrid>
      <w:tr>
        <w:trPr>
          <w:tblHeader w:val="true"/>
          <w:cantSplit w:val="true"/>
        </w:trPr>
        <w:tc>
          <w:tcPr>
            <w:tcW w:w="2267"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Mode</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Plans the analysis</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Writes the sentences</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Model cost per analysis</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No AI model (live site)</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Built-in rules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Engine templates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US$0</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Default model</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Rules, refined by the model and validated</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Model, verified; engine on failure</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About US$0.02 (measured, 10 analyses)</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Premium model</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As above</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As above</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About US$0.26 (design budget)</w:t>
            </w:r>
            <w:bookmarkStart w:id="42" w:name="works-with-or-without-ai"/>
            <w:bookmarkEnd w:id="42"/>
          </w:p>
        </w:tc>
      </w:tr>
    </w:tbl>
    <w:p>
      <w:pPr>
        <w:pStyle w:val="Heading2"/>
        <w:rPr/>
      </w:pPr>
      <w:bookmarkStart w:id="43" w:name="__RefHeading___Toc4499_2567261957"/>
      <w:bookmarkEnd w:id="43"/>
      <w:r>
        <w:rPr>
          <w:rStyle w:val="SectionNumber"/>
        </w:rPr>
        <w:t>2.10</w:t>
      </w:r>
      <w:r>
        <w:rPr/>
        <w:tab/>
        <w:t>Accessible by design</w:t>
      </w:r>
    </w:p>
    <w:p>
      <w:pPr>
        <w:pStyle w:val="FirstParagraph"/>
        <w:rPr/>
      </w:pPr>
      <w:r>
        <w:rPr>
          <w:b/>
          <w:bCs/>
        </w:rPr>
        <w:t>What it does:</w:t>
      </w:r>
      <w:r>
        <w:rPr/>
        <w:t xml:space="preserve"> supports full keyboard use, screen readers, touch targets of at least 44 pixels, reduced motion, a dark theme and phone-width layouts.</w:t>
      </w:r>
    </w:p>
    <w:p>
      <w:pPr>
        <w:pStyle w:val="BodyText"/>
        <w:rPr/>
      </w:pPr>
      <w:r>
        <w:rPr>
          <w:b/>
          <w:bCs/>
        </w:rPr>
        <w:t>Why it matters:</w:t>
      </w:r>
      <w:r>
        <w:rPr/>
        <w:t xml:space="preserve"> people who use assistive technology, or only a phone, can analyse their data too.</w:t>
      </w:r>
    </w:p>
    <w:p>
      <w:pPr>
        <w:pStyle w:val="BodyText"/>
        <w:rPr/>
      </w:pPr>
      <w:r>
        <w:rPr>
          <w:b/>
          <w:bCs/>
        </w:rPr>
        <w:t>Proof:</w:t>
      </w:r>
      <w:r>
        <w:rPr/>
        <w:t xml:space="preserve"> automated accessibility checks against WCAG 2.2 level AA (World Wide Web Consortium [W3C], 2023) found 0 violations across 24 pages and states, and no page scrolls sideways at 390 pixels (Figure 9).</w:t>
      </w:r>
    </w:p>
    <w:p>
      <w:pPr>
        <w:pStyle w:val="CaptionedFigure"/>
        <w:jc w:val="center"/>
        <w:rPr/>
      </w:pPr>
      <w:r>
        <w:rPr/>
        <w:drawing>
          <wp:inline distT="0" distB="0" distL="0" distR="0">
            <wp:extent cx="5486400" cy="3429000"/>
            <wp:effectExtent l="0" t="0" r="0" b="0"/>
            <wp:docPr id="9" name="Image9" descr="Figure 9. The dashboard in the dark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The dashboard in the dark theme"/>
                    <pic:cNvPicPr>
                      <a:picLocks noChangeAspect="1" noChangeArrowheads="1"/>
                    </pic:cNvPicPr>
                  </pic:nvPicPr>
                  <pic:blipFill>
                    <a:blip r:embed="rId16"/>
                    <a:stretch>
                      <a:fillRect/>
                    </a:stretch>
                  </pic:blipFill>
                  <pic:spPr bwMode="auto">
                    <a:xfrm>
                      <a:off x="0" y="0"/>
                      <a:ext cx="5486400" cy="3429000"/>
                    </a:xfrm>
                    <a:prstGeom prst="rect">
                      <a:avLst/>
                    </a:prstGeom>
                  </pic:spPr>
                </pic:pic>
              </a:graphicData>
            </a:graphic>
          </wp:inline>
        </w:drawing>
      </w:r>
    </w:p>
    <w:p>
      <w:pPr>
        <w:pStyle w:val="ImageCaption"/>
        <w:rPr/>
      </w:pPr>
      <w:r>
        <w:rPr/>
        <w:t>Figure 9. The dashboard in the dark theme</w:t>
      </w:r>
    </w:p>
    <w:p>
      <w:pPr>
        <w:pStyle w:val="Heading2"/>
        <w:rPr/>
      </w:pPr>
      <w:bookmarkStart w:id="44" w:name="__RefHeading___Toc4501_2567261957"/>
      <w:bookmarkStart w:id="45" w:name="handling-everyday-situations"/>
      <w:bookmarkEnd w:id="44"/>
      <w:r>
        <w:rPr>
          <w:rStyle w:val="SectionNumber"/>
        </w:rPr>
        <w:t>2.11</w:t>
      </w:r>
      <w:r>
        <w:rPr/>
        <w:tab/>
        <w:t>Handling everyday situations</w:t>
      </w:r>
    </w:p>
    <w:p>
      <w:pPr>
        <w:pStyle w:val="FirstParagraph"/>
        <w:rPr/>
      </w:pPr>
      <w:r>
        <w:rPr/>
        <w:t>Table 7 lists what users see when something unusual happens. Figure 10 shows one of them.</w:t>
      </w:r>
    </w:p>
    <w:p>
      <w:pPr>
        <w:pStyle w:val="TableCaption"/>
        <w:rPr/>
      </w:pPr>
      <w:r>
        <w:rPr/>
        <w:t>Table 7. Everyday situations and what the user sees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535"/>
        <w:gridCol w:w="4536"/>
      </w:tblGrid>
      <w:tr>
        <w:trPr>
          <w:tblHeader w:val="true"/>
          <w:cantSplit w:val="true"/>
        </w:trPr>
        <w:tc>
          <w:tcPr>
            <w:tcW w:w="4535"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Situation</w:t>
            </w:r>
          </w:p>
        </w:tc>
        <w:tc>
          <w:tcPr>
            <w:tcW w:w="4536"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What the user sees</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Wrong file type</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w:t>
            </w:r>
            <w:r>
              <w:rPr>
                <w:kern w:val="0"/>
                <w:sz w:val="20"/>
                <w:szCs w:val="24"/>
                <w:lang w:val="en-AU" w:eastAsia="en-US" w:bidi="ar-SA"/>
              </w:rPr>
              <w:t>This file type isn’t supported”, with the accepted formats</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File too large</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w:t>
            </w:r>
            <w:r>
              <w:rPr>
                <w:kern w:val="0"/>
                <w:sz w:val="20"/>
                <w:szCs w:val="24"/>
                <w:lang w:val="en-AU" w:eastAsia="en-US" w:bidi="ar-SA"/>
              </w:rPr>
              <w:t>The file is too large. Files can be up to 250 MB.”</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Duplicate upload</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w:t>
            </w:r>
            <w:r>
              <w:rPr>
                <w:kern w:val="0"/>
                <w:sz w:val="20"/>
                <w:szCs w:val="24"/>
                <w:lang w:val="en-AU" w:eastAsia="en-US" w:bidi="ar-SA"/>
              </w:rPr>
              <w:t>You already uploaded this exact file”</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Cancel and retry</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w:t>
            </w:r>
            <w:r>
              <w:rPr>
                <w:kern w:val="0"/>
                <w:sz w:val="20"/>
                <w:szCs w:val="24"/>
                <w:lang w:val="en-AU" w:eastAsia="en-US" w:bidi="ar-SA"/>
              </w:rPr>
              <w:t>Cancel this analysis? Finished steps are kept.”; “Try again” resumes from the last saved step</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Queue wait</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w:t>
            </w:r>
            <w:r>
              <w:rPr>
                <w:kern w:val="0"/>
                <w:sz w:val="20"/>
                <w:szCs w:val="24"/>
                <w:lang w:val="en-AU" w:eastAsia="en-US" w:bidi="ar-SA"/>
              </w:rPr>
              <w:t>Queued” until the server is free (one analysis at a time on the demo)</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Expired session</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 return to the sign-in page; nothing is lost</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Withheld chart</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w:t>
            </w:r>
            <w:r>
              <w:rPr>
                <w:kern w:val="0"/>
                <w:sz w:val="20"/>
                <w:szCs w:val="24"/>
                <w:lang w:val="en-AU" w:eastAsia="en-US" w:bidi="ar-SA"/>
              </w:rPr>
              <w:t>A chart for this answer was withheld: one of its values did not match the data when it was checked.”</w:t>
            </w:r>
          </w:p>
        </w:tc>
      </w:tr>
    </w:tbl>
    <w:p>
      <w:pPr>
        <w:pStyle w:val="CaptionedFigure"/>
        <w:jc w:val="center"/>
        <w:rPr/>
      </w:pPr>
      <w:r>
        <w:rPr/>
        <w:drawing>
          <wp:inline distT="0" distB="0" distL="0" distR="0">
            <wp:extent cx="5486400" cy="3429000"/>
            <wp:effectExtent l="0" t="0" r="0" b="0"/>
            <wp:docPr id="10" name="Image10" descr="Figure 10. A PDF refused before up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Figure 10. A PDF refused before upload"/>
                    <pic:cNvPicPr>
                      <a:picLocks noChangeAspect="1" noChangeArrowheads="1"/>
                    </pic:cNvPicPr>
                  </pic:nvPicPr>
                  <pic:blipFill>
                    <a:blip r:embed="rId17"/>
                    <a:stretch>
                      <a:fillRect/>
                    </a:stretch>
                  </pic:blipFill>
                  <pic:spPr bwMode="auto">
                    <a:xfrm>
                      <a:off x="0" y="0"/>
                      <a:ext cx="5486400" cy="3429000"/>
                    </a:xfrm>
                    <a:prstGeom prst="rect">
                      <a:avLst/>
                    </a:prstGeom>
                  </pic:spPr>
                </pic:pic>
              </a:graphicData>
            </a:graphic>
          </wp:inline>
        </w:drawing>
      </w:r>
    </w:p>
    <w:p>
      <w:pPr>
        <w:pStyle w:val="ImageCaption"/>
        <w:rPr/>
      </w:pPr>
      <w:bookmarkStart w:id="46" w:name="handling-everyday-situations"/>
      <w:r>
        <w:rPr/>
        <w:t>Figure 10. A PDF refused before upload</w:t>
      </w:r>
      <w:bookmarkEnd w:id="46"/>
    </w:p>
    <w:p>
      <w:pPr>
        <w:pStyle w:val="Heading2"/>
        <w:rPr/>
      </w:pPr>
      <w:bookmarkStart w:id="47" w:name="__RefHeading___Toc4503_2567261957"/>
      <w:bookmarkEnd w:id="47"/>
      <w:r>
        <w:rPr>
          <w:rStyle w:val="SectionNumber"/>
        </w:rPr>
        <w:t>2.12</w:t>
      </w:r>
      <w:r>
        <w:rPr/>
        <w:tab/>
        <w:t>Feature summary</w:t>
      </w:r>
    </w:p>
    <w:p>
      <w:pPr>
        <w:pStyle w:val="TableCaption"/>
        <w:rPr/>
      </w:pPr>
      <w:r>
        <w:rPr/>
        <w:t>Table 8. Features, benefits and status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024"/>
        <w:gridCol w:w="3024"/>
        <w:gridCol w:w="3024"/>
      </w:tblGrid>
      <w:tr>
        <w:trPr>
          <w:tblHeader w:val="true"/>
          <w:cantSplit w:val="true"/>
        </w:trPr>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Feature</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User benefit</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Status</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Secure upload, five formats, 250 MB, duplicate detection</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Large files, no repeats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Live</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Column meanings and personal-data masking</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Fair tests; private data stays out</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Live</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Automatic and Manual cleaning, recipe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Control over every data-changing fix</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Live</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Nine analysis methods with false-alarm control</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Findings that are not chance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Live</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Verified report with source chips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Every number traceable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Live</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Checked charts and offline maps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No wrong chart is ever shown</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Live</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See the data and Explore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Check rows; follow leads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Live</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PDF, Word, Markdown and HTML</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Share in any format</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Live</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Optional AI with backup model and spending cap</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Better wording, bounded cost</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Live (off on the demo)</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Delete analysis, dataset or account</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Users control their data</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Live</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Questions in plain language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Ask follow-ups in words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Next: Release 1 alpha, 11 December 2026</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Team workspaces and shared reports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Work together</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Next: Release 2 beta, 12 March 2027</w:t>
            </w:r>
            <w:bookmarkStart w:id="48" w:name="the-product-insightfulcell"/>
            <w:bookmarkStart w:id="49" w:name="feature-summary"/>
            <w:bookmarkEnd w:id="48"/>
            <w:bookmarkEnd w:id="49"/>
          </w:p>
        </w:tc>
      </w:tr>
    </w:tbl>
    <w:p>
      <w:pPr>
        <w:pStyle w:val="Heading1"/>
        <w:rPr/>
      </w:pPr>
      <w:bookmarkStart w:id="50" w:name="__RefHeading___Toc4505_2567261957"/>
      <w:bookmarkEnd w:id="50"/>
      <w:r>
        <w:rPr>
          <w:rStyle w:val="SectionNumber"/>
        </w:rPr>
        <w:t>3</w:t>
      </w:r>
      <w:r>
        <w:rPr/>
        <w:tab/>
        <w:t>Methodology: technical implementation</w:t>
      </w:r>
    </w:p>
    <w:p>
      <w:pPr>
        <w:pStyle w:val="Heading2"/>
        <w:rPr/>
      </w:pPr>
      <w:bookmarkStart w:id="51" w:name="__RefHeading___Toc4507_2567261957"/>
      <w:bookmarkStart w:id="52" w:name="development-approach"/>
      <w:bookmarkEnd w:id="51"/>
      <w:r>
        <w:rPr>
          <w:rStyle w:val="SectionNumber"/>
        </w:rPr>
        <w:t>3.1</w:t>
      </w:r>
      <w:r>
        <w:rPr/>
        <w:tab/>
        <w:t>Development approach</w:t>
      </w:r>
    </w:p>
    <w:p>
      <w:pPr>
        <w:pStyle w:val="FirstParagraph"/>
        <w:rPr/>
      </w:pPr>
      <w:r>
        <w:rPr/>
        <w:t>We wrote the requirements and the system design before any code: what the product must do, how each component works and what happens when it fails. We then delivered in staged releases. A stage ended only when the full quality gate passed: formatting, linting, strict type checks, architecture rules, unit and integration tests on a real database, migration checks, the API contract, dependency audits and browser tests. We recorded 20 significant design decisions as decision records, each with its context, the options considered and the consequences (Nygard, 2011); three later decisions are recorded in the code and commit history.</w:t>
      </w:r>
    </w:p>
    <w:p>
      <w:pPr>
        <w:pStyle w:val="BodyText"/>
        <w:rPr/>
      </w:pPr>
      <w:r>
        <w:rPr>
          <w:b/>
          <w:bCs/>
        </w:rPr>
        <w:t>Definition of done.</w:t>
      </w:r>
      <w:r>
        <w:rPr/>
        <w:t xml:space="preserve"> A change is done when it meets its requirement, has tests for the behaviour it changes, passes every quality gate locally and in continuous integration, keeps keyboard and screen-reader behaviour intact, contains no secrets or personal data, and is documented where a user or operator needs it.</w:t>
      </w:r>
      <w:bookmarkEnd w:id="52"/>
    </w:p>
    <w:p>
      <w:pPr>
        <w:pStyle w:val="Heading2"/>
        <w:rPr/>
      </w:pPr>
      <w:bookmarkStart w:id="53" w:name="__RefHeading___Toc4509_2567261957"/>
      <w:bookmarkStart w:id="54" w:name="team-roles-and-task-division"/>
      <w:bookmarkEnd w:id="53"/>
      <w:r>
        <w:rPr>
          <w:rStyle w:val="SectionNumber"/>
        </w:rPr>
        <w:t>3.2</w:t>
      </w:r>
      <w:r>
        <w:rPr/>
        <w:tab/>
        <w:t>Team roles and task division</w:t>
      </w:r>
    </w:p>
    <w:p>
      <w:pPr>
        <w:pStyle w:val="TableCaption"/>
        <w:rPr/>
      </w:pPr>
      <w:r>
        <w:rPr/>
        <w:t>Table 9. Team roles and contributions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267"/>
        <w:gridCol w:w="2268"/>
        <w:gridCol w:w="2268"/>
        <w:gridCol w:w="2268"/>
      </w:tblGrid>
      <w:tr>
        <w:trPr>
          <w:tblHeader w:val="true"/>
          <w:cantSplit w:val="true"/>
        </w:trPr>
        <w:tc>
          <w:tcPr>
            <w:tcW w:w="2267"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Member</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Role</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Responsibilities</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Key deliverables</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Rupesh Ghimire</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Product Owner and Lead Engineer</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Conceived InsightfulCell and sets its direction, from the problem it solves to what ships next; designed the system architecture</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The web app, the API, the background worker and the analysis engine, which cleans the data, runs the statistical tests and writes the verified report; requirements, design decisions, CI and documentation</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Sandesh Prasad Paudel</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Quality Assurance and Deployment Engineer</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Tests InsightfulCell end to end: test planning, functional and regression testing of every user flow, cross-browser, mobile, usability and accessibility checks, and acceptance testing on the live site; took it from a local setup to a live public service</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AWS hosting, domain and secure HTTPS connection; the container build and deployment workflow; backups and storage access; keeping the site running for users and judges</w:t>
            </w:r>
          </w:p>
        </w:tc>
      </w:tr>
    </w:tbl>
    <w:p>
      <w:pPr>
        <w:pStyle w:val="BodyText"/>
        <w:rPr/>
      </w:pPr>
      <w:bookmarkStart w:id="55" w:name="team-roles-and-task-division"/>
      <w:r>
        <w:rPr/>
        <w:t>We worked in one GitHub repository with continuous integration on every push, recorded design decisions as we made them, reviewed each change against the quality gate, and tested every release on the live site.</w:t>
      </w:r>
      <w:bookmarkEnd w:id="55"/>
    </w:p>
    <w:p>
      <w:pPr>
        <w:pStyle w:val="Heading2"/>
        <w:rPr/>
      </w:pPr>
      <w:bookmarkStart w:id="56" w:name="__RefHeading___Toc4511_2567261957"/>
      <w:bookmarkStart w:id="57" w:name="system-architecture"/>
      <w:bookmarkEnd w:id="56"/>
      <w:r>
        <w:rPr>
          <w:rStyle w:val="SectionNumber"/>
        </w:rPr>
        <w:t>3.3</w:t>
      </w:r>
      <w:r>
        <w:rPr/>
        <w:tab/>
        <w:t>System architecture</w:t>
      </w:r>
    </w:p>
    <w:p>
      <w:pPr>
        <w:pStyle w:val="FirstParagraph"/>
        <w:rPr/>
      </w:pPr>
      <w:r>
        <w:rPr/>
        <w:t>InsightfulCell is one codebase that runs as three processes over two stores (Figure 11). The web app renders every page and holds the user’s session; for each request to the API it mints a 15-minute signed token on the server, so the browser never holds an API credential. The API validates requests, enforces permissions and queues work. The worker runs the analysis. PostgreSQL stores the data and also runs the job queue and the live-progress events; Amazon S3 stores the files. An AI model is optional and sees only masked metadata.</w:t>
      </w:r>
    </w:p>
    <w:p>
      <w:pPr>
        <w:pStyle w:val="CaptionedFigure"/>
        <w:jc w:val="center"/>
        <w:rPr/>
      </w:pPr>
      <w:r>
        <w:rPr/>
        <w:drawing>
          <wp:inline distT="0" distB="0" distL="0" distR="0">
            <wp:extent cx="5029200" cy="4811395"/>
            <wp:effectExtent l="0" t="0" r="0" b="0"/>
            <wp:docPr id="11" name="Image11" descr="Figure 11. System architecture: one codebase, three processes, two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Figure 11. System architecture: one codebase, three processes, two stores"/>
                    <pic:cNvPicPr>
                      <a:picLocks noChangeAspect="1" noChangeArrowheads="1"/>
                    </pic:cNvPicPr>
                  </pic:nvPicPr>
                  <pic:blipFill>
                    <a:blip r:embed="rId18"/>
                    <a:stretch>
                      <a:fillRect/>
                    </a:stretch>
                  </pic:blipFill>
                  <pic:spPr bwMode="auto">
                    <a:xfrm>
                      <a:off x="0" y="0"/>
                      <a:ext cx="5029200" cy="4811395"/>
                    </a:xfrm>
                    <a:prstGeom prst="rect">
                      <a:avLst/>
                    </a:prstGeom>
                  </pic:spPr>
                </pic:pic>
              </a:graphicData>
            </a:graphic>
          </wp:inline>
        </w:drawing>
      </w:r>
    </w:p>
    <w:p>
      <w:pPr>
        <w:pStyle w:val="ImageCaption"/>
        <w:rPr/>
      </w:pPr>
      <w:r>
        <w:rPr/>
        <w:t>Figure 11. System architecture: one codebase, three processes, two stores</w:t>
      </w:r>
    </w:p>
    <w:p>
      <w:pPr>
        <w:pStyle w:val="BodyText"/>
        <w:rPr/>
      </w:pPr>
      <w:bookmarkStart w:id="58" w:name="system-architecture"/>
      <w:r>
        <w:rPr/>
        <w:t>This design is simpler, safer and cheaper than a set of separate services. One package serves the API and the worker, so there is one thing to test and deploy. With no message broker or cache to run, there are fewer boundaries to secure, and isolation is enforced once, inside the database. The whole system runs on one small server and scales by adding workers.</w:t>
      </w:r>
      <w:bookmarkEnd w:id="58"/>
    </w:p>
    <w:p>
      <w:pPr>
        <w:pStyle w:val="Heading2"/>
        <w:rPr/>
      </w:pPr>
      <w:bookmarkStart w:id="59" w:name="__RefHeading___Toc4513_2567261957"/>
      <w:bookmarkEnd w:id="59"/>
      <w:r>
        <w:rPr>
          <w:rStyle w:val="SectionNumber"/>
        </w:rPr>
        <w:t>3.4</w:t>
      </w:r>
      <w:r>
        <w:rPr/>
        <w:tab/>
        <w:t>Technology stack</w:t>
      </w:r>
    </w:p>
    <w:p>
      <w:pPr>
        <w:pStyle w:val="TableCaption"/>
        <w:rPr/>
      </w:pPr>
      <w:r>
        <w:rPr/>
        <w:t>Table 10. Technology choices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024"/>
        <w:gridCol w:w="3024"/>
        <w:gridCol w:w="3024"/>
      </w:tblGrid>
      <w:tr>
        <w:trPr>
          <w:tblHeader w:val="true"/>
          <w:cantSplit w:val="true"/>
        </w:trPr>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Layer</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Technology</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Why we chose it</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Web app</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Next.js 16, React 19, TypeScript 5, Tailwind CSS 4</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Fast pages for long reports; a server-side proxy keeps credentials off the browser</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Sign-in</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Better Auth 1</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Accounts, workspaces and signed tokens kept in our own database</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API</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Python 3.13, FastAPI 0.143, Pydantic 2, SQLAlchemy 2</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The same language as the engine; a typed contract shared with the web app</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Job queue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Procrastinate 3 on PostgreSQL</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No extra system to run, secure or back up</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Database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PostgreSQL 18</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Row-level security, full-text search and notifications in one place</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File storage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Amazon S3</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Files go straight to a service built for them, with no stored keys</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Analysis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DuckDB 1, NumPy 2, SciPy 1, scikit-learn 1, Shapely 2</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Fast, memory-limited parsing and standard, proven statistics</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Reports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Jinja2 3, python-docx 1, fpdf2 2</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The same document as HTML, Word and PDF</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AI (optional)</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Gemini, OpenAI, Anthropic or DeepSeek behind one gateway</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Any provider, or none; privacy and cost rules written once</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Hosting</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Docker Compose, Caddy 2, GitHub Actions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Automatic HTTPS; images built in the cloud; one-command deploys</w:t>
            </w:r>
            <w:bookmarkStart w:id="60" w:name="technology-stack"/>
            <w:bookmarkEnd w:id="60"/>
          </w:p>
        </w:tc>
      </w:tr>
    </w:tbl>
    <w:p>
      <w:pPr>
        <w:pStyle w:val="Heading2"/>
        <w:rPr/>
      </w:pPr>
      <w:bookmarkStart w:id="61" w:name="__RefHeading___Toc4515_2567261957"/>
      <w:bookmarkEnd w:id="61"/>
      <w:r>
        <w:rPr>
          <w:rStyle w:val="SectionNumber"/>
        </w:rPr>
        <w:t>3.5</w:t>
      </w:r>
      <w:r>
        <w:rPr/>
        <w:tab/>
        <w:t>How the analysis works</w:t>
      </w:r>
    </w:p>
    <w:p>
      <w:pPr>
        <w:pStyle w:val="FirstParagraph"/>
        <w:rPr/>
      </w:pPr>
      <w:r>
        <w:rPr/>
        <w:t>An analysis runs 12 steps in two parts, separated by the review step (Figure 12). Each step saves its result, so a retry resumes where it stopped.</w:t>
      </w:r>
    </w:p>
    <w:p>
      <w:pPr>
        <w:pStyle w:val="Compact"/>
        <w:numPr>
          <w:ilvl w:val="0"/>
          <w:numId w:val="6"/>
        </w:numPr>
        <w:rPr/>
      </w:pPr>
      <w:r>
        <w:rPr>
          <w:b/>
          <w:bCs/>
        </w:rPr>
        <w:t>Understand.</w:t>
      </w:r>
      <w:r>
        <w:rPr/>
        <w:t xml:space="preserve"> Every row is read into typed columns, personal data is masked, and every column is profiled. Built-in rules plan the questions; an optional AI model may refine the plan from a masked description, and every suggestion is validated.</w:t>
      </w:r>
    </w:p>
    <w:p>
      <w:pPr>
        <w:pStyle w:val="Compact"/>
        <w:numPr>
          <w:ilvl w:val="0"/>
          <w:numId w:val="1"/>
        </w:numPr>
        <w:rPr/>
      </w:pPr>
      <w:r>
        <w:rPr>
          <w:b/>
          <w:bCs/>
        </w:rPr>
        <w:t>Reviewed cleaning.</w:t>
      </w:r>
      <w:r>
        <w:rPr/>
        <w:t xml:space="preserve"> Fixes are proposed and, in Manual mode, decided by the user; they are applied to a copy, alongside a second copy with only the safe changes.</w:t>
      </w:r>
    </w:p>
    <w:p>
      <w:pPr>
        <w:pStyle w:val="Compact"/>
        <w:numPr>
          <w:ilvl w:val="0"/>
          <w:numId w:val="1"/>
        </w:numPr>
        <w:rPr/>
      </w:pPr>
      <w:r>
        <w:rPr>
          <w:b/>
          <w:bCs/>
        </w:rPr>
        <w:t>Signal check.</w:t>
      </w:r>
      <w:r>
        <w:rPr/>
        <w:t xml:space="preserve"> When an outcome is chosen, a derived measure is kept only if it beats all 19 randomly shuffled copies of the outcome.</w:t>
      </w:r>
    </w:p>
    <w:p>
      <w:pPr>
        <w:pStyle w:val="Compact"/>
        <w:numPr>
          <w:ilvl w:val="0"/>
          <w:numId w:val="1"/>
        </w:numPr>
        <w:rPr/>
      </w:pPr>
      <w:r>
        <w:rPr>
          <w:b/>
          <w:bCs/>
        </w:rPr>
        <w:t>Nine methods with false-alarm control.</w:t>
      </w:r>
      <w:r>
        <w:rPr/>
        <w:t xml:space="preserve"> Each question gets one primary test; all tests in the analysis are adjusted together with the Benjamini–Hochberg procedure at 5% (Benjamini &amp; Hochberg, 1995), and every test is logged.</w:t>
      </w:r>
    </w:p>
    <w:p>
      <w:pPr>
        <w:pStyle w:val="Compact"/>
        <w:numPr>
          <w:ilvl w:val="0"/>
          <w:numId w:val="1"/>
        </w:numPr>
        <w:rPr/>
      </w:pPr>
      <w:r>
        <w:rPr>
          <w:b/>
          <w:bCs/>
        </w:rPr>
        <w:t>Re-test against cleaning.</w:t>
      </w:r>
      <w:r>
        <w:rPr/>
        <w:t xml:space="preserve"> The ten strongest reliable findings are tested again on the safe-changes-only copy.</w:t>
      </w:r>
    </w:p>
    <w:p>
      <w:pPr>
        <w:pStyle w:val="Compact"/>
        <w:numPr>
          <w:ilvl w:val="0"/>
          <w:numId w:val="1"/>
        </w:numPr>
        <w:rPr/>
      </w:pPr>
      <w:r>
        <w:rPr>
          <w:b/>
          <w:bCs/>
        </w:rPr>
        <w:t>Ranking.</w:t>
      </w:r>
      <w:r>
        <w:rPr/>
        <w:t xml:space="preserve"> Findings are ordered by evidence, effect size, relevance and novelty.</w:t>
      </w:r>
    </w:p>
    <w:p>
      <w:pPr>
        <w:pStyle w:val="Compact"/>
        <w:numPr>
          <w:ilvl w:val="0"/>
          <w:numId w:val="1"/>
        </w:numPr>
        <w:rPr/>
      </w:pPr>
      <w:r>
        <w:rPr>
          <w:b/>
          <w:bCs/>
        </w:rPr>
        <w:t>Verified narration.</w:t>
      </w:r>
      <w:r>
        <w:rPr/>
        <w:t xml:space="preserve"> Charts are checked value by value; sentences are written with slots, filled from facts and verified, with one repair and a template fallback.</w:t>
      </w:r>
    </w:p>
    <w:p>
      <w:pPr>
        <w:pStyle w:val="CaptionedFigure"/>
        <w:jc w:val="center"/>
        <w:rPr/>
      </w:pPr>
      <w:r>
        <w:rPr/>
        <w:drawing>
          <wp:inline distT="0" distB="0" distL="0" distR="0">
            <wp:extent cx="4206240" cy="11525250"/>
            <wp:effectExtent l="0" t="0" r="0" b="0"/>
            <wp:docPr id="12" name="Image12" descr="Figure 12. From file to report: where data is masked, stored, transformed and che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Figure 12. From file to report: where data is masked, stored, transformed and checked"/>
                    <pic:cNvPicPr>
                      <a:picLocks noChangeAspect="1" noChangeArrowheads="1"/>
                    </pic:cNvPicPr>
                  </pic:nvPicPr>
                  <pic:blipFill>
                    <a:blip r:embed="rId19"/>
                    <a:stretch>
                      <a:fillRect/>
                    </a:stretch>
                  </pic:blipFill>
                  <pic:spPr bwMode="auto">
                    <a:xfrm>
                      <a:off x="0" y="0"/>
                      <a:ext cx="4206240" cy="11525250"/>
                    </a:xfrm>
                    <a:prstGeom prst="rect">
                      <a:avLst/>
                    </a:prstGeom>
                  </pic:spPr>
                </pic:pic>
              </a:graphicData>
            </a:graphic>
          </wp:inline>
        </w:drawing>
      </w:r>
    </w:p>
    <w:p>
      <w:pPr>
        <w:pStyle w:val="ImageCaption"/>
        <w:rPr/>
      </w:pPr>
      <w:r>
        <w:rPr/>
        <w:t>Figure 12. From file to report: where data is masked, stored, transformed and checked</w:t>
      </w:r>
    </w:p>
    <w:p>
      <w:pPr>
        <w:pStyle w:val="Heading2"/>
        <w:rPr/>
      </w:pPr>
      <w:bookmarkStart w:id="62" w:name="__RefHeading___Toc4517_2567261957"/>
      <w:bookmarkEnd w:id="62"/>
      <w:r>
        <w:rPr>
          <w:rStyle w:val="SectionNumber"/>
        </w:rPr>
        <w:t>3.6</w:t>
      </w:r>
      <w:r>
        <w:rPr/>
        <w:tab/>
        <w:t>Software engineering principles</w:t>
      </w:r>
    </w:p>
    <w:p>
      <w:pPr>
        <w:pStyle w:val="TableCaption"/>
        <w:rPr/>
      </w:pPr>
      <w:r>
        <w:rPr/>
        <w:t>Table 11. Engineering principles in practice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024"/>
        <w:gridCol w:w="3024"/>
        <w:gridCol w:w="3024"/>
      </w:tblGrid>
      <w:tr>
        <w:trPr>
          <w:tblHeader w:val="true"/>
          <w:cantSplit w:val="true"/>
        </w:trPr>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Principle</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How we applied it</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Evidence</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Layered design, enforced automatically</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Six dependency rules checked on every change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Architecture check in the quality gate</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Separation of concerns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The analysis engine contains no web, database or cloud code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The engine is tested on its own</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Privacy by design</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Masking at the door; no rows to AI; a final payload check</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The masked description is shown to users</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Least privilege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The application’s database role cannot bypass row-level security; the server reaches storage through a role with no stored keys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Database role tests; deployment policy</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Defence in depth</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Isolation checked by the application and again by the database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0 of 22 cross-tenant attacks succeeded</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Safe defaults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Works fully without AI; the AI is optional and capped</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The live site runs with no model</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Records that cannot be altered</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Facts, tests, events and reports are append-only with content hashes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Database triggers reject changes</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Resumable jobs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12 saved steps; retries skip finished work</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Worker crash tests</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Automated testing and CI/CD</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1,275 automated tests; images built on every change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Quality gate results (Table 13)</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Reproducible deployment</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Images tagged by commit; one-command deploy and rollback</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Deployment scripts</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Accessibility by design</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Keyboard, labels, contrast and motion settings, checked automatically</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0 violations on 24 pages</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Documented decisions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20 decision records with options and consequences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Decision records</w:t>
            </w:r>
            <w:bookmarkStart w:id="63" w:name="software-engineering-principles"/>
            <w:bookmarkEnd w:id="63"/>
          </w:p>
        </w:tc>
      </w:tr>
    </w:tbl>
    <w:p>
      <w:pPr>
        <w:pStyle w:val="Heading2"/>
        <w:rPr/>
      </w:pPr>
      <w:bookmarkStart w:id="64" w:name="__RefHeading___Toc4519_2567261957"/>
      <w:bookmarkEnd w:id="64"/>
      <w:r>
        <w:rPr>
          <w:rStyle w:val="SectionNumber"/>
        </w:rPr>
        <w:t>3.7</w:t>
      </w:r>
      <w:r>
        <w:rPr/>
        <w:tab/>
        <w:t>Security and privacy by design</w:t>
      </w:r>
    </w:p>
    <w:p>
      <w:pPr>
        <w:pStyle w:val="FirstParagraph"/>
        <w:rPr/>
      </w:pPr>
      <w:r>
        <w:rPr/>
        <w:t>Table 12 maps the main risks to their controls. The controls address several OWASP Top 10 categories (OWASP Foundation, 2021), including broken access control, injection and security misconfiguration. Collecting only what is needed, masking personal data and deleting on request follow the intent of the Australian Privacy Principles (Office of the Australian Information Commissioner [OAIC], n.d.); InsightfulCell has not yet had a formal privacy assessment.</w:t>
      </w:r>
    </w:p>
    <w:p>
      <w:pPr>
        <w:pStyle w:val="TableCaption"/>
        <w:rPr/>
      </w:pPr>
      <w:r>
        <w:rPr/>
        <w:t>Table 12. Risks, controls and evidence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024"/>
        <w:gridCol w:w="3024"/>
        <w:gridCol w:w="3024"/>
      </w:tblGrid>
      <w:tr>
        <w:trPr>
          <w:tblHeader w:val="true"/>
          <w:cantSplit w:val="true"/>
        </w:trPr>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Risk</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Our control</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Evidence</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One customer seeing another’s data</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The workspace comes only from the verified token; forced row-level security on every table (PostgreSQL Global Development Group, n.d.)</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0 of 22 cross-tenant attacks succeeded</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Stolen login tokens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API tokens never reach the browser and expire in 15 minutes; cookies cannot be read by scripts; sign-out ends access at once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Replayed cookies are refused after sign-out</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Personal data reaching an AI model</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Masked at ingest; only a masked description is shared; requests carrying a personal value are blocked</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Masked description shown in the app</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Malicious files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Type allow-list, content check, size, row and column limits, archive guard, parsing only in the worker</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Disguised and oversized files refused</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Tampering with results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Append-only records with content hashes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Hash shown in every fact window</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Data leaking in errors or logs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Written messages never echo cell values; logs carry no prompts or values; standard problem responses (Nottingham et al., 2023)</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 row holding a secret produced only a line number</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Runaway AI cost</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The worst-case cost of every request is reserved against hard caps first</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Spending ledger tests</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Admin access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 separate long key, asked on every visit, compared in constant time and rate-limited</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Browser tests of the admin page</w:t>
            </w:r>
          </w:p>
        </w:tc>
      </w:tr>
    </w:tbl>
    <w:p>
      <w:pPr>
        <w:pStyle w:val="Heading2"/>
        <w:rPr/>
      </w:pPr>
      <w:bookmarkStart w:id="65" w:name="__RefHeading___Toc4521_2567261957"/>
      <w:bookmarkEnd w:id="65"/>
      <w:r>
        <w:rPr>
          <w:rStyle w:val="SectionNumber"/>
        </w:rPr>
        <w:t>3.8</w:t>
      </w:r>
      <w:r>
        <w:rPr/>
        <w:tab/>
        <w:t>Testing and quality assurance</w:t>
      </w:r>
    </w:p>
    <w:p>
      <w:pPr>
        <w:pStyle w:val="FirstParagraph"/>
        <w:rPr/>
      </w:pPr>
      <w:r>
        <w:rPr/>
        <w:t>Testing runs at three levels (Figure 13): 726 backend tests on a real database and storage service, 537 frontend component tests (with automated accessibility checks), and 12 browser tests that drive a complete fresh stack. Specialised evaluations run with every test suite: planted-effect datasets that the statistics must find, and a corrupted narrator whose 31 planted errors the verifier must reject.</w:t>
      </w:r>
    </w:p>
    <w:p>
      <w:pPr>
        <w:pStyle w:val="CaptionedFigure"/>
        <w:jc w:val="center"/>
        <w:rPr/>
      </w:pPr>
      <w:r>
        <w:rPr/>
        <w:drawing>
          <wp:inline distT="0" distB="0" distL="0" distR="0">
            <wp:extent cx="5029200" cy="2042795"/>
            <wp:effectExtent l="0" t="0" r="0" b="0"/>
            <wp:docPr id="13" name="Image13" descr="Figure 13. Automated tests by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Figure 13. Automated tests by suite"/>
                    <pic:cNvPicPr>
                      <a:picLocks noChangeAspect="1" noChangeArrowheads="1"/>
                    </pic:cNvPicPr>
                  </pic:nvPicPr>
                  <pic:blipFill>
                    <a:blip r:embed="rId20"/>
                    <a:stretch>
                      <a:fillRect/>
                    </a:stretch>
                  </pic:blipFill>
                  <pic:spPr bwMode="auto">
                    <a:xfrm>
                      <a:off x="0" y="0"/>
                      <a:ext cx="5029200" cy="2042795"/>
                    </a:xfrm>
                    <a:prstGeom prst="rect">
                      <a:avLst/>
                    </a:prstGeom>
                  </pic:spPr>
                </pic:pic>
              </a:graphicData>
            </a:graphic>
          </wp:inline>
        </w:drawing>
      </w:r>
    </w:p>
    <w:p>
      <w:pPr>
        <w:pStyle w:val="ImageCaption"/>
        <w:rPr/>
      </w:pPr>
      <w:r>
        <w:rPr/>
        <w:t>Figure 13. Automated tests by suite</w:t>
      </w:r>
    </w:p>
    <w:p>
      <w:pPr>
        <w:pStyle w:val="TableCaption"/>
        <w:rPr/>
      </w:pPr>
      <w:r>
        <w:rPr/>
        <w:t>Table 13. Quality gates and latest results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024"/>
        <w:gridCol w:w="3024"/>
        <w:gridCol w:w="3024"/>
      </w:tblGrid>
      <w:tr>
        <w:trPr>
          <w:tblHeader w:val="true"/>
          <w:cantSplit w:val="true"/>
        </w:trPr>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Quality gate</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Tool</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Latest result</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Style and lint</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ruff, Prettier, ESLint with accessibility rules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Pass (24 Oct 2026)</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Types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mypy (strict), TypeScript (strict)</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Pass (24 Oct 2026)</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Architecture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import-linter, 6 rules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Pass (24 Oct 2026)</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Backend tests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pytest on PostgreSQL 18 and S3-compatible storage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726 passed, 93.04% coverage (24 Oct 2026)</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Frontend tests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Vitest, Testing Library, axe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537 tests; 536 passed, 1 awaiting a name update (24 Oct 2026)</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Browser tests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Playwright on a fresh full stack</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12 of 12 passed (24 Oct 2026)</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Accessibility tour</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axe, WCAG 2.2 AA, 24 pages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0 violations (24 Oct 2026)</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Supply chain</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pip-audit, pnpm audit, secret scan</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No known vulnerabilities; no secrets (24 Oct 2026)</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Security battery</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99 live attacks with two to four accounts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92 passed; 0 of 22 cross-tenant attacks succeeded (18 Oct 2026)</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Live check</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Full user flow on the public site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Every step passed (22 Oct 2026)</w:t>
            </w:r>
          </w:p>
        </w:tc>
      </w:tr>
    </w:tbl>
    <w:p>
      <w:pPr>
        <w:pStyle w:val="Heading2"/>
        <w:rPr/>
      </w:pPr>
      <w:bookmarkStart w:id="66" w:name="__RefHeading___Toc4523_2567261957"/>
      <w:bookmarkEnd w:id="66"/>
      <w:r>
        <w:rPr>
          <w:rStyle w:val="SectionNumber"/>
        </w:rPr>
        <w:t>3.9</w:t>
      </w:r>
      <w:r>
        <w:rPr/>
        <w:tab/>
        <w:t>Code quality and documentation</w:t>
      </w:r>
    </w:p>
    <w:p>
      <w:pPr>
        <w:pStyle w:val="FirstParagraph"/>
        <w:rPr/>
      </w:pPr>
      <w:r>
        <w:rPr/>
        <w:t>The repository holds the web app, the backend (API, worker and analysis engine), the deployment kit, scripts and sample data. All code is typed and linted, and the six architecture rules stop one layer from reaching into another. The README covers installation, architecture, tests, deployment, design decisions, team contributions and licence; a usage guide explains every screen and the logic behind it. A judge can run InsightfulCell locally with five commands (Appendix G).</w:t>
      </w:r>
    </w:p>
    <w:p>
      <w:pPr>
        <w:pStyle w:val="Heading2"/>
        <w:rPr/>
      </w:pPr>
      <w:bookmarkStart w:id="67" w:name="__RefHeading___Toc4525_2567261957"/>
      <w:bookmarkStart w:id="68" w:name="deployment-and-operations"/>
      <w:bookmarkEnd w:id="67"/>
      <w:r>
        <w:rPr>
          <w:rStyle w:val="SectionNumber"/>
        </w:rPr>
        <w:t>3.10</w:t>
      </w:r>
      <w:r>
        <w:rPr/>
        <w:tab/>
        <w:t>Deployment and operations</w:t>
      </w:r>
    </w:p>
    <w:p>
      <w:pPr>
        <w:pStyle w:val="FirstParagraph"/>
        <w:rPr/>
      </w:pPr>
      <w:r>
        <w:rPr/>
        <w:t>The live site runs on one Amazon EC2 t3.micro server under Docker Compose (Figure 14). Caddy obtains and renews the HTTPS certificate automatically. Uploaded files live in a private, encrypted Amazon S3 bucket reached through the server’s role, so no storage keys are stored anywhere. GitHub Actions builds the container images on every change; the server pulls them, and one command deploys a release or rolls back to an exact earlier build. A nightly job backs the database up to a second S3 bucket. The server and its disk sit inside the AWS free tier; the public IP address costs about US$3.60 a month (estimated).</w:t>
      </w:r>
    </w:p>
    <w:p>
      <w:pPr>
        <w:pStyle w:val="CaptionedFigure"/>
        <w:jc w:val="center"/>
        <w:rPr/>
      </w:pPr>
      <w:r>
        <w:rPr/>
        <w:drawing>
          <wp:inline distT="0" distB="0" distL="0" distR="0">
            <wp:extent cx="5486400" cy="1847215"/>
            <wp:effectExtent l="0" t="0" r="0" b="0"/>
            <wp:docPr id="14" name="Image14" descr="Figure 14. Deployment on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Figure 14. Deployment on AWS"/>
                    <pic:cNvPicPr>
                      <a:picLocks noChangeAspect="1" noChangeArrowheads="1"/>
                    </pic:cNvPicPr>
                  </pic:nvPicPr>
                  <pic:blipFill>
                    <a:blip r:embed="rId21"/>
                    <a:stretch>
                      <a:fillRect/>
                    </a:stretch>
                  </pic:blipFill>
                  <pic:spPr bwMode="auto">
                    <a:xfrm>
                      <a:off x="0" y="0"/>
                      <a:ext cx="5486400" cy="1847215"/>
                    </a:xfrm>
                    <a:prstGeom prst="rect">
                      <a:avLst/>
                    </a:prstGeom>
                  </pic:spPr>
                </pic:pic>
              </a:graphicData>
            </a:graphic>
          </wp:inline>
        </w:drawing>
      </w:r>
    </w:p>
    <w:p>
      <w:pPr>
        <w:pStyle w:val="ImageCaption"/>
        <w:rPr/>
      </w:pPr>
      <w:bookmarkStart w:id="69" w:name="deployment-and-operations"/>
      <w:r>
        <w:rPr/>
        <w:t>Figure 14. Deployment on AWS</w:t>
      </w:r>
      <w:bookmarkEnd w:id="69"/>
    </w:p>
    <w:p>
      <w:pPr>
        <w:pStyle w:val="Heading1"/>
        <w:rPr/>
      </w:pPr>
      <w:bookmarkStart w:id="70" w:name="__RefHeading___Toc4527_2567261957"/>
      <w:bookmarkEnd w:id="70"/>
      <w:r>
        <w:rPr>
          <w:rStyle w:val="SectionNumber"/>
        </w:rPr>
        <w:t>4</w:t>
      </w:r>
      <w:r>
        <w:rPr/>
        <w:tab/>
        <w:t>Discussion</w:t>
      </w:r>
    </w:p>
    <w:p>
      <w:pPr>
        <w:pStyle w:val="Heading2"/>
        <w:rPr/>
      </w:pPr>
      <w:bookmarkStart w:id="71" w:name="__RefHeading___Toc4529_2567261957"/>
      <w:bookmarkStart w:id="72" w:name="market-need-and-opportunity"/>
      <w:bookmarkEnd w:id="71"/>
      <w:r>
        <w:rPr>
          <w:rStyle w:val="SectionNumber"/>
        </w:rPr>
        <w:t>4.1</w:t>
      </w:r>
      <w:r>
        <w:rPr/>
        <w:tab/>
        <w:t>Market need and opportunity</w:t>
      </w:r>
    </w:p>
    <w:p>
      <w:pPr>
        <w:pStyle w:val="FirstParagraph"/>
        <w:rPr/>
      </w:pPr>
      <w:bookmarkStart w:id="73" w:name="market-need-and-opportunity"/>
      <w:r>
        <w:rPr/>
        <w:t>The 2,814,778 actively trading Australian businesses, 996,203 of them employers (ABS, 2026), are the clearest sign of the need: almost none can justify a full-time analyst, yet all of them make decisions from data. The same holds for community organisations, schools and public-sector teams. At the same time, the unreliability of AI-generated text is well documented (Ji et al., 2023), and Australian privacy law expects organisations to protect personal information they hold (OAIC, n.d.). A tool that is easy, private and checkable meets all three pressures at once.</w:t>
      </w:r>
      <w:bookmarkEnd w:id="73"/>
    </w:p>
    <w:p>
      <w:pPr>
        <w:pStyle w:val="Heading2"/>
        <w:rPr/>
      </w:pPr>
      <w:bookmarkStart w:id="74" w:name="__RefHeading___Toc4531_2567261957"/>
      <w:bookmarkEnd w:id="74"/>
      <w:r>
        <w:rPr>
          <w:rStyle w:val="SectionNumber"/>
        </w:rPr>
        <w:t>4.2</w:t>
      </w:r>
      <w:r>
        <w:rPr/>
        <w:tab/>
        <w:t>Target customers and use cases</w:t>
      </w:r>
    </w:p>
    <w:p>
      <w:pPr>
        <w:pStyle w:val="TableCaption"/>
        <w:rPr/>
      </w:pPr>
      <w:r>
        <w:rPr/>
        <w:t>Table 14. Target segments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267"/>
        <w:gridCol w:w="2268"/>
        <w:gridCol w:w="2268"/>
        <w:gridCol w:w="2268"/>
      </w:tblGrid>
      <w:tr>
        <w:trPr>
          <w:tblHeader w:val="true"/>
          <w:cantSplit w:val="true"/>
        </w:trPr>
        <w:tc>
          <w:tcPr>
            <w:tcW w:w="2267"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Segment</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Their pain</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What InsightfulCell gives them</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Example use</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Small and medium businesses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No analyst; no time</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 checked report from a spreadsheet in minutes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Which products and stores drive margin</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NGOs and public sector</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Sensitive data; strict accountability</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Private analysis with a full audit trail</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Program outcomes by region</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Students and researchers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Statistics are easy to misuse</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Correct tests, honest tiers, a reproducible recipe</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 first analysis of survey data</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Consultants and accountants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Clients need defensible numbers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Reports where every number shows its source</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Client-ready findings in Word or PDF</w:t>
            </w:r>
            <w:bookmarkStart w:id="75" w:name="target-customers-and-use-cases"/>
            <w:bookmarkEnd w:id="75"/>
          </w:p>
        </w:tc>
      </w:tr>
    </w:tbl>
    <w:p>
      <w:pPr>
        <w:pStyle w:val="Heading2"/>
        <w:rPr/>
      </w:pPr>
      <w:bookmarkStart w:id="76" w:name="__RefHeading___Toc4533_2567261957"/>
      <w:bookmarkEnd w:id="76"/>
      <w:r>
        <w:rPr>
          <w:rStyle w:val="SectionNumber"/>
        </w:rPr>
        <w:t>4.3</w:t>
      </w:r>
      <w:r>
        <w:rPr/>
        <w:tab/>
        <w:t>Competitive positioning</w:t>
      </w:r>
    </w:p>
    <w:p>
      <w:pPr>
        <w:pStyle w:val="FirstParagraph"/>
        <w:rPr/>
      </w:pPr>
      <w:r>
        <w:rPr/>
        <w:t>Table 15 compares InsightfulCell with the two common categories of tool. Only InsightfulCell meets all six needs.</w:t>
      </w:r>
    </w:p>
    <w:p>
      <w:pPr>
        <w:pStyle w:val="TableCaption"/>
        <w:rPr/>
      </w:pPr>
      <w:r>
        <w:rPr/>
        <w:t>Table 15. Competitive positioning</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267"/>
        <w:gridCol w:w="2268"/>
        <w:gridCol w:w="2268"/>
        <w:gridCol w:w="2268"/>
      </w:tblGrid>
      <w:tr>
        <w:trPr>
          <w:tblHeader w:val="true"/>
          <w:cantSplit w:val="true"/>
        </w:trPr>
        <w:tc>
          <w:tcPr>
            <w:tcW w:w="2267"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Need</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InsightfulCell</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General AI assistants</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BI and statistics tools</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Every number traceable</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Yes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No</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Partly</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Raw rows stay private</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Yes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No</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Yes</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No analyst needed</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Yes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Yes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No</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False discoveries controlled</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Yes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No</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Only if the analyst does it</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Reproducible cleaning recipe</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Yes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No</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Partly</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Plain-language report</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Yes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Yes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No</w:t>
            </w:r>
          </w:p>
        </w:tc>
      </w:tr>
    </w:tbl>
    <w:p>
      <w:pPr>
        <w:pStyle w:val="Heading2"/>
        <w:rPr/>
      </w:pPr>
      <w:bookmarkStart w:id="77" w:name="__RefHeading___Toc4535_2567261957"/>
      <w:bookmarkEnd w:id="77"/>
      <w:r>
        <w:rPr>
          <w:rStyle w:val="SectionNumber"/>
        </w:rPr>
        <w:t>4.4</w:t>
      </w:r>
      <w:r>
        <w:rPr/>
        <w:tab/>
        <w:t>Business model and cost to serve</w:t>
      </w:r>
    </w:p>
    <w:p>
      <w:pPr>
        <w:pStyle w:val="FirstParagraph"/>
        <w:rPr/>
      </w:pPr>
      <w:r>
        <w:rPr>
          <w:b/>
          <w:bCs/>
        </w:rPr>
        <w:t>Proposed; pricing not yet validated.</w:t>
      </w:r>
      <w:r>
        <w:rPr/>
        <w:t xml:space="preserve"> Table 16 sets out three proposed tiers. Because the rules-only mode is complete and costs nothing in model fees, a free tier is sustainable; AI planning and writing become a paid improvement with a per-person spending cap.</w:t>
      </w:r>
    </w:p>
    <w:p>
      <w:pPr>
        <w:pStyle w:val="TableCaption"/>
        <w:rPr/>
      </w:pPr>
      <w:r>
        <w:rPr/>
        <w:t>Table 16. Proposed tiers and cost to serve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267"/>
        <w:gridCol w:w="2268"/>
        <w:gridCol w:w="2268"/>
        <w:gridCol w:w="2268"/>
      </w:tblGrid>
      <w:tr>
        <w:trPr>
          <w:tblHeader w:val="true"/>
          <w:cantSplit w:val="true"/>
        </w:trPr>
        <w:tc>
          <w:tcPr>
            <w:tcW w:w="2267"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Tier (proposed)</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Offer</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Model cost per analysis</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Hosting</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Community</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Free; rules plan and the engine writes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US$0</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Shared</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Pro</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Per seat; AI-planned and AI-written, per-person cap</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About US$0.02 (default model) to about US$0.26 (premium model)</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Shared</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Team / private</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Per organisation; team workspaces, roles, self-hosting</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As Pro, or the customer’s own model</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Dedicated or self-hosted</w:t>
            </w:r>
          </w:p>
        </w:tc>
      </w:tr>
    </w:tbl>
    <w:p>
      <w:pPr>
        <w:pStyle w:val="BodyText"/>
        <w:rPr/>
      </w:pPr>
      <w:r>
        <w:rPr/>
        <w:t>Today’s hosting costs about US$3.60 a month (estimated). Figure 15 shows the model cost per analysis in each mode.</w:t>
      </w:r>
    </w:p>
    <w:p>
      <w:pPr>
        <w:pStyle w:val="CaptionedFigure"/>
        <w:jc w:val="center"/>
        <w:rPr/>
      </w:pPr>
      <w:r>
        <w:rPr/>
        <w:drawing>
          <wp:inline distT="0" distB="0" distL="0" distR="0">
            <wp:extent cx="5029200" cy="2200275"/>
            <wp:effectExtent l="0" t="0" r="0" b="0"/>
            <wp:docPr id="15" name="Image15" descr="Figure 15. Model cost per analysis by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Figure 15. Model cost per analysis by mode"/>
                    <pic:cNvPicPr>
                      <a:picLocks noChangeAspect="1" noChangeArrowheads="1"/>
                    </pic:cNvPicPr>
                  </pic:nvPicPr>
                  <pic:blipFill>
                    <a:blip r:embed="rId22"/>
                    <a:stretch>
                      <a:fillRect/>
                    </a:stretch>
                  </pic:blipFill>
                  <pic:spPr bwMode="auto">
                    <a:xfrm>
                      <a:off x="0" y="0"/>
                      <a:ext cx="5029200" cy="2200275"/>
                    </a:xfrm>
                    <a:prstGeom prst="rect">
                      <a:avLst/>
                    </a:prstGeom>
                  </pic:spPr>
                </pic:pic>
              </a:graphicData>
            </a:graphic>
          </wp:inline>
        </w:drawing>
      </w:r>
    </w:p>
    <w:p>
      <w:pPr>
        <w:pStyle w:val="ImageCaption"/>
        <w:rPr/>
      </w:pPr>
      <w:r>
        <w:rPr/>
        <w:t>Figure 15. Model cost per analysis by mode</w:t>
      </w:r>
    </w:p>
    <w:p>
      <w:pPr>
        <w:pStyle w:val="Heading2"/>
        <w:rPr/>
      </w:pPr>
      <w:bookmarkStart w:id="78" w:name="__RefHeading___Toc4537_2567261957"/>
      <w:bookmarkStart w:id="79" w:name="scalability-and-go-to-market"/>
      <w:bookmarkEnd w:id="78"/>
      <w:r>
        <w:rPr>
          <w:rStyle w:val="SectionNumber"/>
        </w:rPr>
        <w:t>4.5</w:t>
      </w:r>
      <w:r>
        <w:rPr/>
        <w:tab/>
        <w:t>Scalability and go-to-market</w:t>
      </w:r>
    </w:p>
    <w:p>
      <w:pPr>
        <w:pStyle w:val="FirstParagraph"/>
        <w:rPr/>
      </w:pPr>
      <w:r>
        <w:rPr/>
        <w:t>The system design plans for 200 organisations, 2,000 active users and 20,000 analyses a month in the first year, with 99.5% API availability. The path there needs no redesign: a larger server and more worker processes first, then workers on their own servers scaling with the length of the queue, then a managed database and container services. Workers hold no state, so adding them is a configuration change.</w:t>
      </w:r>
    </w:p>
    <w:p>
      <w:pPr>
        <w:pStyle w:val="BodyText"/>
        <w:rPr/>
      </w:pPr>
      <w:bookmarkStart w:id="80" w:name="scalability-and-go-to-market"/>
      <w:r>
        <w:rPr/>
        <w:t>We propose a staged launch: a student and university pilot (where the honest statistics teach good practice), then consultants and accountants (who need defensible numbers for clients), then small businesses and community organisations.</w:t>
      </w:r>
      <w:bookmarkEnd w:id="80"/>
    </w:p>
    <w:p>
      <w:pPr>
        <w:pStyle w:val="Heading2"/>
        <w:rPr/>
      </w:pPr>
      <w:bookmarkStart w:id="81" w:name="__RefHeading___Toc4539_2567261957"/>
      <w:bookmarkStart w:id="82" w:name="ethical-and-social-impact"/>
      <w:bookmarkEnd w:id="81"/>
      <w:r>
        <w:rPr>
          <w:rStyle w:val="SectionNumber"/>
        </w:rPr>
        <w:t>4.6</w:t>
      </w:r>
      <w:r>
        <w:rPr/>
        <w:tab/>
        <w:t>Ethical and social impact</w:t>
      </w:r>
    </w:p>
    <w:p>
      <w:pPr>
        <w:pStyle w:val="Compact"/>
        <w:numPr>
          <w:ilvl w:val="0"/>
          <w:numId w:val="2"/>
        </w:numPr>
        <w:rPr/>
      </w:pPr>
      <w:r>
        <w:rPr>
          <w:b/>
          <w:bCs/>
        </w:rPr>
        <w:t>Privacy:</w:t>
      </w:r>
      <w:r>
        <w:rPr/>
        <w:t xml:space="preserve"> personal data is masked at the door and never analysed; raw rows never reach an AI model; users can delete everything at any time.</w:t>
      </w:r>
    </w:p>
    <w:p>
      <w:pPr>
        <w:pStyle w:val="Compact"/>
        <w:numPr>
          <w:ilvl w:val="0"/>
          <w:numId w:val="2"/>
        </w:numPr>
        <w:rPr/>
      </w:pPr>
      <w:r>
        <w:rPr>
          <w:b/>
          <w:bCs/>
        </w:rPr>
        <w:t>Responsible AI:</w:t>
      </w:r>
      <w:r>
        <w:rPr/>
        <w:t xml:space="preserve"> an AI model cannot write a number, causal claims are rejected, and evidence tiers say plainly when a result is not reliable.</w:t>
      </w:r>
    </w:p>
    <w:p>
      <w:pPr>
        <w:pStyle w:val="Compact"/>
        <w:numPr>
          <w:ilvl w:val="0"/>
          <w:numId w:val="2"/>
        </w:numPr>
        <w:rPr/>
      </w:pPr>
      <w:r>
        <w:rPr>
          <w:b/>
          <w:bCs/>
        </w:rPr>
        <w:t>Statistical integrity:</w:t>
      </w:r>
      <w:r>
        <w:rPr/>
        <w:t xml:space="preserve"> false alarms are controlled across every analysis, small groups are never reported alone, and findings that depend on cleaning are flagged.</w:t>
      </w:r>
    </w:p>
    <w:p>
      <w:pPr>
        <w:pStyle w:val="Compact"/>
        <w:numPr>
          <w:ilvl w:val="0"/>
          <w:numId w:val="2"/>
        </w:numPr>
        <w:rPr/>
      </w:pPr>
      <w:r>
        <w:rPr>
          <w:b/>
          <w:bCs/>
        </w:rPr>
        <w:t>Accessibility:</w:t>
      </w:r>
      <w:r>
        <w:rPr/>
        <w:t xml:space="preserve"> the product works by keyboard, with screen readers and on phones.</w:t>
      </w:r>
    </w:p>
    <w:p>
      <w:pPr>
        <w:pStyle w:val="Compact"/>
        <w:numPr>
          <w:ilvl w:val="0"/>
          <w:numId w:val="2"/>
        </w:numPr>
        <w:rPr/>
      </w:pPr>
      <w:r>
        <w:rPr>
          <w:b/>
          <w:bCs/>
        </w:rPr>
        <w:t>Demo data:</w:t>
      </w:r>
      <w:r>
        <w:rPr/>
        <w:t xml:space="preserve"> the samples are public-domain datasets and synthetic test files, with no private individuals.</w:t>
      </w:r>
    </w:p>
    <w:p>
      <w:pPr>
        <w:pStyle w:val="Compact"/>
        <w:numPr>
          <w:ilvl w:val="0"/>
          <w:numId w:val="2"/>
        </w:numPr>
        <w:rPr/>
      </w:pPr>
      <w:r>
        <w:rPr>
          <w:b/>
          <w:bCs/>
        </w:rPr>
        <w:t>Opening up analysis:</w:t>
      </w:r>
      <w:r>
        <w:rPr/>
        <w:t xml:space="preserve"> organisations without analysts can make decisions from tested evidence instead of guesses.</w:t>
      </w:r>
      <w:bookmarkEnd w:id="82"/>
    </w:p>
    <w:p>
      <w:pPr>
        <w:pStyle w:val="Heading2"/>
        <w:rPr/>
      </w:pPr>
      <w:bookmarkStart w:id="83" w:name="__RefHeading___Toc4541_2567261957"/>
      <w:bookmarkEnd w:id="83"/>
      <w:r>
        <w:rPr>
          <w:rStyle w:val="SectionNumber"/>
        </w:rPr>
        <w:t>4.7</w:t>
      </w:r>
      <w:r>
        <w:rPr/>
        <w:tab/>
        <w:t>Current limitations</w:t>
      </w:r>
    </w:p>
    <w:p>
      <w:pPr>
        <w:pStyle w:val="TableCaption"/>
        <w:rPr/>
      </w:pPr>
      <w:r>
        <w:rPr/>
        <w:t>Table 17. Current limitations and planned fixes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024"/>
        <w:gridCol w:w="3024"/>
        <w:gridCol w:w="3024"/>
      </w:tblGrid>
      <w:tr>
        <w:trPr>
          <w:tblHeader w:val="true"/>
          <w:cantSplit w:val="true"/>
        </w:trPr>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Limitation</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Planned fix</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When</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Automatic cleaning can mis-read a few rare formats: percentages stored as 0–100, decimal commas, and similar-looking names (for example “Austria” and “Australia”). Manual review lets you approve every change.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Better detection rules; changes that can lose data always shown</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Before Release 1 alpha (11 Dec 2026)</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 few file shapes cannot be read yet: nested JSON values, Excel sheets with title rows above the header, quoted headers containing line breaks.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Wider file support</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Before Release 1 alpha</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One small server runs one analysis at a time, with no staging, monitoring or audit log yet.</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 larger server or second worker; staging, monitoring, audit log, rate limits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Release 1 alpha (11 Dec 2026)</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One workspace per person, with no invitations or shared reports.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Team workspaces and roles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Release 2 beta (12 Mar 2027)</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You cannot yet ask questions of your data in plain language.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Questions about your data, verified like the report</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Release 1 alpha (11 Dec 2026)</w:t>
            </w:r>
            <w:bookmarkStart w:id="84" w:name="current-limitations"/>
            <w:bookmarkEnd w:id="84"/>
          </w:p>
        </w:tc>
      </w:tr>
    </w:tbl>
    <w:p>
      <w:pPr>
        <w:pStyle w:val="Heading2"/>
        <w:rPr/>
      </w:pPr>
      <w:bookmarkStart w:id="85" w:name="__RefHeading___Toc4543_2567261957"/>
      <w:bookmarkEnd w:id="85"/>
      <w:r>
        <w:rPr>
          <w:rStyle w:val="SectionNumber"/>
        </w:rPr>
        <w:t>4.8</w:t>
      </w:r>
      <w:r>
        <w:rPr/>
        <w:tab/>
        <w:t>Future improvements and roadmap</w:t>
      </w:r>
    </w:p>
    <w:p>
      <w:pPr>
        <w:pStyle w:val="TableCaption"/>
        <w:rPr/>
      </w:pPr>
      <w:r>
        <w:rPr/>
        <w:t>Table 18. Roadmap</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024"/>
        <w:gridCol w:w="3024"/>
        <w:gridCol w:w="3024"/>
      </w:tblGrid>
      <w:tr>
        <w:trPr>
          <w:tblHeader w:val="true"/>
          <w:cantSplit w:val="true"/>
        </w:trPr>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Release</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Target date</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What it delivers to users</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Release 1 alpha</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11 December 2026</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Plain-language questions about your data; safer automatic cleaning; staging, monitoring, audit log and rate limits</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Release 2 beta</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12 March 2027</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Team workspaces with roles and invitations; shared reports; search by meaning; load and penetration testing</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General availability</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9 April 2027</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Service targets of 99.5% API availability and 98% successful analyses; compliance documentation</w:t>
            </w:r>
          </w:p>
        </w:tc>
      </w:tr>
    </w:tbl>
    <w:p>
      <w:pPr>
        <w:pStyle w:val="Heading2"/>
        <w:rPr/>
      </w:pPr>
      <w:bookmarkStart w:id="86" w:name="__RefHeading___Toc4545_2567261957"/>
      <w:bookmarkEnd w:id="86"/>
      <w:r>
        <w:rPr>
          <w:rStyle w:val="SectionNumber"/>
        </w:rPr>
        <w:t>4.9</w:t>
      </w:r>
      <w:r>
        <w:rPr/>
        <w:tab/>
        <w:t>Risks and mitigations</w:t>
      </w:r>
    </w:p>
    <w:p>
      <w:pPr>
        <w:pStyle w:val="TableCaption"/>
        <w:rPr/>
      </w:pPr>
      <w:r>
        <w:rPr/>
        <w:t>Table 19. Top risks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267"/>
        <w:gridCol w:w="2268"/>
        <w:gridCol w:w="2268"/>
        <w:gridCol w:w="2268"/>
      </w:tblGrid>
      <w:tr>
        <w:trPr>
          <w:tblHeader w:val="true"/>
          <w:cantSplit w:val="true"/>
        </w:trPr>
        <w:tc>
          <w:tcPr>
            <w:tcW w:w="2267"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Risk</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Likelihood</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Impact</w:t>
            </w:r>
          </w:p>
        </w:tc>
        <w:tc>
          <w:tcPr>
            <w:tcW w:w="2268"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Mitigation</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Automatic cleaning changes data unnoticed</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Medium</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High</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Manual review today; safer rules and always-shown data-changing fixes before Release 1</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The single server fails or is overloaded</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Medium</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Medium</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Nightly backups, one-command rebuild; separate workers and a managed database at scale</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AI providers change models or prices</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High</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Low</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Four providers, a backup model, a hard cap, and a complete product without AI</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Slow adoption</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Medium</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High</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 free tier; a university pilot; reports in formats people already use</w:t>
            </w:r>
          </w:p>
        </w:tc>
      </w:tr>
      <w:tr>
        <w:trPr>
          <w:cantSplit w:val="true"/>
        </w:trPr>
        <w:tc>
          <w:tcPr>
            <w:tcW w:w="2267"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Hosting cost grows with use</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Low</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Medium</w:t>
            </w:r>
          </w:p>
        </w:tc>
        <w:tc>
          <w:tcPr>
            <w:tcW w:w="2268"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Stateless workers scale with demand; rules-only analyses cost nothing in model fees</w:t>
            </w:r>
          </w:p>
        </w:tc>
      </w:tr>
    </w:tbl>
    <w:p>
      <w:pPr>
        <w:pStyle w:val="Heading2"/>
        <w:rPr/>
      </w:pPr>
      <w:bookmarkStart w:id="87" w:name="__RefHeading___Toc4547_2567261957"/>
      <w:bookmarkEnd w:id="87"/>
      <w:r>
        <w:rPr>
          <w:rStyle w:val="SectionNumber"/>
        </w:rPr>
        <w:t>4.10</w:t>
      </w:r>
      <w:r>
        <w:rPr/>
        <w:tab/>
        <w:t>SWOT summary</w:t>
      </w:r>
    </w:p>
    <w:p>
      <w:pPr>
        <w:pStyle w:val="TableCaption"/>
        <w:rPr/>
      </w:pPr>
      <w:r>
        <w:rPr/>
        <w:t>Table 20. SWOT summary</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535"/>
        <w:gridCol w:w="4536"/>
      </w:tblGrid>
      <w:tr>
        <w:trPr>
          <w:tblHeader w:val="true"/>
          <w:cantSplit w:val="true"/>
        </w:trPr>
        <w:tc>
          <w:tcPr>
            <w:tcW w:w="4535"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Strengths</w:t>
            </w:r>
          </w:p>
        </w:tc>
        <w:tc>
          <w:tcPr>
            <w:tcW w:w="4536"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Weaknesses</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Every number traceable to a test; verified sentences</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Single server today</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Privacy by design; works fully without AI</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Rare cleaning formats need Manual review</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Statistical control across each analysis</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No team features yet</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Live, tested, low-cost deployment</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Brand new; no paying users</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b/>
                <w:bCs/>
                <w:kern w:val="0"/>
                <w:sz w:val="20"/>
                <w:szCs w:val="24"/>
                <w:lang w:val="en-AU" w:eastAsia="en-US" w:bidi="ar-SA"/>
              </w:rPr>
              <w:t>Opportunities</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b/>
                <w:bCs/>
                <w:kern w:val="0"/>
                <w:sz w:val="20"/>
                <w:szCs w:val="24"/>
                <w:lang w:val="en-AU" w:eastAsia="en-US" w:bidi="ar-SA"/>
              </w:rPr>
              <w:t>Threats</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2.8 million Australian businesses with data but no analyst</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AI assistants adding analysis features</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Growing concern about AI accuracy and privacy</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Large BI vendors simplifying their tools</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Education and research pilots</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Changes in AI model pricing and terms</w:t>
            </w:r>
            <w:bookmarkStart w:id="88" w:name="discussion"/>
            <w:bookmarkEnd w:id="88"/>
          </w:p>
        </w:tc>
      </w:tr>
    </w:tbl>
    <w:p>
      <w:pPr>
        <w:pStyle w:val="Heading1"/>
        <w:rPr/>
      </w:pPr>
      <w:bookmarkStart w:id="89" w:name="__RefHeading___Toc4549_2567261957"/>
      <w:bookmarkEnd w:id="89"/>
      <w:r>
        <w:rPr>
          <w:rStyle w:val="SectionNumber"/>
        </w:rPr>
        <w:t>5</w:t>
      </w:r>
      <w:r>
        <w:rPr/>
        <w:tab/>
        <w:t>Conclusion</w:t>
      </w:r>
    </w:p>
    <w:p>
      <w:pPr>
        <w:pStyle w:val="FirstParagraph"/>
        <w:rPr/>
      </w:pPr>
      <w:r>
        <w:rPr/>
        <w:t>People with data face a trust gap: easy AI tools can invent numbers and need raw data, while accurate tools need an analyst. InsightfulCell closes that gap. Code computes every number, an AI model may only plan and phrase, and every sentence and chart is checked against stored facts before anyone sees it. Personal data is masked at the door, raw rows never reach an AI model, and the product works fully without one.</w:t>
      </w:r>
    </w:p>
    <w:p>
      <w:pPr>
        <w:pStyle w:val="BodyText"/>
        <w:rPr/>
      </w:pPr>
      <w:r>
        <w:rPr/>
        <w:t>The proof is measurable: a 5,000-row file goes from upload to report in 14 seconds on a free-tier server; 0 of 22 cross-tenant attacks succeeded; the verifier rejected all 31 planted errors; the Zomato case study recomputed 1,439 chart values and withheld none; and 1,275 automated tests guard every change. It costs nothing in model fees to run, and about US$3.60 a month to host.</w:t>
      </w:r>
    </w:p>
    <w:p>
      <w:pPr>
        <w:pStyle w:val="BodyText"/>
        <w:rPr/>
      </w:pPr>
      <w:r>
        <w:rPr/>
        <w:t>Next, users will ask questions of their data in plain language (Release 1 alpha, 11 December 2026), then work together in team workspaces (Release 2 beta, 12 March 2027).</w:t>
      </w:r>
    </w:p>
    <w:p>
      <w:pPr>
        <w:pStyle w:val="BodyText"/>
        <w:rPr/>
      </w:pPr>
      <w:r>
        <w:rPr/>
        <w:t>InsightfulCell is a one-stop solution for data analysis. Bring a spreadsheet; leave with clear answers, charts and a report your team can check.</w:t>
      </w:r>
    </w:p>
    <w:p>
      <w:pPr>
        <w:pStyle w:val="Heading1"/>
        <w:rPr/>
      </w:pPr>
      <w:bookmarkStart w:id="90" w:name="__RefHeading___Toc4551_2567261957"/>
      <w:bookmarkStart w:id="91" w:name="appendices"/>
      <w:bookmarkEnd w:id="90"/>
      <w:r>
        <w:rPr/>
        <w:t>Appendices</w:t>
      </w:r>
    </w:p>
    <w:p>
      <w:pPr>
        <w:pStyle w:val="Heading2"/>
        <w:rPr/>
      </w:pPr>
      <w:bookmarkStart w:id="92" w:name="__RefHeading___Toc4553_2567261957"/>
      <w:bookmarkStart w:id="93" w:name="appendix-a.-evidence-charts"/>
      <w:bookmarkEnd w:id="92"/>
      <w:r>
        <w:rPr/>
        <w:t>Appendix A. Evidence charts</w:t>
      </w:r>
    </w:p>
    <w:p>
      <w:pPr>
        <w:pStyle w:val="CaptionedFigure"/>
        <w:jc w:val="center"/>
        <w:rPr/>
      </w:pPr>
      <w:r>
        <w:rPr/>
        <w:drawing>
          <wp:inline distT="0" distB="0" distL="0" distR="0">
            <wp:extent cx="5303520" cy="2983230"/>
            <wp:effectExtent l="0" t="0" r="0" b="0"/>
            <wp:docPr id="16" name="Image16" descr="Figure A1. Analysis time against table size across 46 sample analy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Figure A1. Analysis time against table size across 46 sample analyses"/>
                    <pic:cNvPicPr>
                      <a:picLocks noChangeAspect="1" noChangeArrowheads="1"/>
                    </pic:cNvPicPr>
                  </pic:nvPicPr>
                  <pic:blipFill>
                    <a:blip r:embed="rId23"/>
                    <a:stretch>
                      <a:fillRect/>
                    </a:stretch>
                  </pic:blipFill>
                  <pic:spPr bwMode="auto">
                    <a:xfrm>
                      <a:off x="0" y="0"/>
                      <a:ext cx="5303520" cy="2983230"/>
                    </a:xfrm>
                    <a:prstGeom prst="rect">
                      <a:avLst/>
                    </a:prstGeom>
                  </pic:spPr>
                </pic:pic>
              </a:graphicData>
            </a:graphic>
          </wp:inline>
        </w:drawing>
      </w:r>
    </w:p>
    <w:p>
      <w:pPr>
        <w:pStyle w:val="ImageCaption"/>
        <w:rPr/>
      </w:pPr>
      <w:r>
        <w:rPr/>
        <w:t>Figure A1. Analysis time against table size across 46 sample analyses</w:t>
      </w:r>
    </w:p>
    <w:p>
      <w:pPr>
        <w:pStyle w:val="CaptionedFigure"/>
        <w:jc w:val="center"/>
        <w:rPr/>
      </w:pPr>
      <w:r>
        <w:rPr/>
        <w:drawing>
          <wp:inline distT="0" distB="0" distL="0" distR="0">
            <wp:extent cx="5303520" cy="3480435"/>
            <wp:effectExtent l="0" t="0" r="0" b="0"/>
            <wp:docPr id="17" name="Image17" descr="Figure A2. Live security checks by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Figure A2. Live security checks by category"/>
                    <pic:cNvPicPr>
                      <a:picLocks noChangeAspect="1" noChangeArrowheads="1"/>
                    </pic:cNvPicPr>
                  </pic:nvPicPr>
                  <pic:blipFill>
                    <a:blip r:embed="rId24"/>
                    <a:stretch>
                      <a:fillRect/>
                    </a:stretch>
                  </pic:blipFill>
                  <pic:spPr bwMode="auto">
                    <a:xfrm>
                      <a:off x="0" y="0"/>
                      <a:ext cx="5303520" cy="3480435"/>
                    </a:xfrm>
                    <a:prstGeom prst="rect">
                      <a:avLst/>
                    </a:prstGeom>
                  </pic:spPr>
                </pic:pic>
              </a:graphicData>
            </a:graphic>
          </wp:inline>
        </w:drawing>
      </w:r>
    </w:p>
    <w:p>
      <w:pPr>
        <w:pStyle w:val="ImageCaption"/>
        <w:rPr/>
      </w:pPr>
      <w:r>
        <w:rPr/>
        <w:t>Figure A2. Live security checks by category</w:t>
      </w:r>
    </w:p>
    <w:p>
      <w:pPr>
        <w:pStyle w:val="CaptionedFigure"/>
        <w:jc w:val="center"/>
        <w:rPr/>
      </w:pPr>
      <w:r>
        <w:rPr/>
        <w:drawing>
          <wp:inline distT="0" distB="0" distL="0" distR="0">
            <wp:extent cx="5303520" cy="2486025"/>
            <wp:effectExtent l="0" t="0" r="0" b="0"/>
            <wp:docPr id="18" name="Image18" descr="Figure A3. Verifier evaluation by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Figure A3. Verifier evaluation by check"/>
                    <pic:cNvPicPr>
                      <a:picLocks noChangeAspect="1" noChangeArrowheads="1"/>
                    </pic:cNvPicPr>
                  </pic:nvPicPr>
                  <pic:blipFill>
                    <a:blip r:embed="rId25"/>
                    <a:stretch>
                      <a:fillRect/>
                    </a:stretch>
                  </pic:blipFill>
                  <pic:spPr bwMode="auto">
                    <a:xfrm>
                      <a:off x="0" y="0"/>
                      <a:ext cx="5303520" cy="2486025"/>
                    </a:xfrm>
                    <a:prstGeom prst="rect">
                      <a:avLst/>
                    </a:prstGeom>
                  </pic:spPr>
                </pic:pic>
              </a:graphicData>
            </a:graphic>
          </wp:inline>
        </w:drawing>
      </w:r>
    </w:p>
    <w:p>
      <w:pPr>
        <w:pStyle w:val="ImageCaption"/>
        <w:rPr/>
      </w:pPr>
      <w:bookmarkStart w:id="94" w:name="appendix-a.-evidence-charts"/>
      <w:r>
        <w:rPr/>
        <w:t>Figure A3. Verifier evaluation by check</w:t>
      </w:r>
      <w:bookmarkEnd w:id="94"/>
    </w:p>
    <w:p>
      <w:pPr>
        <w:pStyle w:val="Heading2"/>
        <w:rPr/>
      </w:pPr>
      <w:bookmarkStart w:id="95" w:name="__RefHeading___Toc4555_2567261957"/>
      <w:bookmarkStart w:id="96" w:name="appendix-b.-delivery-timeline"/>
      <w:bookmarkEnd w:id="95"/>
      <w:r>
        <w:rPr/>
        <w:t>Appendix B. Delivery timeline</w:t>
      </w:r>
    </w:p>
    <w:p>
      <w:pPr>
        <w:pStyle w:val="CaptionedFigure"/>
        <w:jc w:val="center"/>
        <w:rPr/>
      </w:pPr>
      <w:r>
        <w:rPr/>
        <w:drawing>
          <wp:inline distT="0" distB="0" distL="0" distR="0">
            <wp:extent cx="5486400" cy="2030095"/>
            <wp:effectExtent l="0" t="0" r="0" b="0"/>
            <wp:docPr id="19" name="Image19" descr="Figure B1. Delivery timeline, 7–25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Figure B1. Delivery timeline, 7–25 October 2026"/>
                    <pic:cNvPicPr>
                      <a:picLocks noChangeAspect="1" noChangeArrowheads="1"/>
                    </pic:cNvPicPr>
                  </pic:nvPicPr>
                  <pic:blipFill>
                    <a:blip r:embed="rId26"/>
                    <a:stretch>
                      <a:fillRect/>
                    </a:stretch>
                  </pic:blipFill>
                  <pic:spPr bwMode="auto">
                    <a:xfrm>
                      <a:off x="0" y="0"/>
                      <a:ext cx="5486400" cy="2030095"/>
                    </a:xfrm>
                    <a:prstGeom prst="rect">
                      <a:avLst/>
                    </a:prstGeom>
                  </pic:spPr>
                </pic:pic>
              </a:graphicData>
            </a:graphic>
          </wp:inline>
        </w:drawing>
      </w:r>
    </w:p>
    <w:p>
      <w:pPr>
        <w:pStyle w:val="ImageCaption"/>
        <w:rPr/>
      </w:pPr>
      <w:bookmarkStart w:id="97" w:name="appendix-b.-delivery-timeline"/>
      <w:r>
        <w:rPr/>
        <w:t>Figure B1. Delivery timeline, 7–25 October 2026</w:t>
      </w:r>
      <w:bookmarkEnd w:id="97"/>
    </w:p>
    <w:p>
      <w:pPr>
        <w:pStyle w:val="Heading2"/>
        <w:rPr/>
      </w:pPr>
      <w:bookmarkStart w:id="98" w:name="__RefHeading___Toc4557_2567261957"/>
      <w:bookmarkStart w:id="99" w:name="appendix-c.-additional-screenshots"/>
      <w:bookmarkEnd w:id="98"/>
      <w:r>
        <w:rPr/>
        <w:t>Appendix C. Additional screenshots</w:t>
      </w:r>
    </w:p>
    <w:p>
      <w:pPr>
        <w:pStyle w:val="CaptionedFigure"/>
        <w:jc w:val="center"/>
        <w:rPr/>
      </w:pPr>
      <w:r>
        <w:rPr/>
        <w:drawing>
          <wp:inline distT="0" distB="0" distL="0" distR="0">
            <wp:extent cx="5486400" cy="3429000"/>
            <wp:effectExtent l="0" t="0" r="0" b="0"/>
            <wp:docPr id="20" name="Image20" descr="Figure C1. Live progress through the 12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Figure C1. Live progress through the 12 steps"/>
                    <pic:cNvPicPr>
                      <a:picLocks noChangeAspect="1" noChangeArrowheads="1"/>
                    </pic:cNvPicPr>
                  </pic:nvPicPr>
                  <pic:blipFill>
                    <a:blip r:embed="rId27"/>
                    <a:stretch>
                      <a:fillRect/>
                    </a:stretch>
                  </pic:blipFill>
                  <pic:spPr bwMode="auto">
                    <a:xfrm>
                      <a:off x="0" y="0"/>
                      <a:ext cx="5486400" cy="3429000"/>
                    </a:xfrm>
                    <a:prstGeom prst="rect">
                      <a:avLst/>
                    </a:prstGeom>
                  </pic:spPr>
                </pic:pic>
              </a:graphicData>
            </a:graphic>
          </wp:inline>
        </w:drawing>
      </w:r>
    </w:p>
    <w:p>
      <w:pPr>
        <w:pStyle w:val="ImageCaption"/>
        <w:rPr/>
      </w:pPr>
      <w:r>
        <w:rPr/>
        <w:t>Figure C1. Live progress through the 12 steps</w:t>
      </w:r>
    </w:p>
    <w:p>
      <w:pPr>
        <w:pStyle w:val="CaptionedFigure"/>
        <w:jc w:val="center"/>
        <w:rPr/>
      </w:pPr>
      <w:r>
        <w:rPr/>
        <w:drawing>
          <wp:inline distT="0" distB="0" distL="0" distR="0">
            <wp:extent cx="5486400" cy="3429000"/>
            <wp:effectExtent l="0" t="0" r="0" b="0"/>
            <wp:docPr id="21" name="Image21" descr="Figure C2. The recipe and the masked description a model would be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Figure C2. The recipe and the masked description a model would be shown"/>
                    <pic:cNvPicPr>
                      <a:picLocks noChangeAspect="1" noChangeArrowheads="1"/>
                    </pic:cNvPicPr>
                  </pic:nvPicPr>
                  <pic:blipFill>
                    <a:blip r:embed="rId28"/>
                    <a:stretch>
                      <a:fillRect/>
                    </a:stretch>
                  </pic:blipFill>
                  <pic:spPr bwMode="auto">
                    <a:xfrm>
                      <a:off x="0" y="0"/>
                      <a:ext cx="5486400" cy="3429000"/>
                    </a:xfrm>
                    <a:prstGeom prst="rect">
                      <a:avLst/>
                    </a:prstGeom>
                  </pic:spPr>
                </pic:pic>
              </a:graphicData>
            </a:graphic>
          </wp:inline>
        </w:drawing>
      </w:r>
    </w:p>
    <w:p>
      <w:pPr>
        <w:pStyle w:val="ImageCaption"/>
        <w:rPr/>
      </w:pPr>
      <w:r>
        <w:rPr/>
        <w:t>Figure C2. The recipe and the masked description a model would be shown</w:t>
      </w:r>
    </w:p>
    <w:p>
      <w:pPr>
        <w:pStyle w:val="CaptionedFigure"/>
        <w:jc w:val="center"/>
        <w:rPr/>
      </w:pPr>
      <w:r>
        <w:rPr/>
        <w:drawing>
          <wp:inline distT="0" distB="0" distL="0" distR="0">
            <wp:extent cx="5486400" cy="3429000"/>
            <wp:effectExtent l="0" t="0" r="0" b="0"/>
            <wp:docPr id="22" name="Image22" descr="Figure C3. See the data beside the report, personal columns 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Figure C3. See the data beside the report, personal columns hidden"/>
                    <pic:cNvPicPr>
                      <a:picLocks noChangeAspect="1" noChangeArrowheads="1"/>
                    </pic:cNvPicPr>
                  </pic:nvPicPr>
                  <pic:blipFill>
                    <a:blip r:embed="rId29"/>
                    <a:stretch>
                      <a:fillRect/>
                    </a:stretch>
                  </pic:blipFill>
                  <pic:spPr bwMode="auto">
                    <a:xfrm>
                      <a:off x="0" y="0"/>
                      <a:ext cx="5486400" cy="3429000"/>
                    </a:xfrm>
                    <a:prstGeom prst="rect">
                      <a:avLst/>
                    </a:prstGeom>
                  </pic:spPr>
                </pic:pic>
              </a:graphicData>
            </a:graphic>
          </wp:inline>
        </w:drawing>
      </w:r>
    </w:p>
    <w:p>
      <w:pPr>
        <w:pStyle w:val="ImageCaption"/>
        <w:rPr/>
      </w:pPr>
      <w:r>
        <w:rPr/>
        <w:t>Figure C3. See the data beside the report, personal columns hidden</w:t>
      </w:r>
    </w:p>
    <w:p>
      <w:pPr>
        <w:pStyle w:val="CaptionedFigure"/>
        <w:jc w:val="center"/>
        <w:rPr/>
      </w:pPr>
      <w:r>
        <w:rPr/>
        <w:drawing>
          <wp:inline distT="0" distB="0" distL="0" distR="0">
            <wp:extent cx="5486400" cy="3297555"/>
            <wp:effectExtent l="0" t="0" r="0" b="0"/>
            <wp:docPr id="23" name="Image23" descr="Figure C4. The map drawn from the restaurants’ coordin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Figure C4. The map drawn from the restaurants’ coordinates"/>
                    <pic:cNvPicPr>
                      <a:picLocks noChangeAspect="1" noChangeArrowheads="1"/>
                    </pic:cNvPicPr>
                  </pic:nvPicPr>
                  <pic:blipFill>
                    <a:blip r:embed="rId30"/>
                    <a:stretch>
                      <a:fillRect/>
                    </a:stretch>
                  </pic:blipFill>
                  <pic:spPr bwMode="auto">
                    <a:xfrm>
                      <a:off x="0" y="0"/>
                      <a:ext cx="5486400" cy="3297555"/>
                    </a:xfrm>
                    <a:prstGeom prst="rect">
                      <a:avLst/>
                    </a:prstGeom>
                  </pic:spPr>
                </pic:pic>
              </a:graphicData>
            </a:graphic>
          </wp:inline>
        </w:drawing>
      </w:r>
    </w:p>
    <w:p>
      <w:pPr>
        <w:pStyle w:val="ImageCaption"/>
        <w:rPr/>
      </w:pPr>
      <w:bookmarkStart w:id="100" w:name="appendix-c.-additional-screenshots"/>
      <w:r>
        <w:rPr/>
        <w:t>Figure C4. The map drawn from the restaurants’ coordinates</w:t>
      </w:r>
      <w:bookmarkEnd w:id="100"/>
    </w:p>
    <w:p>
      <w:pPr>
        <w:pStyle w:val="Heading2"/>
        <w:rPr/>
      </w:pPr>
      <w:bookmarkStart w:id="101" w:name="__RefHeading___Toc4559_2567261957"/>
      <w:bookmarkStart w:id="102" w:name="appendix-d.-sample-output"/>
      <w:bookmarkEnd w:id="101"/>
      <w:r>
        <w:rPr/>
        <w:t>Appendix D. Sample output</w:t>
      </w:r>
    </w:p>
    <w:p>
      <w:pPr>
        <w:pStyle w:val="FirstParagraph"/>
        <w:rPr/>
      </w:pPr>
      <w:r>
        <w:rPr/>
        <w:t>The report’s opening for the Zomato case study (“In short”), as written by the engine on 25 October 2026:</w:t>
      </w:r>
    </w:p>
    <w:p>
      <w:pPr>
        <w:pStyle w:val="BlockText"/>
        <w:rPr/>
      </w:pPr>
      <w:r>
        <w:rPr/>
        <w:t>Average Cost for two and Price range rise together: the link is strong (rank correlation 0.66; 95% interval 0.65 to 0.67). F7</w:t>
      </w:r>
    </w:p>
    <w:p>
      <w:pPr>
        <w:pStyle w:val="BlockText"/>
        <w:rPr/>
      </w:pPr>
      <w:r>
        <w:rPr/>
        <w:t>Price range and Aggregate rating rise together: the link is moderate (rank correlation 0.50; 95% interval 0.48 to 0.51). F10</w:t>
      </w:r>
    </w:p>
    <w:p>
      <w:pPr>
        <w:pStyle w:val="FirstParagraph"/>
        <w:rPr/>
      </w:pPr>
      <w:r>
        <w:rPr/>
        <w:t>The same report also found that “Average Cost for two” differs strongly by currency (eta 0.82). This is correct but expected, because the column mixes 12 currencies; it is the kind of comparison a reviewer can leave out in Manual mode.</w:t>
      </w:r>
    </w:p>
    <w:p>
      <w:pPr>
        <w:pStyle w:val="CaptionedFigure"/>
        <w:jc w:val="center"/>
        <w:rPr/>
      </w:pPr>
      <w:r>
        <w:rPr/>
        <w:drawing>
          <wp:inline distT="0" distB="0" distL="0" distR="0">
            <wp:extent cx="5486400" cy="3429000"/>
            <wp:effectExtent l="0" t="0" r="0" b="0"/>
            <wp:docPr id="24" name="Image24" descr="Figure D1. The report’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Figure D1. The report’s first page"/>
                    <pic:cNvPicPr>
                      <a:picLocks noChangeAspect="1" noChangeArrowheads="1"/>
                    </pic:cNvPicPr>
                  </pic:nvPicPr>
                  <pic:blipFill>
                    <a:blip r:embed="rId31"/>
                    <a:stretch>
                      <a:fillRect/>
                    </a:stretch>
                  </pic:blipFill>
                  <pic:spPr bwMode="auto">
                    <a:xfrm>
                      <a:off x="0" y="0"/>
                      <a:ext cx="5486400" cy="3429000"/>
                    </a:xfrm>
                    <a:prstGeom prst="rect">
                      <a:avLst/>
                    </a:prstGeom>
                  </pic:spPr>
                </pic:pic>
              </a:graphicData>
            </a:graphic>
          </wp:inline>
        </w:drawing>
      </w:r>
    </w:p>
    <w:p>
      <w:pPr>
        <w:pStyle w:val="ImageCaption"/>
        <w:rPr/>
      </w:pPr>
      <w:bookmarkStart w:id="103" w:name="appendix-d.-sample-output"/>
      <w:r>
        <w:rPr/>
        <w:t>Figure D1. The report’s first page</w:t>
      </w:r>
      <w:bookmarkEnd w:id="103"/>
    </w:p>
    <w:p>
      <w:pPr>
        <w:pStyle w:val="Heading2"/>
        <w:rPr/>
      </w:pPr>
      <w:bookmarkStart w:id="104" w:name="__RefHeading___Toc4561_2567261957"/>
      <w:bookmarkEnd w:id="104"/>
      <w:r>
        <w:rPr/>
        <w:t>Appendix E. Technology detail</w:t>
      </w:r>
    </w:p>
    <w:p>
      <w:pPr>
        <w:pStyle w:val="TableCaption"/>
        <w:rPr/>
      </w:pPr>
      <w:r>
        <w:rPr/>
        <w:t>Table E1. Full versions (24 October 2026)</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535"/>
        <w:gridCol w:w="4536"/>
      </w:tblGrid>
      <w:tr>
        <w:trPr>
          <w:tblHeader w:val="true"/>
          <w:cantSplit w:val="true"/>
        </w:trPr>
        <w:tc>
          <w:tcPr>
            <w:tcW w:w="4535"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Component</w:t>
            </w:r>
          </w:p>
        </w:tc>
        <w:tc>
          <w:tcPr>
            <w:tcW w:w="4536"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Version</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Next.js / React / TypeScript / Tailwind CSS</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16.4.3 / 19.3.0 / 5.9 / 4.3.3</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Better Auth</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1.7.7</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Python / FastAPI / Pydantic / SQLAlchemy</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3.13 / 0.143.0 / 2.14.0 / 2.1.4</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Procrastinate / PostgreSQL</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3.10.0 / 18</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DuckDB / NumPy / SciPy / scikit-learn / Shapely</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1.5.6 / 2.5.3 / 1.18.1 / 1.9.1 / 2.2.0</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fpdf2 / python-docx / Jinja2</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2.8.9 / 1.2.0 / 3.1.6</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pytest / Vitest / Playwright</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9 / 5.0.3 / 1.56.1</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Caddy / Docker Compose</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2 / v2</w:t>
            </w:r>
            <w:bookmarkStart w:id="105" w:name="appendix-e.-technology-detail"/>
            <w:bookmarkEnd w:id="105"/>
          </w:p>
        </w:tc>
      </w:tr>
    </w:tbl>
    <w:p>
      <w:pPr>
        <w:pStyle w:val="Heading2"/>
        <w:rPr/>
      </w:pPr>
      <w:bookmarkStart w:id="106" w:name="__RefHeading___Toc4563_2567261957"/>
      <w:bookmarkEnd w:id="106"/>
      <w:r>
        <w:rPr/>
        <w:t>Appendix F. Glossary</w:t>
      </w:r>
    </w:p>
    <w:p>
      <w:pPr>
        <w:pStyle w:val="TableCaption"/>
        <w:rPr/>
      </w:pPr>
      <w:r>
        <w:rPr/>
        <w:t>Table F1. Glossary</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535"/>
        <w:gridCol w:w="4536"/>
      </w:tblGrid>
      <w:tr>
        <w:trPr>
          <w:tblHeader w:val="true"/>
          <w:cantSplit w:val="true"/>
        </w:trPr>
        <w:tc>
          <w:tcPr>
            <w:tcW w:w="4535"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Term</w:t>
            </w:r>
          </w:p>
        </w:tc>
        <w:tc>
          <w:tcPr>
            <w:tcW w:w="4536"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Meaning</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Benjamini–Hochberg</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 method that adjusts many test results together to limit the share of false alarms</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Content hash</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 fingerprint of a record that changes if any part of it changes</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Effect size</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How large a difference or link is, separate from whether it is significant</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Evidence tier</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Strong evidence, Supported, Not reliable or Descriptive</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Exploration</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 follow-up analysis of one group, marked exploratory</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Fact</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 stored, unchangeable record of one finding with its test and source rows</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False alarm</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 result that looks significant only by chance</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Masked</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Hidden from analysis and from any AI model because it is personal data</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Recipe</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 Python script that rebuilds the cleaned table</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Review step</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The pause in Manual mode where the user decides each data-changing fix</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Row-level security</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 database rule that stops one customer reading another’s data</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Slot</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 placeholder in a sentence that code fills with a number from a fact</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Source chip</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The clickable fact id beside a number in the report</w:t>
            </w:r>
          </w:p>
        </w:tc>
      </w:tr>
      <w:tr>
        <w:trPr>
          <w:cantSplit w:val="true"/>
        </w:trPr>
        <w:tc>
          <w:tcPr>
            <w:tcW w:w="4535"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Workspace</w:t>
            </w:r>
          </w:p>
        </w:tc>
        <w:tc>
          <w:tcPr>
            <w:tcW w:w="4536"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 user’s private space for files and analyses</w:t>
            </w:r>
          </w:p>
        </w:tc>
      </w:tr>
    </w:tbl>
    <w:p>
      <w:pPr>
        <w:pStyle w:val="Heading2"/>
        <w:rPr/>
      </w:pPr>
      <w:bookmarkStart w:id="107" w:name="__RefHeading___Toc4565_2567261957"/>
      <w:bookmarkEnd w:id="107"/>
      <w:r>
        <w:rPr/>
        <w:t>Appendix G. How to evaluate InsightfulCell</w:t>
      </w:r>
    </w:p>
    <w:p>
      <w:pPr>
        <w:pStyle w:val="Compact"/>
        <w:numPr>
          <w:ilvl w:val="0"/>
          <w:numId w:val="7"/>
        </w:numPr>
        <w:rPr/>
      </w:pPr>
      <w:r>
        <w:rPr/>
        <w:t xml:space="preserve">Open the live application: </w:t>
      </w:r>
      <w:hyperlink r:id="rId32">
        <w:r>
          <w:rPr>
            <w:rStyle w:val="Hyperlink"/>
          </w:rPr>
          <w:t>https://app.ic.rgproject.me</w:t>
        </w:r>
      </w:hyperlink>
      <w:r>
        <w:rPr/>
        <w:t>.</w:t>
      </w:r>
    </w:p>
    <w:p>
      <w:pPr>
        <w:pStyle w:val="Compact"/>
        <w:numPr>
          <w:ilvl w:val="0"/>
          <w:numId w:val="8"/>
        </w:numPr>
        <w:rPr/>
      </w:pPr>
      <w:r>
        <w:rPr/>
        <w:t>Create an account with any email address you can receive mail at, and choose a password.</w:t>
      </w:r>
    </w:p>
    <w:p>
      <w:pPr>
        <w:pStyle w:val="Compact"/>
        <w:numPr>
          <w:ilvl w:val="0"/>
          <w:numId w:val="9"/>
        </w:numPr>
        <w:rPr/>
      </w:pPr>
      <w:r>
        <w:rPr/>
        <w:t xml:space="preserve">Download the sample file </w:t>
      </w:r>
      <w:hyperlink r:id="rId33">
        <w:r>
          <w:rPr>
            <w:rStyle w:val="Hyperlink"/>
          </w:rPr>
          <w:t>Zomato Restaurant Dataset.csv</w:t>
        </w:r>
      </w:hyperlink>
      <w:r>
        <w:rPr/>
        <w:t>; other samples are in the repository’s sample data folder.</w:t>
      </w:r>
    </w:p>
    <w:p>
      <w:pPr>
        <w:pStyle w:val="Compact"/>
        <w:numPr>
          <w:ilvl w:val="0"/>
          <w:numId w:val="10"/>
        </w:numPr>
        <w:rPr/>
      </w:pPr>
      <w:r>
        <w:rPr/>
        <w:t>Follow the usage guide, which explains every screen and the logic behind it.</w:t>
      </w:r>
    </w:p>
    <w:p>
      <w:pPr>
        <w:pStyle w:val="Compact"/>
        <w:numPr>
          <w:ilvl w:val="0"/>
          <w:numId w:val="11"/>
        </w:numPr>
        <w:rPr/>
      </w:pPr>
      <w:r>
        <w:rPr/>
        <w:t xml:space="preserve">To run it locally, follow the README’s installation section: install the prerequisites, run </w:t>
      </w:r>
      <w:r>
        <w:rPr>
          <w:rStyle w:val="VerbatimChar"/>
        </w:rPr>
        <w:t>make bootstrap</w:t>
      </w:r>
      <w:r>
        <w:rPr/>
        <w:t xml:space="preserve">, </w:t>
      </w:r>
      <w:r>
        <w:rPr>
          <w:rStyle w:val="VerbatimChar"/>
        </w:rPr>
        <w:t>make up</w:t>
      </w:r>
      <w:r>
        <w:rPr/>
        <w:t xml:space="preserve">, </w:t>
      </w:r>
      <w:r>
        <w:rPr>
          <w:rStyle w:val="VerbatimChar"/>
        </w:rPr>
        <w:t>make migrate</w:t>
      </w:r>
      <w:r>
        <w:rPr/>
        <w:t xml:space="preserve"> and </w:t>
      </w:r>
      <w:r>
        <w:rPr>
          <w:rStyle w:val="VerbatimChar"/>
        </w:rPr>
        <w:t>make dev</w:t>
      </w:r>
      <w:r>
        <w:rPr/>
        <w:t xml:space="preserve">, then open </w:t>
      </w:r>
      <w:hyperlink r:id="rId34">
        <w:r>
          <w:rPr>
            <w:rStyle w:val="Hyperlink"/>
          </w:rPr>
          <w:t>http://localhost:3000</w:t>
        </w:r>
      </w:hyperlink>
      <w:r>
        <w:rPr/>
        <w:t>.</w:t>
      </w:r>
    </w:p>
    <w:p>
      <w:pPr>
        <w:pStyle w:val="Heading2"/>
        <w:rPr/>
      </w:pPr>
      <w:bookmarkStart w:id="108" w:name="__RefHeading___Toc4567_2567261957"/>
      <w:bookmarkStart w:id="109" w:name="X7ea6d12f453f84cf6eff3da2aa5ddcbe543fe9a"/>
      <w:bookmarkEnd w:id="108"/>
      <w:r>
        <w:rPr/>
        <w:t>Appendix H. Acknowledgements and attribution</w:t>
      </w:r>
    </w:p>
    <w:p>
      <w:pPr>
        <w:pStyle w:val="TableCaption"/>
        <w:rPr/>
      </w:pPr>
      <w:r>
        <w:rPr/>
        <w:t>Table H1. Key open-source libraries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024"/>
        <w:gridCol w:w="3024"/>
        <w:gridCol w:w="3024"/>
      </w:tblGrid>
      <w:tr>
        <w:trPr>
          <w:tblHeader w:val="true"/>
          <w:cantSplit w:val="true"/>
        </w:trPr>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Library</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Used for</w:t>
            </w:r>
          </w:p>
        </w:tc>
        <w:tc>
          <w:tcPr>
            <w:tcW w:w="3024" w:type="dxa"/>
            <w:tcBorders>
              <w:top w:val="single" w:sz="4" w:space="0" w:color="BFBFBF"/>
              <w:bottom w:val="single" w:sz="6" w:space="0" w:color="000000"/>
            </w:tcBorders>
            <w:shd w:color="auto" w:fill="E6EFEC" w:val="clear"/>
            <w:vAlign w:val="bottom"/>
          </w:tcPr>
          <w:p>
            <w:pPr>
              <w:pStyle w:val="Compact"/>
              <w:widowControl/>
              <w:spacing w:lineRule="auto" w:line="240" w:before="36" w:after="40"/>
              <w:jc w:val="left"/>
              <w:rPr>
                <w:kern w:val="0"/>
                <w:szCs w:val="24"/>
                <w:lang w:val="en-AU" w:eastAsia="en-US" w:bidi="ar-SA"/>
              </w:rPr>
            </w:pPr>
            <w:r>
              <w:rPr>
                <w:b/>
                <w:kern w:val="0"/>
                <w:sz w:val="20"/>
                <w:szCs w:val="24"/>
                <w:lang w:val="en-AU" w:eastAsia="en-US" w:bidi="ar-SA"/>
              </w:rPr>
              <w:t>Licence</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Next.js, React, Better Auth, Tailwind CSS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Web app and sign-in</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MIT</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FastAPI, Pydantic, SQLAlchemy, Procrastinate, DuckDB</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API, data access, job queue, parsing</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MIT</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psycopg, fpdf2</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Database driver, PDF reports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LGPL-3.0</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NumPy, SciPy, scikit-learn, Shapely, Jinja2</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Statistics, geometry, templates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BSD-3-Clause</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boto3, Google Gen AI SDK, OpenAI SDK, Playwright</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Storage, optional AI, browser tests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Apache-2.0</w:t>
            </w:r>
          </w:p>
        </w:tc>
      </w:tr>
      <w:tr>
        <w:trPr>
          <w:cantSplit w:val="true"/>
        </w:trPr>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axe-core</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Accessibility tests</w:t>
            </w:r>
          </w:p>
        </w:tc>
        <w:tc>
          <w:tcPr>
            <w:tcW w:w="3024" w:type="dxa"/>
            <w:tcBorders>
              <w:top w:val="single" w:sz="4" w:space="0" w:color="BFBFBF"/>
              <w:bottom w:val="single" w:sz="4" w:space="0" w:color="BFBFBF"/>
            </w:tcBorders>
          </w:tcPr>
          <w:p>
            <w:pPr>
              <w:pStyle w:val="Compact"/>
              <w:widowControl/>
              <w:spacing w:lineRule="auto" w:line="240" w:before="36" w:after="40"/>
              <w:jc w:val="left"/>
              <w:rPr>
                <w:kern w:val="0"/>
                <w:szCs w:val="24"/>
                <w:lang w:val="en-AU" w:eastAsia="en-US" w:bidi="ar-SA"/>
              </w:rPr>
            </w:pPr>
            <w:r>
              <w:rPr>
                <w:kern w:val="0"/>
                <w:sz w:val="20"/>
                <w:szCs w:val="24"/>
                <w:lang w:val="en-AU" w:eastAsia="en-US" w:bidi="ar-SA"/>
              </w:rPr>
              <w:t>MPL-2.0</w:t>
            </w:r>
          </w:p>
        </w:tc>
      </w:tr>
    </w:tbl>
    <w:p>
      <w:pPr>
        <w:pStyle w:val="Compact"/>
        <w:numPr>
          <w:ilvl w:val="0"/>
          <w:numId w:val="12"/>
        </w:numPr>
        <w:rPr/>
      </w:pPr>
      <w:r>
        <w:rPr>
          <w:b/>
          <w:bCs/>
        </w:rPr>
        <w:t>Reference data:</w:t>
      </w:r>
      <w:r>
        <w:rPr/>
        <w:t xml:space="preserve"> country and state boundaries from Natural Earth 5.1.2 (public domain).</w:t>
      </w:r>
    </w:p>
    <w:p>
      <w:pPr>
        <w:pStyle w:val="Compact"/>
        <w:numPr>
          <w:ilvl w:val="0"/>
          <w:numId w:val="13"/>
        </w:numPr>
        <w:rPr/>
      </w:pPr>
      <w:r>
        <w:rPr>
          <w:b/>
          <w:bCs/>
        </w:rPr>
        <w:t>Fonts:</w:t>
      </w:r>
      <w:r>
        <w:rPr/>
        <w:t xml:space="preserve"> DejaVu Sans in exported reports (DejaVu fonts licence) and Geist in the web app (SIL Open Font Licence).</w:t>
      </w:r>
    </w:p>
    <w:p>
      <w:pPr>
        <w:pStyle w:val="Compact"/>
        <w:numPr>
          <w:ilvl w:val="0"/>
          <w:numId w:val="14"/>
        </w:numPr>
        <w:rPr/>
      </w:pPr>
      <w:r>
        <w:rPr>
          <w:b/>
          <w:bCs/>
        </w:rPr>
        <w:t>Sample data:</w:t>
      </w:r>
      <w:r>
        <w:rPr/>
        <w:t xml:space="preserve"> the Zomato Restaurants Data, AI Usage and Impact on Students &amp; Professionals, and Data Science Job Listings – Australia datasets are public-domain (CC0) datasets from Kaggle. All other sample files are synthetic, generated for testing.</w:t>
      </w:r>
    </w:p>
    <w:p>
      <w:pPr>
        <w:pStyle w:val="Compact"/>
        <w:numPr>
          <w:ilvl w:val="0"/>
          <w:numId w:val="15"/>
        </w:numPr>
        <w:rPr/>
      </w:pPr>
      <w:r>
        <w:rPr>
          <w:b/>
          <w:bCs/>
        </w:rPr>
        <w:t>AI-assisted development:</w:t>
      </w:r>
      <w:r>
        <w:rPr/>
        <w:t xml:space="preserve"> we used AI coding assistants during development; our own contributions and design decisions are set out in the repository’s README, under “Team and contributions”.</w:t>
      </w:r>
      <w:bookmarkEnd w:id="91"/>
      <w:bookmarkEnd w:id="109"/>
    </w:p>
    <w:p>
      <w:pPr>
        <w:pStyle w:val="Heading1"/>
        <w:rPr/>
      </w:pPr>
      <w:bookmarkStart w:id="110" w:name="__RefHeading___Toc4569_2567261957"/>
      <w:bookmarkStart w:id="111" w:name="references"/>
      <w:bookmarkEnd w:id="110"/>
      <w:r>
        <w:rPr/>
        <w:t>References</w:t>
      </w:r>
    </w:p>
    <w:p>
      <w:pPr>
        <w:pStyle w:val="FirstParagraph"/>
        <w:rPr/>
      </w:pPr>
      <w:r>
        <w:rPr/>
        <w:t xml:space="preserve">Australian Bureau of Statistics. (2026, August 18). </w:t>
      </w:r>
      <w:r>
        <w:rPr>
          <w:i/>
          <w:iCs/>
        </w:rPr>
        <w:t>Counts of Australian businesses, including entries and exits, July 2022 – June 2026</w:t>
      </w:r>
      <w:r>
        <w:rPr/>
        <w:t>. https://www.abs.gov.au/statistics/economy/business-indicators/counts-australian-businesses-including-entries-and-exits/latest-release</w:t>
      </w:r>
    </w:p>
    <w:p>
      <w:pPr>
        <w:pStyle w:val="BodyText"/>
        <w:rPr/>
      </w:pPr>
      <w:r>
        <w:rPr/>
        <w:t xml:space="preserve">Benjamini, Y., &amp; Hochberg, Y. (1995). Controlling the false discovery rate: A practical and powerful approach to multiple testing. </w:t>
      </w:r>
      <w:r>
        <w:rPr>
          <w:i/>
          <w:iCs/>
        </w:rPr>
        <w:t>Journal of the Royal Statistical Society: Series B (Methodological), 57</w:t>
      </w:r>
      <w:r>
        <w:rPr/>
        <w:t>(1), 289–300. https://doi.org/10.1111/j.2517-6161.1995.tb02031.x</w:t>
      </w:r>
    </w:p>
    <w:p>
      <w:pPr>
        <w:pStyle w:val="BodyText"/>
        <w:rPr/>
      </w:pPr>
      <w:r>
        <w:rPr/>
        <w:t xml:space="preserve">Ji, Z., Lee, N., Frieske, R., Yu, T., Su, D., Xu, Y., Ishii, E., Bang, Y. J., Madotto, A., &amp; Fung, P. (2023). Survey of hallucination in natural language generation. </w:t>
      </w:r>
      <w:r>
        <w:rPr>
          <w:i/>
          <w:iCs/>
        </w:rPr>
        <w:t>ACM Computing Surveys, 55</w:t>
      </w:r>
      <w:r>
        <w:rPr/>
        <w:t>(12), 1–38. https://doi.org/10.1145/3571730</w:t>
      </w:r>
    </w:p>
    <w:p>
      <w:pPr>
        <w:pStyle w:val="BodyText"/>
        <w:rPr/>
      </w:pPr>
      <w:r>
        <w:rPr/>
        <w:t xml:space="preserve">Nottingham, M., Wilde, E., &amp; Dalal, S. (2023). </w:t>
      </w:r>
      <w:r>
        <w:rPr>
          <w:i/>
          <w:iCs/>
        </w:rPr>
        <w:t>Problem details for HTTP APIs</w:t>
      </w:r>
      <w:r>
        <w:rPr/>
        <w:t xml:space="preserve"> (RFC 9457). Internet Engineering Task Force. https://www.rfc-editor.org/rfc/rfc9457</w:t>
      </w:r>
    </w:p>
    <w:p>
      <w:pPr>
        <w:pStyle w:val="BodyText"/>
        <w:rPr/>
      </w:pPr>
      <w:r>
        <w:rPr/>
        <w:t xml:space="preserve">Nygard, M. (2011, November 15). </w:t>
      </w:r>
      <w:r>
        <w:rPr>
          <w:i/>
          <w:iCs/>
        </w:rPr>
        <w:t>Documenting architecture decisions</w:t>
      </w:r>
      <w:r>
        <w:rPr/>
        <w:t>. Cognitect. https://cognitect.com/blog/2011/11/15/documenting-architecture-decisions</w:t>
      </w:r>
    </w:p>
    <w:p>
      <w:pPr>
        <w:pStyle w:val="BodyText"/>
        <w:rPr/>
      </w:pPr>
      <w:r>
        <w:rPr/>
        <w:t xml:space="preserve">Office of the Australian Information Commissioner. (n.d.). </w:t>
      </w:r>
      <w:r>
        <w:rPr>
          <w:i/>
          <w:iCs/>
        </w:rPr>
        <w:t>Australian Privacy Principles</w:t>
      </w:r>
      <w:r>
        <w:rPr/>
        <w:t>. Retrieved 25 October 2026, from https://www.oaic.gov.au/privacy/australian-privacy-principles</w:t>
      </w:r>
    </w:p>
    <w:p>
      <w:pPr>
        <w:pStyle w:val="BodyText"/>
        <w:rPr/>
      </w:pPr>
      <w:r>
        <w:rPr/>
        <w:t xml:space="preserve">OWASP Foundation. (2021). </w:t>
      </w:r>
      <w:r>
        <w:rPr>
          <w:i/>
          <w:iCs/>
        </w:rPr>
        <w:t>OWASP Top 10: 2021</w:t>
      </w:r>
      <w:r>
        <w:rPr/>
        <w:t>. https://owasp.org/Top10/</w:t>
      </w:r>
    </w:p>
    <w:p>
      <w:pPr>
        <w:pStyle w:val="BodyText"/>
        <w:rPr/>
      </w:pPr>
      <w:r>
        <w:rPr/>
        <w:t xml:space="preserve">PostgreSQL Global Development Group. (n.d.). </w:t>
      </w:r>
      <w:r>
        <w:rPr>
          <w:i/>
          <w:iCs/>
        </w:rPr>
        <w:t>Row security policies</w:t>
      </w:r>
      <w:r>
        <w:rPr/>
        <w:t>. PostgreSQL documentation. Retrieved 25 October 2026, from https://www.postgresql.org/docs/current/ddl-rowsecurity.html</w:t>
      </w:r>
    </w:p>
    <w:p>
      <w:pPr>
        <w:pStyle w:val="BodyText"/>
        <w:spacing w:lineRule="auto" w:line="276" w:before="180" w:after="120"/>
        <w:rPr/>
      </w:pPr>
      <w:r>
        <w:rPr/>
        <w:t xml:space="preserve">World Wide Web Consortium. (2023). </w:t>
      </w:r>
      <w:r>
        <w:rPr>
          <w:i/>
          <w:iCs/>
        </w:rPr>
        <w:t>Web Content Accessibility Guidelines (WCAG) 2.2</w:t>
      </w:r>
      <w:r>
        <w:rPr/>
        <w:t>. https://www.w3.org/TR/WCAG22/</w:t>
      </w:r>
      <w:bookmarkEnd w:id="111"/>
    </w:p>
    <w:sectPr>
      <w:headerReference w:type="default" r:id="rId35"/>
      <w:headerReference w:type="first" r:id="rId36"/>
      <w:footerReference w:type="default" r:id="rId37"/>
      <w:footerReference w:type="first" r:id="rId38"/>
      <w:type w:val="nextPage"/>
      <w:pgSz w:w="11906" w:h="16838"/>
      <w:pgMar w:left="1417" w:right="1417" w:gutter="0" w:header="720" w:top="1417" w:footer="72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20"/>
        <w:tab w:val="right" w:pos="9071" w:leader="none"/>
      </w:tabs>
      <w:spacing w:before="0" w:after="120"/>
      <w:rPr/>
    </w:pPr>
    <w:r>
      <w:rPr>
        <w:color w:val="5E625E"/>
        <w:sz w:val="18"/>
      </w:rPr>
      <w:t>CDU IT Code Fair Sydney 2026</w:t>
      <w:tab/>
      <w:t xml:space="preserve">Page </w:t>
    </w:r>
    <w:r>
      <w:rPr>
        <w:color w:val="5E625E"/>
        <w:sz w:val="18"/>
      </w:rPr>
      <w:fldChar w:fldCharType="begin"/>
    </w:r>
    <w:r>
      <w:rPr>
        <w:sz w:val="18"/>
        <w:color w:val="5E625E"/>
      </w:rPr>
      <w:instrText xml:space="preserve"> PAGE </w:instrText>
    </w:r>
    <w:r>
      <w:rPr>
        <w:sz w:val="18"/>
        <w:color w:val="5E625E"/>
      </w:rPr>
      <w:fldChar w:fldCharType="separate"/>
    </w:r>
    <w:r>
      <w:rPr>
        <w:sz w:val="18"/>
        <w:color w:val="5E625E"/>
      </w:rPr>
      <w:t>39</w:t>
    </w:r>
    <w:r>
      <w:rPr>
        <w:sz w:val="18"/>
        <w:color w:val="5E625E"/>
      </w:rPr>
      <w:fldChar w:fldCharType="end"/>
    </w:r>
    <w:r>
      <w:rPr>
        <w:color w:val="5E625E"/>
        <w:sz w:val="18"/>
      </w:rPr>
      <w:t xml:space="preserve"> of </w:t>
    </w:r>
    <w:r>
      <w:rPr>
        <w:color w:val="5E625E"/>
        <w:sz w:val="18"/>
      </w:rPr>
      <w:fldChar w:fldCharType="begin"/>
    </w:r>
    <w:r>
      <w:rPr>
        <w:sz w:val="18"/>
        <w:color w:val="5E625E"/>
      </w:rPr>
      <w:instrText xml:space="preserve"> NUMPAGES </w:instrText>
    </w:r>
    <w:r>
      <w:rPr>
        <w:sz w:val="18"/>
        <w:color w:val="5E625E"/>
      </w:rPr>
      <w:fldChar w:fldCharType="separate"/>
    </w:r>
    <w:r>
      <w:rPr>
        <w:sz w:val="18"/>
        <w:color w:val="5E625E"/>
      </w:rPr>
      <w:t>39</w:t>
    </w:r>
    <w:r>
      <w:rPr>
        <w:sz w:val="18"/>
        <w:color w:val="5E625E"/>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jc w:val="right"/>
      <w:rPr/>
    </w:pPr>
    <w:r>
      <w:rPr>
        <w:color w:val="5E625E"/>
        <w:sz w:val="18"/>
      </w:rPr>
      <w:t>InsightfulCell Product Report</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1"/>
    <w:lvlOverride w:ilvl="0">
      <w:startOverride w:val="1"/>
    </w:lvlOverride>
  </w:num>
  <w:num w:numId="8">
    <w:abstractNumId w:val="1"/>
  </w:num>
  <w:num w:numId="9">
    <w:abstractNumId w:val="1"/>
  </w:num>
  <w:num w:numId="10">
    <w:abstractNumId w:val="1"/>
  </w:num>
  <w:num w:numId="11">
    <w:abstractNumId w:val="1"/>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AU"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276" w:before="0" w:after="120"/>
      <w:jc w:val="left"/>
    </w:pPr>
    <w:rPr>
      <w:rFonts w:ascii="Times New Roman" w:hAnsi="Times New Roman" w:eastAsia="Times New Roman" w:cs="Times New Roman"/>
      <w:color w:val="000000"/>
      <w:kern w:val="0"/>
      <w:sz w:val="24"/>
      <w:szCs w:val="24"/>
      <w:lang w:val="en-AU" w:eastAsia="en-US" w:bidi="ar-SA"/>
    </w:rPr>
  </w:style>
  <w:style w:type="paragraph" w:styleId="Heading1">
    <w:name w:val="Heading 1"/>
    <w:basedOn w:val="Normal"/>
    <w:next w:val="BodyText"/>
    <w:uiPriority w:val="9"/>
    <w:qFormat/>
    <w:pPr>
      <w:keepNext w:val="true"/>
      <w:keepLines/>
      <w:pageBreakBefore/>
      <w:spacing w:before="240" w:after="120"/>
      <w:outlineLvl w:val="0"/>
    </w:pPr>
    <w:rPr>
      <w:rFonts w:ascii="Times New Roman" w:hAnsi="Times New Roman" w:eastAsia="Times New Roman" w:cs="Times New Roman"/>
      <w:b/>
      <w:bCs/>
      <w:i w:val="false"/>
      <w:color w:val="2F6F62"/>
      <w:sz w:val="32"/>
      <w:szCs w:val="32"/>
    </w:rPr>
  </w:style>
  <w:style w:type="paragraph" w:styleId="Heading2">
    <w:name w:val="Heading 2"/>
    <w:basedOn w:val="Normal"/>
    <w:next w:val="BodyText"/>
    <w:uiPriority w:val="9"/>
    <w:unhideWhenUsed/>
    <w:qFormat/>
    <w:pPr>
      <w:keepNext w:val="true"/>
      <w:keepLines/>
      <w:spacing w:before="240" w:after="120"/>
      <w:outlineLvl w:val="1"/>
    </w:pPr>
    <w:rPr>
      <w:rFonts w:ascii="Times New Roman" w:hAnsi="Times New Roman" w:eastAsia="Times New Roman" w:cs="Times New Roman"/>
      <w:b/>
      <w:bCs/>
      <w:i w:val="false"/>
      <w:color w:val="000000"/>
      <w:sz w:val="28"/>
      <w:szCs w:val="28"/>
    </w:rPr>
  </w:style>
  <w:style w:type="paragraph" w:styleId="Heading3">
    <w:name w:val="Heading 3"/>
    <w:basedOn w:val="Normal"/>
    <w:next w:val="BodyText"/>
    <w:uiPriority w:val="9"/>
    <w:unhideWhenUsed/>
    <w:qFormat/>
    <w:pPr>
      <w:keepNext w:val="true"/>
      <w:keepLines/>
      <w:spacing w:before="160" w:after="120"/>
      <w:outlineLvl w:val="2"/>
    </w:pPr>
    <w:rPr>
      <w:rFonts w:ascii="Times New Roman" w:hAnsi="Times New Roman" w:eastAsia="Times New Roman" w:cs="Times New Roman"/>
      <w:b/>
      <w:bCs/>
      <w:i w:val="false"/>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urier New" w:hAnsi="Courier New"/>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lineRule="auto" w:line="276" w:before="180" w:after="120"/>
    </w:pPr>
    <w:rPr>
      <w:rFonts w:ascii="Times New Roman" w:hAnsi="Times New Roman" w:eastAsia="Times New Roman" w:cs="Times New Roman"/>
      <w:color w:val="000000"/>
      <w:sz w:val="24"/>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rFonts w:ascii="Times New Roman" w:hAnsi="Times New Roman" w:eastAsia="Times New Roman" w:cs="Times New Roman"/>
      <w:i/>
      <w:color w:val="5E625E"/>
      <w:sz w:val="20"/>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spacing w:lineRule="auto" w:line="276" w:before="180" w:after="120"/>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276" w:before="36"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240" w:after="120"/>
      <w:jc w:val="center"/>
    </w:pPr>
    <w:rPr>
      <w:rFonts w:ascii="Times New Roman" w:hAnsi="Times New Roman" w:eastAsia="Times New Roman" w:cs="Times New Roman"/>
      <w:b/>
      <w:bCs/>
      <w:i w:val="false"/>
      <w:color w:val="2F6F62"/>
      <w:sz w:val="48"/>
      <w:szCs w:val="36"/>
    </w:rPr>
  </w:style>
  <w:style w:type="paragraph" w:styleId="Subtitle">
    <w:name w:val="Subtitle"/>
    <w:basedOn w:val="Title"/>
    <w:next w:val="BodyText"/>
    <w:qFormat/>
    <w:pPr>
      <w:keepNext w:val="true"/>
      <w:keepLines/>
      <w:spacing w:before="240" w:after="120"/>
      <w:jc w:val="center"/>
    </w:pPr>
    <w:rPr>
      <w:rFonts w:ascii="Times New Roman" w:hAnsi="Times New Roman" w:eastAsia="Times New Roman" w:cs="Times New Roman"/>
      <w:b/>
      <w:i w:val="false"/>
      <w:color w:val="000000"/>
      <w:sz w:val="28"/>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AU"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AU"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276" w:before="100" w:after="120"/>
      <w:ind w:hanging="0" w:left="480" w:right="480"/>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rFonts w:ascii="Times New Roman" w:hAnsi="Times New Roman" w:eastAsia="Times New Roman" w:cs="Times New Roman"/>
      <w:i/>
      <w:color w:val="5E625E"/>
      <w:sz w:val="20"/>
    </w:rPr>
  </w:style>
  <w:style w:type="paragraph" w:styleId="ImageCaption" w:customStyle="1">
    <w:name w:val="Image Caption"/>
    <w:basedOn w:val="Caption"/>
    <w:qFormat/>
    <w:pPr/>
    <w:rPr>
      <w:rFonts w:ascii="Times New Roman" w:hAnsi="Times New Roman" w:eastAsia="Times New Roman" w:cs="Times New Roman"/>
      <w:i/>
      <w:color w:val="5E625E"/>
      <w:sz w:val="20"/>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72" w:leader="dot"/>
      </w:tabs>
      <w:ind w:hanging="0" w:left="0"/>
    </w:pPr>
    <w:rPr/>
  </w:style>
  <w:style w:type="paragraph" w:styleId="TOC2">
    <w:name w:val="TOC 2"/>
    <w:basedOn w:val="Index"/>
    <w:pPr>
      <w:tabs>
        <w:tab w:val="clear" w:pos="720"/>
        <w:tab w:val="right" w:pos="8789"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hyperlink" Target="https://app.ic.rgproject.me/" TargetMode="External"/><Relationship Id="rId33" Type="http://schemas.openxmlformats.org/officeDocument/2006/relationships/hyperlink" Target="https://github.com/rupeshghimire7/InsightfullCell/blob/main/sample_data/kaggle_data/Zomato%20Restaurant%20Dataset.csv" TargetMode="External"/><Relationship Id="rId34" Type="http://schemas.openxmlformats.org/officeDocument/2006/relationships/hyperlink" Target="http://localhost:3000/" TargetMode="External"/><Relationship Id="rId35" Type="http://schemas.openxmlformats.org/officeDocument/2006/relationships/header" Target="header4.xml"/><Relationship Id="rId36" Type="http://schemas.openxmlformats.org/officeDocument/2006/relationships/header" Target="header5.xml"/><Relationship Id="rId37" Type="http://schemas.openxmlformats.org/officeDocument/2006/relationships/footer" Target="footer4.xml"/><Relationship Id="rId38" Type="http://schemas.openxmlformats.org/officeDocument/2006/relationships/footer" Target="footer5.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39</Pages>
  <Words>7090</Words>
  <Characters>37551</Characters>
  <CharactersWithSpaces>43825</CharactersWithSpaces>
  <Paragraphs>811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2026-10-24T13:31:03Z</dcterms:created>
  <dc:creator/>
  <dc:description/>
  <dc:language>en-AU</dc:language>
  <cp:lastModifiedBy/>
  <dcterms:modified xsi:type="dcterms:W3CDTF">2026-10-25T00:31:09Z</dcterms:modified>
  <cp:revision>1</cp:revision>
  <dc:subject/>
  <dc:title>InsightfulCell Product Report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