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Calibri" w:hAnsi="Calibri"/>
          <w:b/>
          <w:color w:val="0F172A"/>
          <w:sz w:val="48"/>
        </w:rPr>
        <w:t>Autonomous Air-Gapped Security &amp; Remediation Platform</w:t>
      </w:r>
    </w:p>
    <w:p>
      <w:pPr>
        <w:spacing w:after="360"/>
      </w:pPr>
      <w:r>
        <w:rPr>
          <w:color w:val="4B5563"/>
          <w:sz w:val="26"/>
        </w:rPr>
        <w:t>Comprehensive Technical Report: Contextual Vulnerability Evaluation, Autonomous Sandbox Remediation, Three-Point Verification, and Human Governance Workflow</w:t>
      </w:r>
    </w:p>
    <w:tbl>
      <w:tblPr>
        <w:tblW w:type="auto" w:w="0"/>
        <w:jc w:val="center"/>
        <w:tblLayout w:type="fixed"/>
        <w:tblLook w:firstColumn="1" w:firstRow="1" w:lastColumn="0" w:lastRow="0" w:noHBand="0" w:noVBand="1" w:val="04A0"/>
      </w:tblPr>
      <w:tblGrid>
        <w:gridCol w:w="3312"/>
        <w:gridCol w:w="3312"/>
        <w:gridCol w:w="3312"/>
      </w:tblGrid>
      <w:tr>
        <w:tc>
          <w:tcPr>
            <w:tcW w:type="dxa" w:w="3024"/>
            <w:shd w:fill="F1F5F9"/>
            <w:tcMar>
              <w:top w:w="80" w:type="dxa"/>
              <w:bottom w:w="60" w:type="dxa"/>
              <w:left w:w="100" w:type="dxa"/>
              <w:right w:w="100" w:type="dxa"/>
            </w:tcMar>
          </w:tcPr>
          <w:p>
            <w:r>
              <w:rPr>
                <w:b/>
                <w:color w:val="64748B"/>
                <w:sz w:val="18"/>
              </w:rPr>
              <w:t>Target Environment</w:t>
              <w:br/>
            </w:r>
            <w:r>
              <w:rPr>
                <w:b/>
                <w:color w:val="0F172A"/>
                <w:sz w:val="20"/>
              </w:rPr>
              <w:t>Apache Tomcat 9.0.98</w:t>
            </w:r>
          </w:p>
        </w:tc>
        <w:tc>
          <w:tcPr>
            <w:tcW w:type="dxa" w:w="3168"/>
            <w:shd w:fill="F1F5F9"/>
            <w:tcMar>
              <w:top w:w="80" w:type="dxa"/>
              <w:bottom w:w="60" w:type="dxa"/>
              <w:left w:w="100" w:type="dxa"/>
              <w:right w:w="100" w:type="dxa"/>
            </w:tcMar>
          </w:tcPr>
          <w:p>
            <w:r>
              <w:rPr>
                <w:b/>
                <w:color w:val="64748B"/>
                <w:sz w:val="18"/>
              </w:rPr>
              <w:t>Primary Scanner</w:t>
              <w:br/>
            </w:r>
            <w:r>
              <w:rPr>
                <w:b/>
                <w:color w:val="0F172A"/>
                <w:sz w:val="20"/>
              </w:rPr>
              <w:t>Aqua Trivy (Offline)</w:t>
            </w:r>
          </w:p>
        </w:tc>
        <w:tc>
          <w:tcPr>
            <w:tcW w:type="dxa" w:w="3168"/>
            <w:shd w:fill="F1F5F9"/>
            <w:tcMar>
              <w:top w:w="80" w:type="dxa"/>
              <w:bottom w:w="60" w:type="dxa"/>
              <w:left w:w="100" w:type="dxa"/>
              <w:right w:w="100" w:type="dxa"/>
            </w:tcMar>
          </w:tcPr>
          <w:p>
            <w:r>
              <w:rPr>
                <w:b/>
                <w:color w:val="64748B"/>
                <w:sz w:val="18"/>
              </w:rPr>
              <w:t>Governance</w:t>
              <w:br/>
            </w:r>
            <w:r>
              <w:rPr>
                <w:b/>
                <w:color w:val="0F172A"/>
                <w:sz w:val="20"/>
              </w:rPr>
              <w:t>Human-in-the-Loop Approval</w:t>
            </w:r>
          </w:p>
        </w:tc>
      </w:tr>
      <w:tr>
        <w:tc>
          <w:tcPr>
            <w:tcW w:type="dxa" w:w="3024"/>
          </w:tcPr>
          <w:p/>
        </w:tc>
        <w:tc>
          <w:tcPr>
            <w:tcW w:type="dxa" w:w="3168"/>
          </w:tcPr>
          <w:p/>
        </w:tc>
        <w:tc>
          <w:tcPr>
            <w:tcW w:type="dxa" w:w="3168"/>
          </w:tcPr>
          <w:p/>
        </w:tc>
      </w:tr>
    </w:tbl>
    <w:p>
      <w:pPr>
        <w:spacing w:after="320"/>
      </w:pPr>
    </w:p>
    <w:p>
      <w:pPr>
        <w:pStyle w:val="Heading1"/>
        <w:spacing w:before="320"/>
      </w:pPr>
      <w:r>
        <w:t>1. Executive Summary &amp; Core Philosophy</w:t>
      </w:r>
    </w:p>
    <w:p>
      <w:r>
        <w:t>Modern enterprise vulnerability scanners generate high-volume alert noise by solely matching software version numbers. In critical infrastructure and air-gapped secure enclaves, software upgrades cannot be applied blindly without validation. Furthermore, many reported vulnerabilities are completely mitigated or unexploitable due to the instance's active runtime configuration.</w:t>
      </w:r>
    </w:p>
    <w:p>
      <w:r>
        <w:t>This project establishes a resilient, end-to-end autonomous security architecture designed to operate 100% offline. Its purpose is to ingest vulnerability findings, evaluate actual runtime prerequisites against live configuration, safely generate and apply remediation in an isolated sandbox copy, independently verify that the fix works without regressions, and present verified evidence to a human administrator for explicit deployment authorization.</w:t>
      </w:r>
    </w:p>
    <w:tbl>
      <w:tblPr>
        <w:tblW w:type="auto" w:w="0"/>
        <w:jc w:val="center"/>
        <w:tblLayout w:type="fixed"/>
        <w:tblLook w:firstColumn="1" w:firstRow="1" w:lastColumn="0" w:lastRow="0" w:noHBand="0" w:noVBand="1" w:val="04A0"/>
      </w:tblPr>
      <w:tblGrid>
        <w:gridCol w:w="9360"/>
      </w:tblGrid>
      <w:tr>
        <w:tc>
          <w:tcPr>
            <w:tcW w:type="dxa" w:w="9936"/>
            <w:shd w:fill="EFF6FF"/>
            <w:tcMar>
              <w:top w:w="140" w:type="dxa"/>
              <w:bottom w:w="140" w:type="dxa"/>
              <w:left w:w="200" w:type="dxa"/>
              <w:right w:w="200" w:type="dxa"/>
            </w:tcMar>
          </w:tcPr>
          <w:p>
            <w:pPr>
              <w:spacing w:before="0" w:after="40"/>
            </w:pPr>
            <w:r>
              <w:rPr>
                <w:rFonts w:ascii="Calibri" w:hAnsi="Calibri"/>
                <w:b/>
                <w:color w:val="1E40AF"/>
                <w:sz w:val="22"/>
              </w:rPr>
              <w:t>📌 Fundamental Architectural Tenet</w:t>
              <w:br/>
            </w:r>
            <w:r>
              <w:rPr>
                <w:rFonts w:ascii="Calibri" w:hAnsi="Calibri"/>
                <w:color w:val="1F2937"/>
                <w:sz w:val="20"/>
              </w:rPr>
              <w:t>The system treats Trivy as the sole source of discovered vulnerability findings. Knowledge base definitions (cve_knowledge.json) must NEVER be treated as vulnerability findings on their own; they serve strictly to enrich findings actually detected by Trivy. Remediations are NEVER applied directly to live production servers.</w:t>
            </w:r>
          </w:p>
        </w:tc>
      </w:tr>
    </w:tbl>
    <w:p>
      <w:pPr>
        <w:spacing w:after="80"/>
      </w:pPr>
    </w:p>
    <w:p>
      <w:pPr>
        <w:pStyle w:val="Heading1"/>
        <w:spacing w:before="320"/>
      </w:pPr>
      <w:r>
        <w:t>2. Multi-Stage Pipeline Architecture</w:t>
      </w:r>
    </w:p>
    <w:p>
      <w:r>
        <w:t>The orchestrator executes a 6-tier defensive workflow across completely isolated boundaries:</w:t>
      </w:r>
    </w:p>
    <w:tbl>
      <w:tblPr>
        <w:tblW w:type="auto" w:w="0"/>
        <w:jc w:val="center"/>
        <w:tblLayout w:type="fixed"/>
        <w:tblLook w:firstColumn="1" w:firstRow="1" w:lastColumn="0" w:lastRow="0" w:noHBand="0" w:noVBand="1" w:val="04A0"/>
      </w:tblPr>
      <w:tblGrid>
        <w:gridCol w:w="3312"/>
        <w:gridCol w:w="3312"/>
        <w:gridCol w:w="3312"/>
      </w:tblGrid>
      <w:tr>
        <w:tc>
          <w:tcPr>
            <w:tcW w:type="dxa" w:w="1728"/>
            <w:tcMar>
              <w:top w:w="80" w:type="dxa"/>
              <w:bottom w:w="80" w:type="dxa"/>
              <w:left w:w="100" w:type="dxa"/>
              <w:right w:w="100" w:type="dxa"/>
            </w:tcMar>
            <w:shd w:fill="1E293B"/>
          </w:tcPr>
          <w:p>
            <w:r>
              <w:rPr>
                <w:b/>
                <w:color w:val="FFFFFF"/>
              </w:rPr>
              <w:t>Tier</w:t>
            </w:r>
          </w:p>
        </w:tc>
        <w:tc>
          <w:tcPr>
            <w:tcW w:type="dxa" w:w="3168"/>
            <w:tcMar>
              <w:top w:w="80" w:type="dxa"/>
              <w:bottom w:w="80" w:type="dxa"/>
              <w:left w:w="100" w:type="dxa"/>
              <w:right w:w="100" w:type="dxa"/>
            </w:tcMar>
            <w:shd w:fill="1E293B"/>
          </w:tcPr>
          <w:p>
            <w:r>
              <w:rPr>
                <w:b/>
                <w:color w:val="FFFFFF"/>
              </w:rPr>
              <w:t>Pipeline Stage</w:t>
            </w:r>
          </w:p>
        </w:tc>
        <w:tc>
          <w:tcPr>
            <w:tcW w:type="dxa" w:w="4464"/>
            <w:tcMar>
              <w:top w:w="80" w:type="dxa"/>
              <w:bottom w:w="80" w:type="dxa"/>
              <w:left w:w="100" w:type="dxa"/>
              <w:right w:w="100" w:type="dxa"/>
            </w:tcMar>
            <w:shd w:fill="1E293B"/>
          </w:tcPr>
          <w:p>
            <w:r>
              <w:rPr>
                <w:b/>
                <w:color w:val="FFFFFF"/>
              </w:rPr>
              <w:t>Responsibility &amp; Air-Gap Boundary</w:t>
            </w:r>
          </w:p>
        </w:tc>
      </w:tr>
      <w:tr>
        <w:tc>
          <w:tcPr>
            <w:tcW w:type="dxa" w:w="1728"/>
            <w:tcMar>
              <w:top w:w="80" w:type="dxa"/>
              <w:bottom w:w="80" w:type="dxa"/>
              <w:left w:w="100" w:type="dxa"/>
              <w:right w:w="100" w:type="dxa"/>
            </w:tcMar>
            <w:shd w:fill="F8FAFC"/>
          </w:tcPr>
          <w:p>
            <w:r>
              <w:rPr>
                <w:sz w:val="19"/>
              </w:rPr>
              <w:t>Tier 1</w:t>
            </w:r>
          </w:p>
        </w:tc>
        <w:tc>
          <w:tcPr>
            <w:tcW w:type="dxa" w:w="3168"/>
            <w:tcMar>
              <w:top w:w="80" w:type="dxa"/>
              <w:bottom w:w="80" w:type="dxa"/>
              <w:left w:w="100" w:type="dxa"/>
              <w:right w:w="100" w:type="dxa"/>
            </w:tcMar>
            <w:shd w:fill="F8FAFC"/>
          </w:tcPr>
          <w:p>
            <w:r>
              <w:rPr>
                <w:sz w:val="19"/>
              </w:rPr>
              <w:t>Offline Discovery</w:t>
            </w:r>
          </w:p>
        </w:tc>
        <w:tc>
          <w:tcPr>
            <w:tcW w:type="dxa" w:w="4464"/>
            <w:tcMar>
              <w:top w:w="80" w:type="dxa"/>
              <w:bottom w:w="80" w:type="dxa"/>
              <w:left w:w="100" w:type="dxa"/>
              <w:right w:w="100" w:type="dxa"/>
            </w:tcMar>
            <w:shd w:fill="F8FAFC"/>
          </w:tcPr>
          <w:p>
            <w:r>
              <w:rPr>
                <w:sz w:val="19"/>
              </w:rPr>
              <w:t>Trivy scans container images and software manifests offline; establishes the authoritative list of discovered CVEs.</w:t>
            </w:r>
          </w:p>
        </w:tc>
      </w:tr>
      <w:tr>
        <w:tc>
          <w:tcPr>
            <w:tcW w:type="dxa" w:w="1728"/>
            <w:tcMar>
              <w:top w:w="80" w:type="dxa"/>
              <w:bottom w:w="80" w:type="dxa"/>
              <w:left w:w="100" w:type="dxa"/>
              <w:right w:w="100" w:type="dxa"/>
            </w:tcMar>
            <w:shd w:fill="FFFFFF"/>
          </w:tcPr>
          <w:p>
            <w:r>
              <w:rPr>
                <w:sz w:val="19"/>
              </w:rPr>
              <w:t>Tier 2</w:t>
            </w:r>
          </w:p>
        </w:tc>
        <w:tc>
          <w:tcPr>
            <w:tcW w:type="dxa" w:w="3168"/>
            <w:tcMar>
              <w:top w:w="80" w:type="dxa"/>
              <w:bottom w:w="80" w:type="dxa"/>
              <w:left w:w="100" w:type="dxa"/>
              <w:right w:w="100" w:type="dxa"/>
            </w:tcMar>
            <w:shd w:fill="FFFFFF"/>
          </w:tcPr>
          <w:p>
            <w:r>
              <w:rPr>
                <w:sz w:val="19"/>
              </w:rPr>
              <w:t>Configuration Collection</w:t>
            </w:r>
          </w:p>
        </w:tc>
        <w:tc>
          <w:tcPr>
            <w:tcW w:type="dxa" w:w="4464"/>
            <w:tcMar>
              <w:top w:w="80" w:type="dxa"/>
              <w:bottom w:w="80" w:type="dxa"/>
              <w:left w:w="100" w:type="dxa"/>
              <w:right w:w="100" w:type="dxa"/>
            </w:tcMar>
            <w:shd w:fill="FFFFFF"/>
          </w:tcPr>
          <w:p>
            <w:r>
              <w:rPr>
                <w:sz w:val="19"/>
              </w:rPr>
              <w:t>config_collector.py introspects container web.xml, environment variables, connectors, and version scripts.</w:t>
            </w:r>
          </w:p>
        </w:tc>
      </w:tr>
      <w:tr>
        <w:tc>
          <w:tcPr>
            <w:tcW w:type="dxa" w:w="1728"/>
            <w:tcMar>
              <w:top w:w="80" w:type="dxa"/>
              <w:bottom w:w="80" w:type="dxa"/>
              <w:left w:w="100" w:type="dxa"/>
              <w:right w:w="100" w:type="dxa"/>
            </w:tcMar>
            <w:shd w:fill="F8FAFC"/>
          </w:tcPr>
          <w:p>
            <w:r>
              <w:rPr>
                <w:sz w:val="19"/>
              </w:rPr>
              <w:t>Tier 3</w:t>
            </w:r>
          </w:p>
        </w:tc>
        <w:tc>
          <w:tcPr>
            <w:tcW w:type="dxa" w:w="3168"/>
            <w:tcMar>
              <w:top w:w="80" w:type="dxa"/>
              <w:bottom w:w="80" w:type="dxa"/>
              <w:left w:w="100" w:type="dxa"/>
              <w:right w:w="100" w:type="dxa"/>
            </w:tcMar>
            <w:shd w:fill="F8FAFC"/>
          </w:tcPr>
          <w:p>
            <w:r>
              <w:rPr>
                <w:sz w:val="19"/>
              </w:rPr>
              <w:t>Contextual Evaluation</w:t>
            </w:r>
          </w:p>
        </w:tc>
        <w:tc>
          <w:tcPr>
            <w:tcW w:type="dxa" w:w="4464"/>
            <w:tcMar>
              <w:top w:w="80" w:type="dxa"/>
              <w:bottom w:w="80" w:type="dxa"/>
              <w:left w:w="100" w:type="dxa"/>
              <w:right w:w="100" w:type="dxa"/>
            </w:tcMar>
            <w:shd w:fill="F8FAFC"/>
          </w:tcPr>
          <w:p>
            <w:r>
              <w:rPr>
                <w:sz w:val="19"/>
              </w:rPr>
              <w:t>cve_evaluator.py checks whether software version + environmental prerequisites constitute a full exploitable match.</w:t>
            </w:r>
          </w:p>
        </w:tc>
      </w:tr>
      <w:tr>
        <w:tc>
          <w:tcPr>
            <w:tcW w:type="dxa" w:w="1728"/>
            <w:tcMar>
              <w:top w:w="80" w:type="dxa"/>
              <w:bottom w:w="80" w:type="dxa"/>
              <w:left w:w="100" w:type="dxa"/>
              <w:right w:w="100" w:type="dxa"/>
            </w:tcMar>
            <w:shd w:fill="FFFFFF"/>
          </w:tcPr>
          <w:p>
            <w:r>
              <w:rPr>
                <w:sz w:val="19"/>
              </w:rPr>
              <w:t>Tier 4</w:t>
            </w:r>
          </w:p>
        </w:tc>
        <w:tc>
          <w:tcPr>
            <w:tcW w:type="dxa" w:w="3168"/>
            <w:tcMar>
              <w:top w:w="80" w:type="dxa"/>
              <w:bottom w:w="80" w:type="dxa"/>
              <w:left w:w="100" w:type="dxa"/>
              <w:right w:w="100" w:type="dxa"/>
            </w:tcMar>
            <w:shd w:fill="FFFFFF"/>
          </w:tcPr>
          <w:p>
            <w:r>
              <w:rPr>
                <w:sz w:val="19"/>
              </w:rPr>
              <w:t>Remediation Planning</w:t>
            </w:r>
          </w:p>
        </w:tc>
        <w:tc>
          <w:tcPr>
            <w:tcW w:type="dxa" w:w="4464"/>
            <w:tcMar>
              <w:top w:w="80" w:type="dxa"/>
              <w:bottom w:w="80" w:type="dxa"/>
              <w:left w:w="100" w:type="dxa"/>
              <w:right w:w="100" w:type="dxa"/>
            </w:tcMar>
            <w:shd w:fill="FFFFFF"/>
          </w:tcPr>
          <w:p>
            <w:r>
              <w:rPr>
                <w:sz w:val="19"/>
              </w:rPr>
              <w:t>remediation_engine.py generates allowlisted, structured configuration actions with rollback safety.</w:t>
            </w:r>
          </w:p>
        </w:tc>
      </w:tr>
      <w:tr>
        <w:tc>
          <w:tcPr>
            <w:tcW w:type="dxa" w:w="1728"/>
            <w:tcMar>
              <w:top w:w="80" w:type="dxa"/>
              <w:bottom w:w="80" w:type="dxa"/>
              <w:left w:w="100" w:type="dxa"/>
              <w:right w:w="100" w:type="dxa"/>
            </w:tcMar>
            <w:shd w:fill="F8FAFC"/>
          </w:tcPr>
          <w:p>
            <w:r>
              <w:rPr>
                <w:sz w:val="19"/>
              </w:rPr>
              <w:t>Tier 5</w:t>
            </w:r>
          </w:p>
        </w:tc>
        <w:tc>
          <w:tcPr>
            <w:tcW w:type="dxa" w:w="3168"/>
            <w:tcMar>
              <w:top w:w="80" w:type="dxa"/>
              <w:bottom w:w="80" w:type="dxa"/>
              <w:left w:w="100" w:type="dxa"/>
              <w:right w:w="100" w:type="dxa"/>
            </w:tcMar>
            <w:shd w:fill="F8FAFC"/>
          </w:tcPr>
          <w:p>
            <w:r>
              <w:rPr>
                <w:sz w:val="19"/>
              </w:rPr>
              <w:t>Sandbox Remediation &amp; 3-Point Verification</w:t>
            </w:r>
          </w:p>
        </w:tc>
        <w:tc>
          <w:tcPr>
            <w:tcW w:type="dxa" w:w="4464"/>
            <w:tcMar>
              <w:top w:w="80" w:type="dxa"/>
              <w:bottom w:w="80" w:type="dxa"/>
              <w:left w:w="100" w:type="dxa"/>
              <w:right w:w="100" w:type="dxa"/>
            </w:tcMar>
            <w:shd w:fill="F8FAFC"/>
          </w:tcPr>
          <w:p>
            <w:r>
              <w:rPr>
                <w:sz w:val="19"/>
              </w:rPr>
              <w:t>sandbox_remediator.py clones/modifies an isolated sandbox container, executes 3 verification tests, and rescans.</w:t>
            </w:r>
          </w:p>
        </w:tc>
      </w:tr>
      <w:tr>
        <w:tc>
          <w:tcPr>
            <w:tcW w:type="dxa" w:w="1728"/>
            <w:tcMar>
              <w:top w:w="80" w:type="dxa"/>
              <w:bottom w:w="80" w:type="dxa"/>
              <w:left w:w="100" w:type="dxa"/>
              <w:right w:w="100" w:type="dxa"/>
            </w:tcMar>
            <w:shd w:fill="FFFFFF"/>
          </w:tcPr>
          <w:p>
            <w:r>
              <w:rPr>
                <w:sz w:val="19"/>
              </w:rPr>
              <w:t>Tier 6</w:t>
            </w:r>
          </w:p>
        </w:tc>
        <w:tc>
          <w:tcPr>
            <w:tcW w:type="dxa" w:w="3168"/>
            <w:tcMar>
              <w:top w:w="80" w:type="dxa"/>
              <w:bottom w:w="80" w:type="dxa"/>
              <w:left w:w="100" w:type="dxa"/>
              <w:right w:w="100" w:type="dxa"/>
            </w:tcMar>
            <w:shd w:fill="FFFFFF"/>
          </w:tcPr>
          <w:p>
            <w:r>
              <w:rPr>
                <w:sz w:val="19"/>
              </w:rPr>
              <w:t>Human Review &amp; Governance</w:t>
            </w:r>
          </w:p>
        </w:tc>
        <w:tc>
          <w:tcPr>
            <w:tcW w:type="dxa" w:w="4464"/>
            <w:tcMar>
              <w:top w:w="80" w:type="dxa"/>
              <w:bottom w:w="80" w:type="dxa"/>
              <w:left w:w="100" w:type="dxa"/>
              <w:right w:w="100" w:type="dxa"/>
            </w:tcMar>
            <w:shd w:fill="FFFFFF"/>
          </w:tcPr>
          <w:p>
            <w:r>
              <w:rPr>
                <w:sz w:val="19"/>
              </w:rPr>
              <w:t>Generates human_review_portal.html and human_review_package.json. Pipeline halts awaiting explicit authorization.</w:t>
            </w:r>
          </w:p>
        </w:tc>
      </w:tr>
    </w:tbl>
    <w:p>
      <w:pPr>
        <w:spacing w:after="240"/>
      </w:pPr>
    </w:p>
    <w:p>
      <w:pPr>
        <w:pStyle w:val="Heading1"/>
        <w:spacing w:before="320"/>
      </w:pPr>
      <w:r>
        <w:t>3. Contextual Vulnerability Analysis &amp; The Trivy Ingestion Law</w:t>
      </w:r>
    </w:p>
    <w:p>
      <w:pPr>
        <w:pStyle w:val="Heading2"/>
      </w:pPr>
      <w:r>
        <w:t>3.1 The Vulnerability Precondition Discrepancy</w:t>
      </w:r>
    </w:p>
    <w:p>
      <w:r>
        <w:t>A critical milestone of this project was determining why vulnerability scanners flag high-severity CVEs that cannot be fully exploited. In our test environment running Apache Tomcat 9.0.98, Trivy detected CVE-2025-24813 ('Potential RCE and/or arbitrary file write with partial PUT').</w:t>
      </w:r>
    </w:p>
    <w:p>
      <w:r>
        <w:t>When our contextual prerequisite evaluator analyzed CVE-2025-24813 against the live container configuration, it identified two distinct threat models: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tcMar>
              <w:top w:w="80" w:type="dxa"/>
              <w:bottom w:w="80" w:type="dxa"/>
              <w:left w:w="100" w:type="dxa"/>
              <w:right w:w="100" w:type="dxa"/>
            </w:tcMar>
            <w:shd w:fill="1E293B"/>
          </w:tcPr>
          <w:p>
            <w:r>
              <w:rPr>
                <w:b/>
                <w:color w:val="FFFFFF"/>
              </w:rPr>
              <w:t>Attack Vector</w:t>
            </w:r>
          </w:p>
        </w:tc>
        <w:tc>
          <w:tcPr>
            <w:tcW w:type="dxa" w:w="2592"/>
            <w:tcMar>
              <w:top w:w="80" w:type="dxa"/>
              <w:bottom w:w="80" w:type="dxa"/>
              <w:left w:w="100" w:type="dxa"/>
              <w:right w:w="100" w:type="dxa"/>
            </w:tcMar>
            <w:shd w:fill="1E293B"/>
          </w:tcPr>
          <w:p>
            <w:r>
              <w:rPr>
                <w:b/>
                <w:color w:val="FFFFFF"/>
              </w:rPr>
              <w:t>Mandatory Precondition</w:t>
            </w:r>
          </w:p>
        </w:tc>
        <w:tc>
          <w:tcPr>
            <w:tcW w:type="dxa" w:w="2016"/>
            <w:tcMar>
              <w:top w:w="80" w:type="dxa"/>
              <w:bottom w:w="80" w:type="dxa"/>
              <w:left w:w="100" w:type="dxa"/>
              <w:right w:w="100" w:type="dxa"/>
            </w:tcMar>
            <w:shd w:fill="1E293B"/>
          </w:tcPr>
          <w:p>
            <w:r>
              <w:rPr>
                <w:b/>
                <w:color w:val="FFFFFF"/>
              </w:rPr>
              <w:t>Instance State</w:t>
            </w:r>
          </w:p>
        </w:tc>
        <w:tc>
          <w:tcPr>
            <w:tcW w:type="dxa" w:w="2160"/>
            <w:tcMar>
              <w:top w:w="80" w:type="dxa"/>
              <w:bottom w:w="80" w:type="dxa"/>
              <w:left w:w="100" w:type="dxa"/>
              <w:right w:w="100" w:type="dxa"/>
            </w:tcMar>
            <w:shd w:fill="1E293B"/>
          </w:tcPr>
          <w:p>
            <w:r>
              <w:rPr>
                <w:b/>
                <w:color w:val="FFFFFF"/>
              </w:rPr>
              <w:t>Match Status</w:t>
            </w:r>
          </w:p>
        </w:tc>
      </w:tr>
      <w:tr>
        <w:tc>
          <w:tcPr>
            <w:tcW w:type="dxa" w:w="2592"/>
            <w:tcMar>
              <w:top w:w="80" w:type="dxa"/>
              <w:bottom w:w="80" w:type="dxa"/>
              <w:left w:w="100" w:type="dxa"/>
              <w:right w:w="100" w:type="dxa"/>
            </w:tcMar>
            <w:shd w:fill="FFFFFF"/>
          </w:tcPr>
          <w:p>
            <w:r>
              <w:rPr>
                <w:sz w:val="19"/>
              </w:rPr>
              <w:t>Arbitrary File Write</w:t>
            </w:r>
          </w:p>
        </w:tc>
        <w:tc>
          <w:tcPr>
            <w:tcW w:type="dxa" w:w="2592"/>
            <w:tcMar>
              <w:top w:w="80" w:type="dxa"/>
              <w:bottom w:w="80" w:type="dxa"/>
              <w:left w:w="100" w:type="dxa"/>
              <w:right w:w="100" w:type="dxa"/>
            </w:tcMar>
            <w:shd w:fill="FFFFFF"/>
          </w:tcPr>
          <w:p>
            <w:r>
              <w:rPr>
                <w:sz w:val="19"/>
              </w:rPr>
              <w:t>Tomcat Version &lt;= 9.0.98</w:t>
            </w:r>
          </w:p>
        </w:tc>
        <w:tc>
          <w:tcPr>
            <w:tcW w:type="dxa" w:w="2016"/>
            <w:tcMar>
              <w:top w:w="80" w:type="dxa"/>
              <w:bottom w:w="80" w:type="dxa"/>
              <w:left w:w="100" w:type="dxa"/>
              <w:right w:w="100" w:type="dxa"/>
            </w:tcMar>
            <w:shd w:fill="FFFFFF"/>
          </w:tcPr>
          <w:p>
            <w:r>
              <w:rPr>
                <w:sz w:val="19"/>
              </w:rPr>
              <w:t>9.0.98 detected</w:t>
            </w:r>
          </w:p>
        </w:tc>
        <w:tc>
          <w:tcPr>
            <w:tcW w:type="dxa" w:w="2160"/>
            <w:tcMar>
              <w:top w:w="80" w:type="dxa"/>
              <w:bottom w:w="80" w:type="dxa"/>
              <w:left w:w="100" w:type="dxa"/>
              <w:right w:w="100" w:type="dxa"/>
            </w:tcMar>
            <w:shd w:fill="F0FDF4"/>
          </w:tcPr>
          <w:p>
            <w:r>
              <w:rPr>
                <w:sz w:val="19"/>
              </w:rPr>
              <w:t>SATISFIED</w:t>
            </w:r>
          </w:p>
        </w:tc>
      </w:tr>
      <w:tr>
        <w:tc>
          <w:tcPr>
            <w:tcW w:type="dxa" w:w="2592"/>
            <w:tcMar>
              <w:top w:w="80" w:type="dxa"/>
              <w:bottom w:w="80" w:type="dxa"/>
              <w:left w:w="100" w:type="dxa"/>
              <w:right w:w="100" w:type="dxa"/>
            </w:tcMar>
            <w:shd w:fill="FFFFFF"/>
          </w:tcPr>
          <w:p>
            <w:r>
              <w:rPr>
                <w:sz w:val="19"/>
              </w:rPr>
              <w:t>Arbitrary File Write</w:t>
            </w:r>
          </w:p>
        </w:tc>
        <w:tc>
          <w:tcPr>
            <w:tcW w:type="dxa" w:w="2592"/>
            <w:tcMar>
              <w:top w:w="80" w:type="dxa"/>
              <w:bottom w:w="80" w:type="dxa"/>
              <w:left w:w="100" w:type="dxa"/>
              <w:right w:w="100" w:type="dxa"/>
            </w:tcMar>
            <w:shd w:fill="FFFFFF"/>
          </w:tcPr>
          <w:p>
            <w:r>
              <w:rPr>
                <w:sz w:val="19"/>
              </w:rPr>
              <w:t>DefaultServlet readonly = false</w:t>
            </w:r>
          </w:p>
        </w:tc>
        <w:tc>
          <w:tcPr>
            <w:tcW w:type="dxa" w:w="2016"/>
            <w:tcMar>
              <w:top w:w="80" w:type="dxa"/>
              <w:bottom w:w="80" w:type="dxa"/>
              <w:left w:w="100" w:type="dxa"/>
              <w:right w:w="100" w:type="dxa"/>
            </w:tcMar>
            <w:shd w:fill="FFFFFF"/>
          </w:tcPr>
          <w:p>
            <w:r>
              <w:rPr>
                <w:sz w:val="19"/>
              </w:rPr>
              <w:t>false in web.xml</w:t>
            </w:r>
          </w:p>
        </w:tc>
        <w:tc>
          <w:tcPr>
            <w:tcW w:type="dxa" w:w="2160"/>
            <w:tcMar>
              <w:top w:w="80" w:type="dxa"/>
              <w:bottom w:w="80" w:type="dxa"/>
              <w:left w:w="100" w:type="dxa"/>
              <w:right w:w="100" w:type="dxa"/>
            </w:tcMar>
            <w:shd w:fill="F0FDF4"/>
          </w:tcPr>
          <w:p>
            <w:r>
              <w:rPr>
                <w:b/>
                <w:sz w:val="19"/>
              </w:rPr>
              <w:t>SATISFIED (Exploitable)</w:t>
            </w:r>
          </w:p>
        </w:tc>
      </w:tr>
      <w:tr>
        <w:tc>
          <w:tcPr>
            <w:tcW w:type="dxa" w:w="2592"/>
            <w:tcMar>
              <w:top w:w="80" w:type="dxa"/>
              <w:bottom w:w="80" w:type="dxa"/>
              <w:left w:w="100" w:type="dxa"/>
              <w:right w:w="100" w:type="dxa"/>
            </w:tcMar>
            <w:shd w:fill="FFFFFF"/>
          </w:tcPr>
          <w:p>
            <w:r>
              <w:rPr>
                <w:sz w:val="19"/>
              </w:rPr>
              <w:t>Arbitrary File Write</w:t>
            </w:r>
          </w:p>
        </w:tc>
        <w:tc>
          <w:tcPr>
            <w:tcW w:type="dxa" w:w="2592"/>
            <w:tcMar>
              <w:top w:w="80" w:type="dxa"/>
              <w:bottom w:w="80" w:type="dxa"/>
              <w:left w:w="100" w:type="dxa"/>
              <w:right w:w="100" w:type="dxa"/>
            </w:tcMar>
            <w:shd w:fill="FFFFFF"/>
          </w:tcPr>
          <w:p>
            <w:r>
              <w:rPr>
                <w:sz w:val="19"/>
              </w:rPr>
              <w:t>Partial PUT enabled</w:t>
            </w:r>
          </w:p>
        </w:tc>
        <w:tc>
          <w:tcPr>
            <w:tcW w:type="dxa" w:w="2016"/>
            <w:tcMar>
              <w:top w:w="80" w:type="dxa"/>
              <w:bottom w:w="80" w:type="dxa"/>
              <w:left w:w="100" w:type="dxa"/>
              <w:right w:w="100" w:type="dxa"/>
            </w:tcMar>
            <w:shd w:fill="FFFFFF"/>
          </w:tcPr>
          <w:p>
            <w:r>
              <w:rPr>
                <w:sz w:val="19"/>
              </w:rPr>
              <w:t>allowPartialPut = true</w:t>
            </w:r>
          </w:p>
        </w:tc>
        <w:tc>
          <w:tcPr>
            <w:tcW w:type="dxa" w:w="2160"/>
            <w:tcMar>
              <w:top w:w="80" w:type="dxa"/>
              <w:bottom w:w="80" w:type="dxa"/>
              <w:left w:w="100" w:type="dxa"/>
              <w:right w:w="100" w:type="dxa"/>
            </w:tcMar>
            <w:shd w:fill="F0FDF4"/>
          </w:tcPr>
          <w:p>
            <w:r>
              <w:rPr>
                <w:sz w:val="19"/>
              </w:rPr>
              <w:t>SATISFIED</w:t>
            </w:r>
          </w:p>
        </w:tc>
      </w:tr>
      <w:tr>
        <w:tc>
          <w:tcPr>
            <w:tcW w:type="dxa" w:w="2592"/>
            <w:tcMar>
              <w:top w:w="80" w:type="dxa"/>
              <w:bottom w:w="80" w:type="dxa"/>
              <w:left w:w="100" w:type="dxa"/>
              <w:right w:w="100" w:type="dxa"/>
            </w:tcMar>
            <w:shd w:fill="FFFFFF"/>
          </w:tcPr>
          <w:p>
            <w:r>
              <w:rPr>
                <w:sz w:val="19"/>
              </w:rPr>
              <w:t>Remote Code Execution</w:t>
            </w:r>
          </w:p>
        </w:tc>
        <w:tc>
          <w:tcPr>
            <w:tcW w:type="dxa" w:w="2592"/>
            <w:tcMar>
              <w:top w:w="80" w:type="dxa"/>
              <w:bottom w:w="80" w:type="dxa"/>
              <w:left w:w="100" w:type="dxa"/>
              <w:right w:w="100" w:type="dxa"/>
            </w:tcMar>
            <w:shd w:fill="FFFFFF"/>
          </w:tcPr>
          <w:p>
            <w:r>
              <w:rPr>
                <w:sz w:val="19"/>
              </w:rPr>
              <w:t>File-based session persistence</w:t>
            </w:r>
          </w:p>
        </w:tc>
        <w:tc>
          <w:tcPr>
            <w:tcW w:type="dxa" w:w="2016"/>
            <w:tcMar>
              <w:top w:w="80" w:type="dxa"/>
              <w:bottom w:w="80" w:type="dxa"/>
              <w:left w:w="100" w:type="dxa"/>
              <w:right w:w="100" w:type="dxa"/>
            </w:tcMar>
            <w:shd w:fill="FFFFFF"/>
          </w:tcPr>
          <w:p>
            <w:r>
              <w:rPr>
                <w:sz w:val="19"/>
              </w:rPr>
              <w:t>StandardManager</w:t>
            </w:r>
          </w:p>
        </w:tc>
        <w:tc>
          <w:tcPr>
            <w:tcW w:type="dxa" w:w="2160"/>
            <w:tcMar>
              <w:top w:w="80" w:type="dxa"/>
              <w:bottom w:w="80" w:type="dxa"/>
              <w:left w:w="100" w:type="dxa"/>
              <w:right w:w="100" w:type="dxa"/>
            </w:tcMar>
            <w:shd w:fill="F0FDF4"/>
          </w:tcPr>
          <w:p>
            <w:r>
              <w:rPr>
                <w:sz w:val="19"/>
              </w:rPr>
              <w:t>SATISFIED</w:t>
            </w:r>
          </w:p>
        </w:tc>
      </w:tr>
      <w:tr>
        <w:tc>
          <w:tcPr>
            <w:tcW w:type="dxa" w:w="2592"/>
            <w:tcMar>
              <w:top w:w="80" w:type="dxa"/>
              <w:bottom w:w="80" w:type="dxa"/>
              <w:left w:w="100" w:type="dxa"/>
              <w:right w:w="100" w:type="dxa"/>
            </w:tcMar>
            <w:shd w:fill="FFFFFF"/>
          </w:tcPr>
          <w:p>
            <w:r>
              <w:rPr>
                <w:sz w:val="19"/>
              </w:rPr>
              <w:t>Remote Code Execution</w:t>
            </w:r>
          </w:p>
        </w:tc>
        <w:tc>
          <w:tcPr>
            <w:tcW w:type="dxa" w:w="2592"/>
            <w:tcMar>
              <w:top w:w="80" w:type="dxa"/>
              <w:bottom w:w="80" w:type="dxa"/>
              <w:left w:w="100" w:type="dxa"/>
              <w:right w:w="100" w:type="dxa"/>
            </w:tcMar>
            <w:shd w:fill="FFFFFF"/>
          </w:tcPr>
          <w:p>
            <w:r>
              <w:rPr>
                <w:sz w:val="19"/>
              </w:rPr>
              <w:t>Deserialization library in classpath</w:t>
            </w:r>
          </w:p>
        </w:tc>
        <w:tc>
          <w:tcPr>
            <w:tcW w:type="dxa" w:w="2016"/>
            <w:tcMar>
              <w:top w:w="80" w:type="dxa"/>
              <w:bottom w:w="80" w:type="dxa"/>
              <w:left w:w="100" w:type="dxa"/>
              <w:right w:w="100" w:type="dxa"/>
            </w:tcMar>
            <w:shd w:fill="FFFFFF"/>
          </w:tcPr>
          <w:p>
            <w:r>
              <w:rPr>
                <w:sz w:val="19"/>
              </w:rPr>
              <w:t>No gadget library found</w:t>
            </w:r>
          </w:p>
        </w:tc>
        <w:tc>
          <w:tcPr>
            <w:tcW w:type="dxa" w:w="2160"/>
            <w:tcMar>
              <w:top w:w="80" w:type="dxa"/>
              <w:bottom w:w="80" w:type="dxa"/>
              <w:left w:w="100" w:type="dxa"/>
              <w:right w:w="100" w:type="dxa"/>
            </w:tcMar>
            <w:shd w:fill="FEF2F2"/>
          </w:tcPr>
          <w:p>
            <w:r>
              <w:rPr>
                <w:b/>
                <w:sz w:val="19"/>
              </w:rPr>
              <w:t>NOT SATISFIED (Blocked)</w:t>
            </w:r>
          </w:p>
        </w:tc>
      </w:tr>
    </w:tbl>
    <w:p>
      <w:pPr>
        <w:spacing w:after="200"/>
      </w:pPr>
    </w:p>
    <w:p>
      <w:pPr>
        <w:pStyle w:val="Heading2"/>
      </w:pPr>
      <w:r>
        <w:t>3.2 Why CVE-2024-50379 Was Not in the Report</w:t>
      </w:r>
    </w:p>
    <w:p>
      <w:r>
        <w:t>According to official Apache Tomcat and NVD records, CVE-2024-50379 affects versions 9.0.0.M1 through 9.0.97 and was officially patched in Tomcat 9.0.98. Therefore, Trivy adheres to the official vendor database and correctly did not report CVE-2024-50379 for Tomcat 9.0.98. Because the fix in 9.0.98 was found to be incomplete, the vulnerability in 9.0.98 was assigned new identifiers: CVE-2024-56337 and CVE-2025-24813 (fixed in 9.0.99).</w:t>
      </w:r>
    </w:p>
    <w:tbl>
      <w:tblPr>
        <w:tblW w:type="auto" w:w="0"/>
        <w:jc w:val="center"/>
        <w:tblLayout w:type="fixed"/>
        <w:tblLook w:firstColumn="1" w:firstRow="1" w:lastColumn="0" w:lastRow="0" w:noHBand="0" w:noVBand="1" w:val="04A0"/>
      </w:tblPr>
      <w:tblGrid>
        <w:gridCol w:w="9360"/>
      </w:tblGrid>
      <w:tr>
        <w:tc>
          <w:tcPr>
            <w:tcW w:type="dxa" w:w="9936"/>
            <w:shd w:fill="EFF6FF"/>
            <w:tcMar>
              <w:top w:w="140" w:type="dxa"/>
              <w:bottom w:w="140" w:type="dxa"/>
              <w:left w:w="200" w:type="dxa"/>
              <w:right w:w="200" w:type="dxa"/>
            </w:tcMar>
          </w:tcPr>
          <w:p>
            <w:pPr>
              <w:spacing w:before="0" w:after="40"/>
            </w:pPr>
            <w:r>
              <w:rPr>
                <w:rFonts w:ascii="Calibri" w:hAnsi="Calibri"/>
                <w:b/>
                <w:color w:val="1E40AF"/>
                <w:sz w:val="22"/>
              </w:rPr>
              <w:t>📌 The Sole Source of Truth Law</w:t>
              <w:br/>
            </w:r>
            <w:r>
              <w:rPr>
                <w:rFonts w:ascii="Calibri" w:hAnsi="Calibri"/>
                <w:color w:val="1F2937"/>
                <w:sz w:val="20"/>
              </w:rPr>
              <w:t>We updated sandbox_remediator.py to guarantee that Trivy is the sole source of discovered findings. The system never loops over cve_knowledge.json to invent findings. Because CVE-2024-50379 was not in the Trivy scan report, it is strictly excluded from evaluation and reporting.</w:t>
            </w:r>
          </w:p>
        </w:tc>
      </w:tr>
    </w:tbl>
    <w:p>
      <w:pPr>
        <w:spacing w:after="80"/>
      </w:pPr>
    </w:p>
    <w:p>
      <w:pPr>
        <w:pStyle w:val="Heading1"/>
        <w:spacing w:before="320"/>
      </w:pPr>
      <w:r>
        <w:t>4. Autonomous Sandbox Remediation &amp; Three-Point Verification</w:t>
      </w:r>
    </w:p>
    <w:p>
      <w:r>
        <w:t>When an exploitable full match is confirmed (such as the DefaultServlet arbitrary file write vulnerability on CVE-2025-24813), the orchestrator applies remediation under strict containment boundaries:</w:t>
      </w:r>
    </w:p>
    <w:p>
      <w:pPr>
        <w:pStyle w:val="Heading2"/>
      </w:pPr>
      <w:r>
        <w:t>4.1 Isolation Safeguards</w:t>
      </w:r>
    </w:p>
    <w:p>
      <w:r>
        <w:t>1. Live Target Preservation: The live server (e.g. tomcat-9.0.98) is marked READ-ONLY. No write commands or restarts are ever permitted against it.</w:t>
        <w:br/>
        <w:t>2. Sandbox Testbed: Modifications take place inside an isolated sandbox container copy (tomcat-9.0.98-vuln).</w:t>
        <w:br/>
        <w:t>3. Automated Rollback Backup: Before any configuration edit, a timestamped copy is generated (/opt/tomcat/conf/remediation-backups/web.xml.&lt;timestamp&gt;.bak).</w:t>
        <w:br/>
        <w:t>4. Allowlisted Mutation: Arbitrary shell commands are rejected. Only allowlisted, deterministic parameters (e.g. DefaultServlet readonly = true) are modified.</w:t>
      </w:r>
    </w:p>
    <w:p>
      <w:pPr>
        <w:pStyle w:val="Heading2"/>
      </w:pPr>
      <w:r>
        <w:t>4.2 The Three Mandatory Verifications + Rescan</w:t>
      </w:r>
    </w:p>
    <w:p>
      <w:r>
        <w:t>After applying the fix and reloading the sandbox daemon, the engine executes three independent verification tests: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tcMar>
              <w:top w:w="80" w:type="dxa"/>
              <w:bottom w:w="80" w:type="dxa"/>
              <w:left w:w="100" w:type="dxa"/>
              <w:right w:w="100" w:type="dxa"/>
            </w:tcMar>
            <w:shd w:fill="1E293B"/>
          </w:tcPr>
          <w:p>
            <w:r>
              <w:rPr>
                <w:b/>
                <w:color w:val="FFFFFF"/>
              </w:rPr>
              <w:t>Verification Check</w:t>
            </w:r>
          </w:p>
        </w:tc>
        <w:tc>
          <w:tcPr>
            <w:tcW w:type="dxa" w:w="2592"/>
            <w:tcMar>
              <w:top w:w="80" w:type="dxa"/>
              <w:bottom w:w="80" w:type="dxa"/>
              <w:left w:w="100" w:type="dxa"/>
              <w:right w:w="100" w:type="dxa"/>
            </w:tcMar>
            <w:shd w:fill="1E293B"/>
          </w:tcPr>
          <w:p>
            <w:r>
              <w:rPr>
                <w:b/>
                <w:color w:val="FFFFFF"/>
              </w:rPr>
              <w:t>Pre-Remediation Baseline</w:t>
            </w:r>
          </w:p>
        </w:tc>
        <w:tc>
          <w:tcPr>
            <w:tcW w:type="dxa" w:w="2592"/>
            <w:tcMar>
              <w:top w:w="80" w:type="dxa"/>
              <w:bottom w:w="80" w:type="dxa"/>
              <w:left w:w="100" w:type="dxa"/>
              <w:right w:w="100" w:type="dxa"/>
            </w:tcMar>
            <w:shd w:fill="1E293B"/>
          </w:tcPr>
          <w:p>
            <w:r>
              <w:rPr>
                <w:b/>
                <w:color w:val="FFFFFF"/>
              </w:rPr>
              <w:t>Post-Remediation Sandbox</w:t>
            </w:r>
          </w:p>
        </w:tc>
        <w:tc>
          <w:tcPr>
            <w:tcW w:type="dxa" w:w="2016"/>
            <w:tcMar>
              <w:top w:w="80" w:type="dxa"/>
              <w:bottom w:w="80" w:type="dxa"/>
              <w:left w:w="100" w:type="dxa"/>
              <w:right w:w="100" w:type="dxa"/>
            </w:tcMar>
            <w:shd w:fill="1E293B"/>
          </w:tcPr>
          <w:p>
            <w:r>
              <w:rPr>
                <w:b/>
                <w:color w:val="FFFFFF"/>
              </w:rPr>
              <w:t>Independent Proof</w:t>
            </w:r>
          </w:p>
        </w:tc>
      </w:tr>
      <w:tr>
        <w:tc>
          <w:tcPr>
            <w:tcW w:type="dxa" w:w="2160"/>
            <w:tcMar>
              <w:top w:w="80" w:type="dxa"/>
              <w:bottom w:w="80" w:type="dxa"/>
              <w:left w:w="100" w:type="dxa"/>
              <w:right w:w="100" w:type="dxa"/>
            </w:tcMar>
            <w:shd w:fill="FFFFFF"/>
          </w:tcPr>
          <w:p>
            <w:r>
              <w:rPr>
                <w:sz w:val="19"/>
              </w:rPr>
              <w:t>1. Vulnerability Eliminated</w:t>
            </w:r>
          </w:p>
        </w:tc>
        <w:tc>
          <w:tcPr>
            <w:tcW w:type="dxa" w:w="2592"/>
            <w:tcMar>
              <w:top w:w="80" w:type="dxa"/>
              <w:bottom w:w="80" w:type="dxa"/>
              <w:left w:w="100" w:type="dxa"/>
              <w:right w:w="100" w:type="dxa"/>
            </w:tcMar>
            <w:shd w:fill="FFFFFF"/>
          </w:tcPr>
          <w:p>
            <w:r>
              <w:rPr>
                <w:sz w:val="19"/>
              </w:rPr>
              <w:t>HTTP PUT /probe.txt -&gt; 201 Created (Write allowed)</w:t>
            </w:r>
          </w:p>
        </w:tc>
        <w:tc>
          <w:tcPr>
            <w:tcW w:type="dxa" w:w="2592"/>
            <w:tcMar>
              <w:top w:w="80" w:type="dxa"/>
              <w:bottom w:w="80" w:type="dxa"/>
              <w:left w:w="100" w:type="dxa"/>
              <w:right w:w="100" w:type="dxa"/>
            </w:tcMar>
            <w:shd w:fill="FFFFFF"/>
          </w:tcPr>
          <w:p>
            <w:r>
              <w:rPr>
                <w:sz w:val="19"/>
              </w:rPr>
              <w:t>HTTP PUT /probe.txt -&gt; 405 Method Not Allowed</w:t>
            </w:r>
          </w:p>
        </w:tc>
        <w:tc>
          <w:tcPr>
            <w:tcW w:type="dxa" w:w="2016"/>
            <w:tcMar>
              <w:top w:w="80" w:type="dxa"/>
              <w:bottom w:w="80" w:type="dxa"/>
              <w:left w:w="100" w:type="dxa"/>
              <w:right w:w="100" w:type="dxa"/>
            </w:tcMar>
            <w:shd w:fill="F0FDF4"/>
          </w:tcPr>
          <w:p>
            <w:r>
              <w:rPr>
                <w:b/>
                <w:color w:val="166534"/>
                <w:sz w:val="19"/>
              </w:rPr>
              <w:t>PASS (Write capability neutralized)</w:t>
            </w:r>
          </w:p>
        </w:tc>
      </w:tr>
      <w:tr>
        <w:tc>
          <w:tcPr>
            <w:tcW w:type="dxa" w:w="2160"/>
            <w:tcMar>
              <w:top w:w="80" w:type="dxa"/>
              <w:bottom w:w="80" w:type="dxa"/>
              <w:left w:w="100" w:type="dxa"/>
              <w:right w:w="100" w:type="dxa"/>
            </w:tcMar>
            <w:shd w:fill="FFFFFF"/>
          </w:tcPr>
          <w:p>
            <w:r>
              <w:rPr>
                <w:sz w:val="19"/>
              </w:rPr>
              <w:t>2. Zero Regressions</w:t>
            </w:r>
          </w:p>
        </w:tc>
        <w:tc>
          <w:tcPr>
            <w:tcW w:type="dxa" w:w="2592"/>
            <w:tcMar>
              <w:top w:w="80" w:type="dxa"/>
              <w:bottom w:w="80" w:type="dxa"/>
              <w:left w:w="100" w:type="dxa"/>
              <w:right w:w="100" w:type="dxa"/>
            </w:tcMar>
            <w:shd w:fill="FFFFFF"/>
          </w:tcPr>
          <w:p>
            <w:r>
              <w:rPr>
                <w:sz w:val="19"/>
              </w:rPr>
              <w:t>Original vulnerable state</w:t>
            </w:r>
          </w:p>
        </w:tc>
        <w:tc>
          <w:tcPr>
            <w:tcW w:type="dxa" w:w="2592"/>
            <w:tcMar>
              <w:top w:w="80" w:type="dxa"/>
              <w:bottom w:w="80" w:type="dxa"/>
              <w:left w:w="100" w:type="dxa"/>
              <w:right w:w="100" w:type="dxa"/>
            </w:tcMar>
            <w:shd w:fill="FFFFFF"/>
          </w:tcPr>
          <w:p>
            <w:r>
              <w:rPr>
                <w:sz w:val="19"/>
              </w:rPr>
              <w:t>Trivy offline rescan -&gt; 0 new CVEs; clean XML diff</w:t>
            </w:r>
          </w:p>
        </w:tc>
        <w:tc>
          <w:tcPr>
            <w:tcW w:type="dxa" w:w="2016"/>
            <w:tcMar>
              <w:top w:w="80" w:type="dxa"/>
              <w:bottom w:w="80" w:type="dxa"/>
              <w:left w:w="100" w:type="dxa"/>
              <w:right w:w="100" w:type="dxa"/>
            </w:tcMar>
            <w:shd w:fill="F0FDF4"/>
          </w:tcPr>
          <w:p>
            <w:r>
              <w:rPr>
                <w:b/>
                <w:color w:val="166534"/>
                <w:sz w:val="19"/>
              </w:rPr>
              <w:t>PASS (No side-effects introduced)</w:t>
            </w:r>
          </w:p>
        </w:tc>
      </w:tr>
      <w:tr>
        <w:tc>
          <w:tcPr>
            <w:tcW w:type="dxa" w:w="2160"/>
            <w:tcMar>
              <w:top w:w="80" w:type="dxa"/>
              <w:bottom w:w="80" w:type="dxa"/>
              <w:left w:w="100" w:type="dxa"/>
              <w:right w:w="100" w:type="dxa"/>
            </w:tcMar>
            <w:shd w:fill="FFFFFF"/>
          </w:tcPr>
          <w:p>
            <w:r>
              <w:rPr>
                <w:sz w:val="19"/>
              </w:rPr>
              <w:t>3. Application Healthy</w:t>
            </w:r>
          </w:p>
        </w:tc>
        <w:tc>
          <w:tcPr>
            <w:tcW w:type="dxa" w:w="2592"/>
            <w:tcMar>
              <w:top w:w="80" w:type="dxa"/>
              <w:bottom w:w="80" w:type="dxa"/>
              <w:left w:w="100" w:type="dxa"/>
              <w:right w:w="100" w:type="dxa"/>
            </w:tcMar>
            <w:shd w:fill="FFFFFF"/>
          </w:tcPr>
          <w:p>
            <w:r>
              <w:rPr>
                <w:sz w:val="19"/>
              </w:rPr>
              <w:t>HTTP GET / -&gt; 200 OK</w:t>
            </w:r>
          </w:p>
        </w:tc>
        <w:tc>
          <w:tcPr>
            <w:tcW w:type="dxa" w:w="2592"/>
            <w:tcMar>
              <w:top w:w="80" w:type="dxa"/>
              <w:bottom w:w="80" w:type="dxa"/>
              <w:left w:w="100" w:type="dxa"/>
              <w:right w:w="100" w:type="dxa"/>
            </w:tcMar>
            <w:shd w:fill="FFFFFF"/>
          </w:tcPr>
          <w:p>
            <w:r>
              <w:rPr>
                <w:sz w:val="19"/>
              </w:rPr>
              <w:t>HTTP GET / -&gt; 200 OK (11,210 bytes, daemon running)</w:t>
            </w:r>
          </w:p>
        </w:tc>
        <w:tc>
          <w:tcPr>
            <w:tcW w:type="dxa" w:w="2016"/>
            <w:tcMar>
              <w:top w:w="80" w:type="dxa"/>
              <w:bottom w:w="80" w:type="dxa"/>
              <w:left w:w="100" w:type="dxa"/>
              <w:right w:w="100" w:type="dxa"/>
            </w:tcMar>
            <w:shd w:fill="F0FDF4"/>
          </w:tcPr>
          <w:p>
            <w:r>
              <w:rPr>
                <w:b/>
                <w:color w:val="166534"/>
                <w:sz w:val="19"/>
              </w:rPr>
              <w:t>PASS (Service availability preserved)</w:t>
            </w:r>
          </w:p>
        </w:tc>
      </w:tr>
    </w:tbl>
    <w:p>
      <w:pPr>
        <w:spacing w:after="200"/>
      </w:pPr>
    </w:p>
    <w:p>
      <w:pPr>
        <w:pStyle w:val="Heading2"/>
      </w:pPr>
      <w:r>
        <w:t>4.3 The Critical Halt &amp; Governance Gate</w:t>
      </w:r>
    </w:p>
    <w:p>
      <w:r>
        <w:t>Upon successful completion of all three verifications, the pipeline immediately triggers an intentional halt:</w:t>
        <w:br/>
        <w:t>• Status marked: VALIDATED_SANDBOX_CONFIRMED_FIX.</w:t>
        <w:br/>
        <w:t>• Real Environment Protection: No commands are sent to the production target.</w:t>
        <w:br/>
        <w:t>• Human Dossier Generated: An interactive dashboard and JSON authorization package are generated.</w:t>
      </w:r>
    </w:p>
    <w:p>
      <w:pPr>
        <w:pStyle w:val="Heading1"/>
        <w:spacing w:before="320"/>
      </w:pPr>
      <w:r>
        <w:t>5. Operational Hands-on Guide (End-to-End)</w:t>
      </w:r>
    </w:p>
    <w:p>
      <w:r>
        <w:t>To run and verify the complete workflow end-to-end, execute the following commands in PowerShell from C:\airgap-security:</w:t>
      </w:r>
    </w:p>
    <w:p>
      <w:pPr>
        <w:pStyle w:val="Heading2"/>
      </w:pPr>
      <w:r>
        <w:t>Step 1: Set Sandbox to Vulnerable Baseline</w:t>
      </w:r>
    </w:p>
    <w:p>
      <w:r>
        <w:t>Configure readonly=false in web.xml and restart the sandbox container:</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docker exec tomcat-9.0.98-vuln sed -i -E "/&lt;param-name&gt;\s*readonly\s*&lt;\/param-name&gt;/{n;s/&lt;param-value&gt;\s*true\s*&lt;\/param-value&gt;/&lt;param-value&gt;false&lt;\/param-value&gt;/;}" /opt/tomcat/conf/web.xml; docker restart tomcat-9.0.98-vuln</w:t>
            </w:r>
          </w:p>
        </w:tc>
      </w:tr>
    </w:tbl>
    <w:p>
      <w:pPr>
        <w:spacing w:after="80"/>
      </w:pPr>
    </w:p>
    <w:p>
      <w:r>
        <w:t>Prove arbitrary file upload is actively exploitable (HTTP 201 Created):</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curl.exe -X PUT http://localhost:8081/baseline_test.txt -d "exploit_payload" -i</w:t>
            </w:r>
          </w:p>
        </w:tc>
      </w:tr>
    </w:tbl>
    <w:p>
      <w:pPr>
        <w:spacing w:after="80"/>
      </w:pPr>
    </w:p>
    <w:p>
      <w:pPr>
        <w:pStyle w:val="Heading2"/>
      </w:pPr>
      <w:r>
        <w:t>Step 2: Run Full Contextual Discovery Scan</w:t>
      </w:r>
    </w:p>
    <w:p>
      <w:r>
        <w:t>Execute main.py in Tomcat mode to discover vulnerabilities via Trivy, gather configuration, and evaluate prerequisites:</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python orchestrator\main.py --target-type tomcat --image airgap-tomcat:9.0.98-vuln --container tomcat-9.0.98-vuln</w:t>
            </w:r>
          </w:p>
        </w:tc>
      </w:tr>
    </w:tbl>
    <w:p>
      <w:pPr>
        <w:spacing w:after="80"/>
      </w:pPr>
    </w:p>
    <w:p>
      <w:pPr>
        <w:pStyle w:val="Heading2"/>
      </w:pPr>
      <w:r>
        <w:t>Step 3: Run Autonomous Sandbox Remediation</w:t>
      </w:r>
    </w:p>
    <w:p>
      <w:r>
        <w:t>Launch the sandbox remediator to apply the fix, run the 3 verifications, rescan, and halt for human review:</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python orchestrator\sandbox_remediator.py --live-target tomcat-9.0.98 --sandbox-container tomcat-9.0.98-vuln --sandbox-url http://localhost:8081</w:t>
            </w:r>
          </w:p>
        </w:tc>
      </w:tr>
    </w:tbl>
    <w:p>
      <w:pPr>
        <w:spacing w:after="80"/>
      </w:pPr>
    </w:p>
    <w:p>
      <w:pPr>
        <w:pStyle w:val="Heading2"/>
      </w:pPr>
      <w:r>
        <w:t>Step 4: Inspect Generated Human Review Portal</w:t>
      </w:r>
    </w:p>
    <w:p>
      <w:r>
        <w:t>Open the interactive HTML dashboard in your browser:</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Start-Process "C:\airgap-security\workspace\sandbox-validation\human_review_portal.html"</w:t>
            </w:r>
          </w:p>
        </w:tc>
      </w:tr>
    </w:tbl>
    <w:p>
      <w:pPr>
        <w:spacing w:after="80"/>
      </w:pPr>
    </w:p>
    <w:p>
      <w:pPr>
        <w:pStyle w:val="Heading2"/>
      </w:pPr>
      <w:r>
        <w:t>Step 5: Direct Live Verification (curl)</w:t>
      </w:r>
    </w:p>
    <w:p>
      <w:r>
        <w:t>Verify that HTTP PUT is now blocked (HTTP 405 Method Not Allowed):</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curl.exe -X PUT http://localhost:8081/sandbox_test.txt -d "test" -i</w:t>
            </w:r>
          </w:p>
        </w:tc>
      </w:tr>
    </w:tbl>
    <w:p>
      <w:pPr>
        <w:spacing w:after="80"/>
      </w:pPr>
    </w:p>
    <w:p>
      <w:r>
        <w:t>Verify that HTTP GET still works normally (HTTP 200 OK):</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curl.exe -I http://localhost:8081/</w:t>
            </w:r>
          </w:p>
        </w:tc>
      </w:tr>
    </w:tbl>
    <w:p>
      <w:pPr>
        <w:spacing w:after="80"/>
      </w:pPr>
    </w:p>
    <w:p>
      <w:pPr>
        <w:pStyle w:val="Heading2"/>
      </w:pPr>
      <w:r>
        <w:t>Step 6: Optional Human-Authorized Staged Deployment</w:t>
      </w:r>
    </w:p>
    <w:p>
      <w:r>
        <w:t>If approved by the human security administrator, deploy the verified fix to the live server:</w:t>
      </w:r>
    </w:p>
    <w:p>
      <w:pPr>
        <w:spacing w:before="80" w:after="80"/>
        <w:ind w:left="288"/>
      </w:pP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200" w:type="dxa"/>
              <w:right w:w="200" w:type="dxa"/>
            </w:tcMar>
          </w:tcPr>
          <w:p>
            <w:pPr>
              <w:spacing w:before="0" w:after="0"/>
            </w:pPr>
            <w:r>
              <w:rPr>
                <w:rFonts w:ascii="Consolas" w:hAnsi="Consolas"/>
                <w:color w:val="38BDF8"/>
                <w:sz w:val="19"/>
              </w:rPr>
              <w:t>python orchestrator\remediation_executor.py --remediation workspace\sandbox-validation\sandbox_remediation_plan.json --container tomcat-9.0.98 --apply</w:t>
            </w:r>
          </w:p>
        </w:tc>
      </w:tr>
    </w:tbl>
    <w:p>
      <w:pPr>
        <w:spacing w:after="80"/>
      </w:pPr>
    </w:p>
    <w:p>
      <w:pPr>
        <w:pStyle w:val="Heading1"/>
        <w:spacing w:before="320"/>
      </w:pPr>
      <w:r>
        <w:t>6. Key Project Deliverables &amp; Artifact Inventory</w:t>
      </w:r>
    </w:p>
    <w:p>
      <w:r>
        <w:t>The table below details the core components and artifacts developed in this project:</w:t>
      </w:r>
    </w:p>
    <w:tbl>
      <w:tblPr>
        <w:tblW w:type="auto" w:w="0"/>
        <w:jc w:val="center"/>
        <w:tblLayout w:type="fixed"/>
        <w:tblLook w:firstColumn="1" w:firstRow="1" w:lastColumn="0" w:lastRow="0" w:noHBand="0" w:noVBand="1" w:val="04A0"/>
      </w:tblPr>
      <w:tblGrid>
        <w:gridCol w:w="3312"/>
        <w:gridCol w:w="3312"/>
        <w:gridCol w:w="3312"/>
      </w:tblGrid>
      <w:tr>
        <w:tc>
          <w:tcPr>
            <w:tcW w:type="dxa" w:w="3168"/>
            <w:tcMar>
              <w:top w:w="80" w:type="dxa"/>
              <w:bottom w:w="80" w:type="dxa"/>
              <w:left w:w="100" w:type="dxa"/>
              <w:right w:w="100" w:type="dxa"/>
            </w:tcMar>
            <w:shd w:fill="1E293B"/>
          </w:tcPr>
          <w:p>
            <w:r>
              <w:rPr>
                <w:b/>
                <w:color w:val="FFFFFF"/>
              </w:rPr>
              <w:t>File Path</w:t>
            </w:r>
          </w:p>
        </w:tc>
        <w:tc>
          <w:tcPr>
            <w:tcW w:type="dxa" w:w="2160"/>
            <w:tcMar>
              <w:top w:w="80" w:type="dxa"/>
              <w:bottom w:w="80" w:type="dxa"/>
              <w:left w:w="100" w:type="dxa"/>
              <w:right w:w="100" w:type="dxa"/>
            </w:tcMar>
            <w:shd w:fill="1E293B"/>
          </w:tcPr>
          <w:p>
            <w:r>
              <w:rPr>
                <w:b/>
                <w:color w:val="FFFFFF"/>
              </w:rPr>
              <w:t>Role / Category</w:t>
            </w:r>
          </w:p>
        </w:tc>
        <w:tc>
          <w:tcPr>
            <w:tcW w:type="dxa" w:w="4032"/>
            <w:tcMar>
              <w:top w:w="80" w:type="dxa"/>
              <w:bottom w:w="80" w:type="dxa"/>
              <w:left w:w="100" w:type="dxa"/>
              <w:right w:w="100" w:type="dxa"/>
            </w:tcMar>
            <w:shd w:fill="1E293B"/>
          </w:tcPr>
          <w:p>
            <w:r>
              <w:rPr>
                <w:b/>
                <w:color w:val="FFFFFF"/>
              </w:rPr>
              <w:t>Description</w:t>
            </w:r>
          </w:p>
        </w:tc>
      </w:tr>
      <w:tr>
        <w:tc>
          <w:tcPr>
            <w:tcW w:type="dxa" w:w="3168"/>
            <w:tcMar>
              <w:top w:w="80" w:type="dxa"/>
              <w:bottom w:w="80" w:type="dxa"/>
              <w:left w:w="100" w:type="dxa"/>
              <w:right w:w="100" w:type="dxa"/>
            </w:tcMar>
            <w:shd w:fill="F8FAFC"/>
          </w:tcPr>
          <w:p>
            <w:r>
              <w:rPr>
                <w:rFonts w:ascii="Consolas" w:hAnsi="Consolas"/>
                <w:sz w:val="17"/>
              </w:rPr>
              <w:t>orchestrator/sandbox_remediator.py</w:t>
            </w:r>
          </w:p>
        </w:tc>
        <w:tc>
          <w:tcPr>
            <w:tcW w:type="dxa" w:w="2160"/>
            <w:tcMar>
              <w:top w:w="80" w:type="dxa"/>
              <w:bottom w:w="80" w:type="dxa"/>
              <w:left w:w="100" w:type="dxa"/>
              <w:right w:w="100" w:type="dxa"/>
            </w:tcMar>
            <w:shd w:fill="F8FAFC"/>
          </w:tcPr>
          <w:p>
            <w:r>
              <w:rPr>
                <w:sz w:val="19"/>
              </w:rPr>
              <w:t>Core Orchestration</w:t>
            </w:r>
          </w:p>
        </w:tc>
        <w:tc>
          <w:tcPr>
            <w:tcW w:type="dxa" w:w="4032"/>
            <w:tcMar>
              <w:top w:w="80" w:type="dxa"/>
              <w:bottom w:w="80" w:type="dxa"/>
              <w:left w:w="100" w:type="dxa"/>
              <w:right w:w="100" w:type="dxa"/>
            </w:tcMar>
            <w:shd w:fill="F8FAFC"/>
          </w:tcPr>
          <w:p>
            <w:r>
              <w:rPr>
                <w:sz w:val="19"/>
              </w:rPr>
              <w:t>Autonomous sandbox remediation engine; enforces Trivy as sole source of findings and executes 3-point verifications.</w:t>
            </w:r>
          </w:p>
        </w:tc>
      </w:tr>
      <w:tr>
        <w:tc>
          <w:tcPr>
            <w:tcW w:type="dxa" w:w="3168"/>
            <w:tcMar>
              <w:top w:w="80" w:type="dxa"/>
              <w:bottom w:w="80" w:type="dxa"/>
              <w:left w:w="100" w:type="dxa"/>
              <w:right w:w="100" w:type="dxa"/>
            </w:tcMar>
            <w:shd w:fill="FFFFFF"/>
          </w:tcPr>
          <w:p>
            <w:r>
              <w:rPr>
                <w:rFonts w:ascii="Consolas" w:hAnsi="Consolas"/>
                <w:sz w:val="17"/>
              </w:rPr>
              <w:t>orchestrator/remediation_executor.py</w:t>
            </w:r>
          </w:p>
        </w:tc>
        <w:tc>
          <w:tcPr>
            <w:tcW w:type="dxa" w:w="2160"/>
            <w:tcMar>
              <w:top w:w="80" w:type="dxa"/>
              <w:bottom w:w="80" w:type="dxa"/>
              <w:left w:w="100" w:type="dxa"/>
              <w:right w:w="100" w:type="dxa"/>
            </w:tcMar>
            <w:shd w:fill="FFFFFF"/>
          </w:tcPr>
          <w:p>
            <w:r>
              <w:rPr>
                <w:sz w:val="19"/>
              </w:rPr>
              <w:t>Remediation Engine</w:t>
            </w:r>
          </w:p>
        </w:tc>
        <w:tc>
          <w:tcPr>
            <w:tcW w:type="dxa" w:w="4032"/>
            <w:tcMar>
              <w:top w:w="80" w:type="dxa"/>
              <w:bottom w:w="80" w:type="dxa"/>
              <w:left w:w="100" w:type="dxa"/>
              <w:right w:w="100" w:type="dxa"/>
            </w:tcMar>
            <w:shd w:fill="FFFFFF"/>
          </w:tcPr>
          <w:p>
            <w:r>
              <w:rPr>
                <w:sz w:val="19"/>
              </w:rPr>
              <w:t>Controlled, allowlisted configuration executor; creates backups and applies in-place sed edits.</w:t>
            </w:r>
          </w:p>
        </w:tc>
      </w:tr>
      <w:tr>
        <w:tc>
          <w:tcPr>
            <w:tcW w:type="dxa" w:w="3168"/>
            <w:tcMar>
              <w:top w:w="80" w:type="dxa"/>
              <w:bottom w:w="80" w:type="dxa"/>
              <w:left w:w="100" w:type="dxa"/>
              <w:right w:w="100" w:type="dxa"/>
            </w:tcMar>
            <w:shd w:fill="F8FAFC"/>
          </w:tcPr>
          <w:p>
            <w:r>
              <w:rPr>
                <w:rFonts w:ascii="Consolas" w:hAnsi="Consolas"/>
                <w:sz w:val="17"/>
              </w:rPr>
              <w:t>orchestrator/remediation_validator.py</w:t>
            </w:r>
          </w:p>
        </w:tc>
        <w:tc>
          <w:tcPr>
            <w:tcW w:type="dxa" w:w="2160"/>
            <w:tcMar>
              <w:top w:w="80" w:type="dxa"/>
              <w:bottom w:w="80" w:type="dxa"/>
              <w:left w:w="100" w:type="dxa"/>
              <w:right w:w="100" w:type="dxa"/>
            </w:tcMar>
            <w:shd w:fill="F8FAFC"/>
          </w:tcPr>
          <w:p>
            <w:r>
              <w:rPr>
                <w:sz w:val="19"/>
              </w:rPr>
              <w:t>Validator</w:t>
            </w:r>
          </w:p>
        </w:tc>
        <w:tc>
          <w:tcPr>
            <w:tcW w:type="dxa" w:w="4032"/>
            <w:tcMar>
              <w:top w:w="80" w:type="dxa"/>
              <w:bottom w:w="80" w:type="dxa"/>
              <w:left w:w="100" w:type="dxa"/>
              <w:right w:w="100" w:type="dxa"/>
            </w:tcMar>
            <w:shd w:fill="F8FAFC"/>
          </w:tcPr>
          <w:p>
            <w:r>
              <w:rPr>
                <w:sz w:val="19"/>
              </w:rPr>
              <w:t>Independent behavioral validator; executes HTTP PUT probes and inspects configuration.</w:t>
            </w:r>
          </w:p>
        </w:tc>
      </w:tr>
      <w:tr>
        <w:tc>
          <w:tcPr>
            <w:tcW w:type="dxa" w:w="3168"/>
            <w:tcMar>
              <w:top w:w="80" w:type="dxa"/>
              <w:bottom w:w="80" w:type="dxa"/>
              <w:left w:w="100" w:type="dxa"/>
              <w:right w:w="100" w:type="dxa"/>
            </w:tcMar>
            <w:shd w:fill="FFFFFF"/>
          </w:tcPr>
          <w:p>
            <w:r>
              <w:rPr>
                <w:rFonts w:ascii="Consolas" w:hAnsi="Consolas"/>
                <w:sz w:val="17"/>
              </w:rPr>
              <w:t>orchestrator/cve_evaluator.py</w:t>
            </w:r>
          </w:p>
        </w:tc>
        <w:tc>
          <w:tcPr>
            <w:tcW w:type="dxa" w:w="2160"/>
            <w:tcMar>
              <w:top w:w="80" w:type="dxa"/>
              <w:bottom w:w="80" w:type="dxa"/>
              <w:left w:w="100" w:type="dxa"/>
              <w:right w:w="100" w:type="dxa"/>
            </w:tcMar>
            <w:shd w:fill="FFFFFF"/>
          </w:tcPr>
          <w:p>
            <w:r>
              <w:rPr>
                <w:sz w:val="19"/>
              </w:rPr>
              <w:t>Contextual Evaluator</w:t>
            </w:r>
          </w:p>
        </w:tc>
        <w:tc>
          <w:tcPr>
            <w:tcW w:type="dxa" w:w="4032"/>
            <w:tcMar>
              <w:top w:w="80" w:type="dxa"/>
              <w:bottom w:w="80" w:type="dxa"/>
              <w:left w:w="100" w:type="dxa"/>
              <w:right w:w="100" w:type="dxa"/>
            </w:tcMar>
            <w:shd w:fill="FFFFFF"/>
          </w:tcPr>
          <w:p>
            <w:r>
              <w:rPr>
                <w:sz w:val="19"/>
              </w:rPr>
              <w:t>Deterministic prerequisite engine evaluating live configuration against structured attack conditions.</w:t>
            </w:r>
          </w:p>
        </w:tc>
      </w:tr>
      <w:tr>
        <w:tc>
          <w:tcPr>
            <w:tcW w:type="dxa" w:w="3168"/>
            <w:tcMar>
              <w:top w:w="80" w:type="dxa"/>
              <w:bottom w:w="80" w:type="dxa"/>
              <w:left w:w="100" w:type="dxa"/>
              <w:right w:w="100" w:type="dxa"/>
            </w:tcMar>
            <w:shd w:fill="F8FAFC"/>
          </w:tcPr>
          <w:p>
            <w:r>
              <w:rPr>
                <w:rFonts w:ascii="Consolas" w:hAnsi="Consolas"/>
                <w:sz w:val="17"/>
              </w:rPr>
              <w:t>orchestrator/config_collector.py</w:t>
            </w:r>
          </w:p>
        </w:tc>
        <w:tc>
          <w:tcPr>
            <w:tcW w:type="dxa" w:w="2160"/>
            <w:tcMar>
              <w:top w:w="80" w:type="dxa"/>
              <w:bottom w:w="80" w:type="dxa"/>
              <w:left w:w="100" w:type="dxa"/>
              <w:right w:w="100" w:type="dxa"/>
            </w:tcMar>
            <w:shd w:fill="F8FAFC"/>
          </w:tcPr>
          <w:p>
            <w:r>
              <w:rPr>
                <w:sz w:val="19"/>
              </w:rPr>
              <w:t>Auditor</w:t>
            </w:r>
          </w:p>
        </w:tc>
        <w:tc>
          <w:tcPr>
            <w:tcW w:type="dxa" w:w="4032"/>
            <w:tcMar>
              <w:top w:w="80" w:type="dxa"/>
              <w:bottom w:w="80" w:type="dxa"/>
              <w:left w:w="100" w:type="dxa"/>
              <w:right w:w="100" w:type="dxa"/>
            </w:tcMar>
            <w:shd w:fill="F8FAFC"/>
          </w:tcPr>
          <w:p>
            <w:r>
              <w:rPr>
                <w:sz w:val="19"/>
              </w:rPr>
              <w:t>CVE-agnostic container configuration extraction utility.</w:t>
            </w:r>
          </w:p>
        </w:tc>
      </w:tr>
      <w:tr>
        <w:tc>
          <w:tcPr>
            <w:tcW w:type="dxa" w:w="3168"/>
            <w:tcMar>
              <w:top w:w="80" w:type="dxa"/>
              <w:bottom w:w="80" w:type="dxa"/>
              <w:left w:w="100" w:type="dxa"/>
              <w:right w:w="100" w:type="dxa"/>
            </w:tcMar>
            <w:shd w:fill="FFFFFF"/>
          </w:tcPr>
          <w:p>
            <w:r>
              <w:rPr>
                <w:rFonts w:ascii="Consolas" w:hAnsi="Consolas"/>
                <w:sz w:val="17"/>
              </w:rPr>
              <w:t>workspace/sandbox-validation/human_review_portal.html</w:t>
            </w:r>
          </w:p>
        </w:tc>
        <w:tc>
          <w:tcPr>
            <w:tcW w:type="dxa" w:w="2160"/>
            <w:tcMar>
              <w:top w:w="80" w:type="dxa"/>
              <w:bottom w:w="80" w:type="dxa"/>
              <w:left w:w="100" w:type="dxa"/>
              <w:right w:w="100" w:type="dxa"/>
            </w:tcMar>
            <w:shd w:fill="FFFFFF"/>
          </w:tcPr>
          <w:p>
            <w:r>
              <w:rPr>
                <w:sz w:val="19"/>
              </w:rPr>
              <w:t>UI / Review Portal</w:t>
            </w:r>
          </w:p>
        </w:tc>
        <w:tc>
          <w:tcPr>
            <w:tcW w:type="dxa" w:w="4032"/>
            <w:tcMar>
              <w:top w:w="80" w:type="dxa"/>
              <w:bottom w:w="80" w:type="dxa"/>
              <w:left w:w="100" w:type="dxa"/>
              <w:right w:w="100" w:type="dxa"/>
            </w:tcMar>
            <w:shd w:fill="FFFFFF"/>
          </w:tcPr>
          <w:p>
            <w:r>
              <w:rPr>
                <w:sz w:val="19"/>
              </w:rPr>
              <w:t>Executive dark-mode interactive portal displaying before/after proofs and governance status.</w:t>
            </w:r>
          </w:p>
        </w:tc>
      </w:tr>
      <w:tr>
        <w:tc>
          <w:tcPr>
            <w:tcW w:type="dxa" w:w="3168"/>
            <w:tcMar>
              <w:top w:w="80" w:type="dxa"/>
              <w:bottom w:w="80" w:type="dxa"/>
              <w:left w:w="100" w:type="dxa"/>
              <w:right w:w="100" w:type="dxa"/>
            </w:tcMar>
            <w:shd w:fill="F8FAFC"/>
          </w:tcPr>
          <w:p>
            <w:r>
              <w:rPr>
                <w:rFonts w:ascii="Consolas" w:hAnsi="Consolas"/>
                <w:sz w:val="17"/>
              </w:rPr>
              <w:t>workspace/sandbox-validation/human_review_package.json</w:t>
            </w:r>
          </w:p>
        </w:tc>
        <w:tc>
          <w:tcPr>
            <w:tcW w:type="dxa" w:w="2160"/>
            <w:tcMar>
              <w:top w:w="80" w:type="dxa"/>
              <w:bottom w:w="80" w:type="dxa"/>
              <w:left w:w="100" w:type="dxa"/>
              <w:right w:w="100" w:type="dxa"/>
            </w:tcMar>
            <w:shd w:fill="F8FAFC"/>
          </w:tcPr>
          <w:p>
            <w:r>
              <w:rPr>
                <w:sz w:val="19"/>
              </w:rPr>
              <w:t>Governance Package</w:t>
            </w:r>
          </w:p>
        </w:tc>
        <w:tc>
          <w:tcPr>
            <w:tcW w:type="dxa" w:w="4032"/>
            <w:tcMar>
              <w:top w:w="80" w:type="dxa"/>
              <w:bottom w:w="80" w:type="dxa"/>
              <w:left w:w="100" w:type="dxa"/>
              <w:right w:w="100" w:type="dxa"/>
            </w:tcMar>
            <w:shd w:fill="F8FAFC"/>
          </w:tcPr>
          <w:p>
            <w:r>
              <w:rPr>
                <w:sz w:val="19"/>
              </w:rPr>
              <w:t>Structured JSON dossier containing complete cryptographic/behavioral audit trails.</w:t>
            </w:r>
          </w:p>
        </w:tc>
      </w:tr>
    </w:tbl>
    <w:p>
      <w:pPr>
        <w:spacing w:after="3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