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pPr>
      <w:r>
        <w:rPr>
          <w:rFonts w:ascii="Calibri" w:hAnsi="Calibri"/>
          <w:b/>
          <w:color w:val="0F172A"/>
          <w:sz w:val="48"/>
        </w:rPr>
        <w:t>Autonomous Air-Gapped Security &amp; Remediation Platform</w:t>
      </w:r>
    </w:p>
    <w:p>
      <w:pPr>
        <w:spacing w:after="360"/>
      </w:pPr>
      <w:r>
        <w:rPr>
          <w:color w:val="4B5563"/>
          <w:sz w:val="26"/>
        </w:rPr>
        <w:t>Comprehensive Technical Report: Contextual Vulnerability Evaluation, Autonomous Sandbox Remediation, Three-Point Verification, and Human Governance Workflow</w:t>
      </w:r>
    </w:p>
    <w:tbl>
      <w:tblPr>
        <w:tblW w:type="auto" w:w="0"/>
        <w:jc w:val="center"/>
        <w:tblLayout w:type="fixed"/>
        <w:tblLook w:firstColumn="1" w:firstRow="1" w:lastColumn="0" w:lastRow="0" w:noHBand="0" w:noVBand="1" w:val="04A0"/>
      </w:tblPr>
      <w:tblGrid>
        <w:gridCol w:w="3312"/>
        <w:gridCol w:w="3312"/>
        <w:gridCol w:w="3312"/>
      </w:tblGrid>
      <w:tr>
        <w:tc>
          <w:tcPr>
            <w:tcW w:type="dxa" w:w="3024"/>
            <w:shd w:fill="F1F5F9"/>
            <w:tcMar>
              <w:top w:w="80" w:type="dxa"/>
              <w:bottom w:w="60" w:type="dxa"/>
              <w:left w:w="100" w:type="dxa"/>
              <w:right w:w="100" w:type="dxa"/>
            </w:tcMar>
          </w:tcPr>
          <w:p>
            <w:r>
              <w:rPr>
                <w:b/>
                <w:color w:val="64748B"/>
                <w:sz w:val="18"/>
              </w:rPr>
              <w:t>Target Environment</w:t>
              <w:br/>
            </w:r>
            <w:r>
              <w:rPr>
                <w:b/>
                <w:color w:val="0F172A"/>
                <w:sz w:val="20"/>
              </w:rPr>
              <w:t>Apache Tomcat 9.0.98</w:t>
            </w:r>
          </w:p>
        </w:tc>
        <w:tc>
          <w:tcPr>
            <w:tcW w:type="dxa" w:w="3168"/>
            <w:shd w:fill="F1F5F9"/>
            <w:tcMar>
              <w:top w:w="80" w:type="dxa"/>
              <w:bottom w:w="60" w:type="dxa"/>
              <w:left w:w="100" w:type="dxa"/>
              <w:right w:w="100" w:type="dxa"/>
            </w:tcMar>
          </w:tcPr>
          <w:p>
            <w:r>
              <w:rPr>
                <w:b/>
                <w:color w:val="64748B"/>
                <w:sz w:val="18"/>
              </w:rPr>
              <w:t>Primary Scanner</w:t>
              <w:br/>
            </w:r>
            <w:r>
              <w:rPr>
                <w:b/>
                <w:color w:val="0F172A"/>
                <w:sz w:val="20"/>
              </w:rPr>
              <w:t>Aqua Trivy (Offline)</w:t>
            </w:r>
          </w:p>
        </w:tc>
        <w:tc>
          <w:tcPr>
            <w:tcW w:type="dxa" w:w="3168"/>
            <w:shd w:fill="F1F5F9"/>
            <w:tcMar>
              <w:top w:w="80" w:type="dxa"/>
              <w:bottom w:w="60" w:type="dxa"/>
              <w:left w:w="100" w:type="dxa"/>
              <w:right w:w="100" w:type="dxa"/>
            </w:tcMar>
          </w:tcPr>
          <w:p>
            <w:r>
              <w:rPr>
                <w:b/>
                <w:color w:val="64748B"/>
                <w:sz w:val="18"/>
              </w:rPr>
              <w:t>Governance</w:t>
              <w:br/>
            </w:r>
            <w:r>
              <w:rPr>
                <w:b/>
                <w:color w:val="0F172A"/>
                <w:sz w:val="20"/>
              </w:rPr>
              <w:t>Human-in-the-Loop Approval</w:t>
            </w:r>
          </w:p>
        </w:tc>
      </w:tr>
      <w:tr>
        <w:tc>
          <w:tcPr>
            <w:tcW w:type="dxa" w:w="3024"/>
          </w:tcPr>
          <w:p/>
        </w:tc>
        <w:tc>
          <w:tcPr>
            <w:tcW w:type="dxa" w:w="3168"/>
          </w:tcPr>
          <w:p/>
        </w:tc>
        <w:tc>
          <w:tcPr>
            <w:tcW w:type="dxa" w:w="3168"/>
          </w:tcPr>
          <w:p/>
        </w:tc>
      </w:tr>
    </w:tbl>
    <w:p>
      <w:pPr>
        <w:spacing w:after="320"/>
      </w:pPr>
    </w:p>
    <w:p>
      <w:pPr>
        <w:pStyle w:val="Heading1"/>
        <w:spacing w:before="320"/>
      </w:pPr>
      <w:r>
        <w:t>1. Executive Summary &amp; Core Philosophy</w:t>
      </w:r>
    </w:p>
    <w:p>
      <w:r>
        <w:t>Modern enterprise vulnerability scanners generate high-volume alert noise by solely matching software version numbers. In critical infrastructure and air-gapped secure enclaves, software upgrades cannot be applied blindly without validation. Furthermore, many reported vulnerabilities are completely mitigated or unexploitable due to the instance's active runtime configuration.</w:t>
      </w:r>
    </w:p>
    <w:p>
      <w:r>
        <w:t>This project establishes a resilient, end-to-end autonomous security architecture designed to operate 100% offline. Its purpose is to ingest vulnerability findings, evaluate actual runtime prerequisites against live configuration, safely generate and apply remediation in an isolated sandbox copy, independently verify that the fix works without regressions, and present verified evidence to a human administrator for explicit deployment authorization.</w:t>
      </w:r>
    </w:p>
    <w:tbl>
      <w:tblPr>
        <w:tblW w:type="auto" w:w="0"/>
        <w:jc w:val="center"/>
        <w:tblLayout w:type="fixed"/>
        <w:tblLook w:firstColumn="1" w:firstRow="1" w:lastColumn="0" w:lastRow="0" w:noHBand="0" w:noVBand="1" w:val="04A0"/>
      </w:tblPr>
      <w:tblGrid>
        <w:gridCol w:w="9360"/>
      </w:tblGrid>
      <w:tr>
        <w:tc>
          <w:tcPr>
            <w:tcW w:type="dxa" w:w="9936"/>
            <w:shd w:fill="EFF6FF"/>
            <w:tcMar>
              <w:top w:w="140" w:type="dxa"/>
              <w:bottom w:w="140" w:type="dxa"/>
              <w:left w:w="200" w:type="dxa"/>
              <w:right w:w="200" w:type="dxa"/>
            </w:tcMar>
          </w:tcPr>
          <w:p>
            <w:pPr>
              <w:spacing w:before="0" w:after="40"/>
            </w:pPr>
            <w:r>
              <w:rPr>
                <w:rFonts w:ascii="Calibri" w:hAnsi="Calibri"/>
                <w:b/>
                <w:color w:val="1E40AF"/>
                <w:sz w:val="22"/>
              </w:rPr>
              <w:t>📌 Fundamental Architectural Tenet</w:t>
              <w:br/>
            </w:r>
            <w:r>
              <w:rPr>
                <w:rFonts w:ascii="Calibri" w:hAnsi="Calibri"/>
                <w:color w:val="1F2937"/>
                <w:sz w:val="20"/>
              </w:rPr>
              <w:t>The system treats Trivy as the sole source of discovered vulnerability findings. Knowledge base definitions (cve_knowledge.json) must NEVER be treated as vulnerability findings on their own; they serve strictly to enrich findings actually detected by Trivy. Remediations are NEVER applied directly to live production servers.</w:t>
            </w:r>
          </w:p>
        </w:tc>
      </w:tr>
    </w:tbl>
    <w:p>
      <w:pPr>
        <w:spacing w:after="80"/>
      </w:pPr>
    </w:p>
    <w:p>
      <w:pPr>
        <w:pStyle w:val="Heading1"/>
        <w:spacing w:before="320"/>
      </w:pPr>
      <w:r>
        <w:t>2. Multi-Stage Pipeline Architecture</w:t>
      </w:r>
    </w:p>
    <w:p>
      <w:r>
        <w:t>The orchestrator executes a 6-tier defensive workflow across completely isolated boundaries:</w:t>
      </w:r>
    </w:p>
    <w:tbl>
      <w:tblPr>
        <w:tblW w:type="auto" w:w="0"/>
        <w:jc w:val="center"/>
        <w:tblLayout w:type="fixed"/>
        <w:tblLook w:firstColumn="1" w:firstRow="1" w:lastColumn="0" w:lastRow="0" w:noHBand="0" w:noVBand="1" w:val="04A0"/>
      </w:tblPr>
      <w:tblGrid>
        <w:gridCol w:w="3312"/>
        <w:gridCol w:w="3312"/>
        <w:gridCol w:w="3312"/>
      </w:tblGrid>
      <w:tr>
        <w:tc>
          <w:tcPr>
            <w:tcW w:type="dxa" w:w="1728"/>
            <w:tcMar>
              <w:top w:w="80" w:type="dxa"/>
              <w:bottom w:w="80" w:type="dxa"/>
              <w:left w:w="100" w:type="dxa"/>
              <w:right w:w="100" w:type="dxa"/>
            </w:tcMar>
            <w:shd w:fill="1E293B"/>
          </w:tcPr>
          <w:p>
            <w:r>
              <w:rPr>
                <w:b/>
                <w:color w:val="FFFFFF"/>
              </w:rPr>
              <w:t>Tier</w:t>
            </w:r>
          </w:p>
        </w:tc>
        <w:tc>
          <w:tcPr>
            <w:tcW w:type="dxa" w:w="3168"/>
            <w:tcMar>
              <w:top w:w="80" w:type="dxa"/>
              <w:bottom w:w="80" w:type="dxa"/>
              <w:left w:w="100" w:type="dxa"/>
              <w:right w:w="100" w:type="dxa"/>
            </w:tcMar>
            <w:shd w:fill="1E293B"/>
          </w:tcPr>
          <w:p>
            <w:r>
              <w:rPr>
                <w:b/>
                <w:color w:val="FFFFFF"/>
              </w:rPr>
              <w:t>Pipeline Stage</w:t>
            </w:r>
          </w:p>
        </w:tc>
        <w:tc>
          <w:tcPr>
            <w:tcW w:type="dxa" w:w="4464"/>
            <w:tcMar>
              <w:top w:w="80" w:type="dxa"/>
              <w:bottom w:w="80" w:type="dxa"/>
              <w:left w:w="100" w:type="dxa"/>
              <w:right w:w="100" w:type="dxa"/>
            </w:tcMar>
            <w:shd w:fill="1E293B"/>
          </w:tcPr>
          <w:p>
            <w:r>
              <w:rPr>
                <w:b/>
                <w:color w:val="FFFFFF"/>
              </w:rPr>
              <w:t>Responsibility &amp; Air-Gap Boundary</w:t>
            </w:r>
          </w:p>
        </w:tc>
      </w:tr>
      <w:tr>
        <w:tc>
          <w:tcPr>
            <w:tcW w:type="dxa" w:w="1728"/>
            <w:tcMar>
              <w:top w:w="80" w:type="dxa"/>
              <w:bottom w:w="80" w:type="dxa"/>
              <w:left w:w="100" w:type="dxa"/>
              <w:right w:w="100" w:type="dxa"/>
            </w:tcMar>
            <w:shd w:fill="F8FAFC"/>
          </w:tcPr>
          <w:p>
            <w:r>
              <w:rPr>
                <w:sz w:val="19"/>
              </w:rPr>
              <w:t>Tier 1</w:t>
            </w:r>
          </w:p>
        </w:tc>
        <w:tc>
          <w:tcPr>
            <w:tcW w:type="dxa" w:w="3168"/>
            <w:tcMar>
              <w:top w:w="80" w:type="dxa"/>
              <w:bottom w:w="80" w:type="dxa"/>
              <w:left w:w="100" w:type="dxa"/>
              <w:right w:w="100" w:type="dxa"/>
            </w:tcMar>
            <w:shd w:fill="F8FAFC"/>
          </w:tcPr>
          <w:p>
            <w:r>
              <w:rPr>
                <w:sz w:val="19"/>
              </w:rPr>
              <w:t>Offline Discovery</w:t>
            </w:r>
          </w:p>
        </w:tc>
        <w:tc>
          <w:tcPr>
            <w:tcW w:type="dxa" w:w="4464"/>
            <w:tcMar>
              <w:top w:w="80" w:type="dxa"/>
              <w:bottom w:w="80" w:type="dxa"/>
              <w:left w:w="100" w:type="dxa"/>
              <w:right w:w="100" w:type="dxa"/>
            </w:tcMar>
            <w:shd w:fill="F8FAFC"/>
          </w:tcPr>
          <w:p>
            <w:r>
              <w:rPr>
                <w:sz w:val="19"/>
              </w:rPr>
              <w:t>Trivy scans container images and software manifests offline; establishes the authoritative list of discovered CVEs.</w:t>
            </w:r>
          </w:p>
        </w:tc>
      </w:tr>
      <w:tr>
        <w:tc>
          <w:tcPr>
            <w:tcW w:type="dxa" w:w="1728"/>
            <w:tcMar>
              <w:top w:w="80" w:type="dxa"/>
              <w:bottom w:w="80" w:type="dxa"/>
              <w:left w:w="100" w:type="dxa"/>
              <w:right w:w="100" w:type="dxa"/>
            </w:tcMar>
            <w:shd w:fill="FFFFFF"/>
          </w:tcPr>
          <w:p>
            <w:r>
              <w:rPr>
                <w:sz w:val="19"/>
              </w:rPr>
              <w:t>Tier 2</w:t>
            </w:r>
          </w:p>
        </w:tc>
        <w:tc>
          <w:tcPr>
            <w:tcW w:type="dxa" w:w="3168"/>
            <w:tcMar>
              <w:top w:w="80" w:type="dxa"/>
              <w:bottom w:w="80" w:type="dxa"/>
              <w:left w:w="100" w:type="dxa"/>
              <w:right w:w="100" w:type="dxa"/>
            </w:tcMar>
            <w:shd w:fill="FFFFFF"/>
          </w:tcPr>
          <w:p>
            <w:r>
              <w:rPr>
                <w:sz w:val="19"/>
              </w:rPr>
              <w:t>Configuration Collection</w:t>
            </w:r>
          </w:p>
        </w:tc>
        <w:tc>
          <w:tcPr>
            <w:tcW w:type="dxa" w:w="4464"/>
            <w:tcMar>
              <w:top w:w="80" w:type="dxa"/>
              <w:bottom w:w="80" w:type="dxa"/>
              <w:left w:w="100" w:type="dxa"/>
              <w:right w:w="100" w:type="dxa"/>
            </w:tcMar>
            <w:shd w:fill="FFFFFF"/>
          </w:tcPr>
          <w:p>
            <w:r>
              <w:rPr>
                <w:sz w:val="19"/>
              </w:rPr>
              <w:t>config_collector.py introspects container web.xml, environment variables, connectors, and version scripts.</w:t>
            </w:r>
          </w:p>
        </w:tc>
      </w:tr>
      <w:tr>
        <w:tc>
          <w:tcPr>
            <w:tcW w:type="dxa" w:w="1728"/>
            <w:tcMar>
              <w:top w:w="80" w:type="dxa"/>
              <w:bottom w:w="80" w:type="dxa"/>
              <w:left w:w="100" w:type="dxa"/>
              <w:right w:w="100" w:type="dxa"/>
            </w:tcMar>
            <w:shd w:fill="F8FAFC"/>
          </w:tcPr>
          <w:p>
            <w:r>
              <w:rPr>
                <w:sz w:val="19"/>
              </w:rPr>
              <w:t>Tier 3</w:t>
            </w:r>
          </w:p>
        </w:tc>
        <w:tc>
          <w:tcPr>
            <w:tcW w:type="dxa" w:w="3168"/>
            <w:tcMar>
              <w:top w:w="80" w:type="dxa"/>
              <w:bottom w:w="80" w:type="dxa"/>
              <w:left w:w="100" w:type="dxa"/>
              <w:right w:w="100" w:type="dxa"/>
            </w:tcMar>
            <w:shd w:fill="F8FAFC"/>
          </w:tcPr>
          <w:p>
            <w:r>
              <w:rPr>
                <w:sz w:val="19"/>
              </w:rPr>
              <w:t>Contextual Evaluation</w:t>
            </w:r>
          </w:p>
        </w:tc>
        <w:tc>
          <w:tcPr>
            <w:tcW w:type="dxa" w:w="4464"/>
            <w:tcMar>
              <w:top w:w="80" w:type="dxa"/>
              <w:bottom w:w="80" w:type="dxa"/>
              <w:left w:w="100" w:type="dxa"/>
              <w:right w:w="100" w:type="dxa"/>
            </w:tcMar>
            <w:shd w:fill="F8FAFC"/>
          </w:tcPr>
          <w:p>
            <w:r>
              <w:rPr>
                <w:sz w:val="19"/>
              </w:rPr>
              <w:t>cve_evaluator.py checks whether software version + environmental prerequisites constitute a full exploitable match.</w:t>
            </w:r>
          </w:p>
        </w:tc>
      </w:tr>
      <w:tr>
        <w:tc>
          <w:tcPr>
            <w:tcW w:type="dxa" w:w="1728"/>
            <w:tcMar>
              <w:top w:w="80" w:type="dxa"/>
              <w:bottom w:w="80" w:type="dxa"/>
              <w:left w:w="100" w:type="dxa"/>
              <w:right w:w="100" w:type="dxa"/>
            </w:tcMar>
            <w:shd w:fill="FFFFFF"/>
          </w:tcPr>
          <w:p>
            <w:r>
              <w:rPr>
                <w:sz w:val="19"/>
              </w:rPr>
              <w:t>Tier 4</w:t>
            </w:r>
          </w:p>
        </w:tc>
        <w:tc>
          <w:tcPr>
            <w:tcW w:type="dxa" w:w="3168"/>
            <w:tcMar>
              <w:top w:w="80" w:type="dxa"/>
              <w:bottom w:w="80" w:type="dxa"/>
              <w:left w:w="100" w:type="dxa"/>
              <w:right w:w="100" w:type="dxa"/>
            </w:tcMar>
            <w:shd w:fill="FFFFFF"/>
          </w:tcPr>
          <w:p>
            <w:r>
              <w:rPr>
                <w:sz w:val="19"/>
              </w:rPr>
              <w:t>Remediation Planning</w:t>
            </w:r>
          </w:p>
        </w:tc>
        <w:tc>
          <w:tcPr>
            <w:tcW w:type="dxa" w:w="4464"/>
            <w:tcMar>
              <w:top w:w="80" w:type="dxa"/>
              <w:bottom w:w="80" w:type="dxa"/>
              <w:left w:w="100" w:type="dxa"/>
              <w:right w:w="100" w:type="dxa"/>
            </w:tcMar>
            <w:shd w:fill="FFFFFF"/>
          </w:tcPr>
          <w:p>
            <w:r>
              <w:rPr>
                <w:sz w:val="19"/>
              </w:rPr>
              <w:t>remediation_engine.py generates allowlisted, structured configuration actions with rollback safety.</w:t>
            </w:r>
          </w:p>
        </w:tc>
      </w:tr>
      <w:tr>
        <w:tc>
          <w:tcPr>
            <w:tcW w:type="dxa" w:w="1728"/>
            <w:tcMar>
              <w:top w:w="80" w:type="dxa"/>
              <w:bottom w:w="80" w:type="dxa"/>
              <w:left w:w="100" w:type="dxa"/>
              <w:right w:w="100" w:type="dxa"/>
            </w:tcMar>
            <w:shd w:fill="F8FAFC"/>
          </w:tcPr>
          <w:p>
            <w:r>
              <w:rPr>
                <w:sz w:val="19"/>
              </w:rPr>
              <w:t>Tier 5</w:t>
            </w:r>
          </w:p>
        </w:tc>
        <w:tc>
          <w:tcPr>
            <w:tcW w:type="dxa" w:w="3168"/>
            <w:tcMar>
              <w:top w:w="80" w:type="dxa"/>
              <w:bottom w:w="80" w:type="dxa"/>
              <w:left w:w="100" w:type="dxa"/>
              <w:right w:w="100" w:type="dxa"/>
            </w:tcMar>
            <w:shd w:fill="F8FAFC"/>
          </w:tcPr>
          <w:p>
            <w:r>
              <w:rPr>
                <w:sz w:val="19"/>
              </w:rPr>
              <w:t>Sandbox Remediation &amp; 3-Point Verification</w:t>
            </w:r>
          </w:p>
        </w:tc>
        <w:tc>
          <w:tcPr>
            <w:tcW w:type="dxa" w:w="4464"/>
            <w:tcMar>
              <w:top w:w="80" w:type="dxa"/>
              <w:bottom w:w="80" w:type="dxa"/>
              <w:left w:w="100" w:type="dxa"/>
              <w:right w:w="100" w:type="dxa"/>
            </w:tcMar>
            <w:shd w:fill="F8FAFC"/>
          </w:tcPr>
          <w:p>
            <w:r>
              <w:rPr>
                <w:sz w:val="19"/>
              </w:rPr>
              <w:t>sandbox_remediator.py clones/modifies an isolated sandbox container, executes 3 verification tests, and rescans.</w:t>
            </w:r>
          </w:p>
        </w:tc>
      </w:tr>
      <w:tr>
        <w:tc>
          <w:tcPr>
            <w:tcW w:type="dxa" w:w="1728"/>
            <w:tcMar>
              <w:top w:w="80" w:type="dxa"/>
              <w:bottom w:w="80" w:type="dxa"/>
              <w:left w:w="100" w:type="dxa"/>
              <w:right w:w="100" w:type="dxa"/>
            </w:tcMar>
            <w:shd w:fill="FFFFFF"/>
          </w:tcPr>
          <w:p>
            <w:r>
              <w:rPr>
                <w:sz w:val="19"/>
              </w:rPr>
              <w:t>Tier 6</w:t>
            </w:r>
          </w:p>
        </w:tc>
        <w:tc>
          <w:tcPr>
            <w:tcW w:type="dxa" w:w="3168"/>
            <w:tcMar>
              <w:top w:w="80" w:type="dxa"/>
              <w:bottom w:w="80" w:type="dxa"/>
              <w:left w:w="100" w:type="dxa"/>
              <w:right w:w="100" w:type="dxa"/>
            </w:tcMar>
            <w:shd w:fill="FFFFFF"/>
          </w:tcPr>
          <w:p>
            <w:r>
              <w:rPr>
                <w:sz w:val="19"/>
              </w:rPr>
              <w:t>Human Review &amp; Governance</w:t>
            </w:r>
          </w:p>
        </w:tc>
        <w:tc>
          <w:tcPr>
            <w:tcW w:type="dxa" w:w="4464"/>
            <w:tcMar>
              <w:top w:w="80" w:type="dxa"/>
              <w:bottom w:w="80" w:type="dxa"/>
              <w:left w:w="100" w:type="dxa"/>
              <w:right w:w="100" w:type="dxa"/>
            </w:tcMar>
            <w:shd w:fill="FFFFFF"/>
          </w:tcPr>
          <w:p>
            <w:r>
              <w:rPr>
                <w:sz w:val="19"/>
              </w:rPr>
              <w:t>Generates human_review_portal.html and human_review_package.json. Pipeline halts awaiting explicit authorization.</w:t>
            </w:r>
          </w:p>
        </w:tc>
      </w:tr>
    </w:tbl>
    <w:p>
      <w:pPr>
        <w:spacing w:after="240"/>
      </w:pPr>
    </w:p>
    <w:p>
      <w:pPr>
        <w:pStyle w:val="Heading2"/>
      </w:pPr>
      <w:r>
        <w:t>2.1 Autonomous LLM Tool Selector &amp; Ingestion Engine</w:t>
      </w:r>
    </w:p>
    <w:p>
      <w:r>
        <w:t>A foundational capability of this platform is the Autonomous Tool Selector (implemented in orchestrator/autonomous_agent.py). Instead of requiring human operators to manually configure scanners for every target, the system dynamically analyzes incoming artifacts and prompts the local LLM (Gemma 26B/24B via SGLang) to select the exact tools required.</w:t>
      </w:r>
    </w:p>
    <w:p>
      <w:r>
        <w:t>Key operational capabilities of the Autonomous Tool Selector:</w:t>
        <w:br/>
        <w:t>• Target Ingestion &amp; Profiling: Recursively extracts ZIP archives and directories, analyzing file extensions (.py, .js, .java), dependency manifests (requirements.txt, package.json, pom.xml), or network addresses (IP/hostname).</w:t>
        <w:br/>
        <w:t>• Autonomous LLM Consultation: Constructs a structured prompt detailing the target profile and queries the local model. The model returns a JSON payload specifying which tools to trigger ('semgrep', 'trivy', 'nmap') with clear technical reasoning.</w:t>
        <w:br/>
        <w:t>• Intelligent Heuristic Fallback: If the local LLM server is unreachable or offline, the engine seamlessly engages a deterministic heuristic rule matrix, ensuring 100% operational uptime without stalling.</w:t>
        <w:br/>
        <w:t>• Unified Execution &amp; Aggregation: Automatically runs the selected security scanners, maps findings into a standardized schema, and generates the comprehensive autonomous_security_report.json.</w:t>
      </w:r>
    </w:p>
    <w:tbl>
      <w:tblPr>
        <w:tblW w:type="auto" w:w="0"/>
        <w:jc w:val="center"/>
        <w:tblLayout w:type="fixed"/>
        <w:tblLook w:firstColumn="1" w:firstRow="1" w:lastColumn="0" w:lastRow="0" w:noHBand="0" w:noVBand="1" w:val="04A0"/>
      </w:tblPr>
      <w:tblGrid>
        <w:gridCol w:w="9360"/>
      </w:tblGrid>
      <w:tr>
        <w:tc>
          <w:tcPr>
            <w:tcW w:type="dxa" w:w="9936"/>
            <w:shd w:fill="EFF6FF"/>
            <w:tcMar>
              <w:top w:w="140" w:type="dxa"/>
              <w:bottom w:w="140" w:type="dxa"/>
              <w:left w:w="200" w:type="dxa"/>
              <w:right w:w="200" w:type="dxa"/>
            </w:tcMar>
          </w:tcPr>
          <w:p>
            <w:pPr>
              <w:spacing w:before="0" w:after="40"/>
            </w:pPr>
            <w:r>
              <w:rPr>
                <w:rFonts w:ascii="Calibri" w:hAnsi="Calibri"/>
                <w:b/>
                <w:color w:val="1E40AF"/>
                <w:sz w:val="22"/>
              </w:rPr>
              <w:t>📌 Live Autonomous Tool Selection Proof</w:t>
              <w:br/>
            </w:r>
            <w:r>
              <w:rPr>
                <w:rFonts w:ascii="Calibri" w:hAnsi="Calibri"/>
                <w:color w:val="1F2937"/>
                <w:sz w:val="20"/>
              </w:rPr>
              <w:t>When evaluated on 'test-app-offline.zip', the autonomous agent profiled the target (containing app.py and requirements.txt) and queried the local Gemma model. The LLM autonomously selected ['semgrep', 'trivy'], explaining that source code required static analysis and requirements.txt required dependency scanning. The agent executed both tools, detecting 1 command injection vulnerability and 2 Flask dependency CVEs.</w:t>
            </w:r>
          </w:p>
        </w:tc>
      </w:tr>
    </w:tbl>
    <w:p>
      <w:pPr>
        <w:spacing w:after="80"/>
      </w:pPr>
    </w:p>
    <w:p>
      <w:pPr>
        <w:pStyle w:val="Heading1"/>
        <w:spacing w:before="320"/>
      </w:pPr>
      <w:r>
        <w:t>3. Contextual Vulnerability Analysis &amp; The Trivy Ingestion Law</w:t>
      </w:r>
    </w:p>
    <w:p>
      <w:pPr>
        <w:pStyle w:val="Heading2"/>
      </w:pPr>
      <w:r>
        <w:t>3.1 The Vulnerability Precondition Discrepancy</w:t>
      </w:r>
    </w:p>
    <w:p>
      <w:r>
        <w:t>A critical milestone of this project was determining why vulnerability scanners flag high-severity CVEs that cannot be fully exploited. In our test environment running Apache Tomcat 9.0.98, Trivy detected CVE-2025-24813 ('Potential RCE and/or arbitrary file write with partial PUT').</w:t>
      </w:r>
    </w:p>
    <w:p>
      <w:r>
        <w:t>When our contextual prerequisite evaluator analyzed CVE-2025-24813 against the live container configuration, it identified two distinct threat models: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tcMar>
              <w:top w:w="80" w:type="dxa"/>
              <w:bottom w:w="80" w:type="dxa"/>
              <w:left w:w="100" w:type="dxa"/>
              <w:right w:w="100" w:type="dxa"/>
            </w:tcMar>
            <w:shd w:fill="1E293B"/>
          </w:tcPr>
          <w:p>
            <w:r>
              <w:rPr>
                <w:b/>
                <w:color w:val="FFFFFF"/>
              </w:rPr>
              <w:t>Attack Vector</w:t>
            </w:r>
          </w:p>
        </w:tc>
        <w:tc>
          <w:tcPr>
            <w:tcW w:type="dxa" w:w="2592"/>
            <w:tcMar>
              <w:top w:w="80" w:type="dxa"/>
              <w:bottom w:w="80" w:type="dxa"/>
              <w:left w:w="100" w:type="dxa"/>
              <w:right w:w="100" w:type="dxa"/>
            </w:tcMar>
            <w:shd w:fill="1E293B"/>
          </w:tcPr>
          <w:p>
            <w:r>
              <w:rPr>
                <w:b/>
                <w:color w:val="FFFFFF"/>
              </w:rPr>
              <w:t>Mandatory Precondition</w:t>
            </w:r>
          </w:p>
        </w:tc>
        <w:tc>
          <w:tcPr>
            <w:tcW w:type="dxa" w:w="2016"/>
            <w:tcMar>
              <w:top w:w="80" w:type="dxa"/>
              <w:bottom w:w="80" w:type="dxa"/>
              <w:left w:w="100" w:type="dxa"/>
              <w:right w:w="100" w:type="dxa"/>
            </w:tcMar>
            <w:shd w:fill="1E293B"/>
          </w:tcPr>
          <w:p>
            <w:r>
              <w:rPr>
                <w:b/>
                <w:color w:val="FFFFFF"/>
              </w:rPr>
              <w:t>Instance State</w:t>
            </w:r>
          </w:p>
        </w:tc>
        <w:tc>
          <w:tcPr>
            <w:tcW w:type="dxa" w:w="2160"/>
            <w:tcMar>
              <w:top w:w="80" w:type="dxa"/>
              <w:bottom w:w="80" w:type="dxa"/>
              <w:left w:w="100" w:type="dxa"/>
              <w:right w:w="100" w:type="dxa"/>
            </w:tcMar>
            <w:shd w:fill="1E293B"/>
          </w:tcPr>
          <w:p>
            <w:r>
              <w:rPr>
                <w:b/>
                <w:color w:val="FFFFFF"/>
              </w:rPr>
              <w:t>Match Status</w:t>
            </w:r>
          </w:p>
        </w:tc>
      </w:tr>
      <w:tr>
        <w:tc>
          <w:tcPr>
            <w:tcW w:type="dxa" w:w="2592"/>
            <w:tcMar>
              <w:top w:w="80" w:type="dxa"/>
              <w:bottom w:w="80" w:type="dxa"/>
              <w:left w:w="100" w:type="dxa"/>
              <w:right w:w="100" w:type="dxa"/>
            </w:tcMar>
            <w:shd w:fill="FFFFFF"/>
          </w:tcPr>
          <w:p>
            <w:r>
              <w:rPr>
                <w:sz w:val="19"/>
              </w:rPr>
              <w:t>Arbitrary File Write</w:t>
            </w:r>
          </w:p>
        </w:tc>
        <w:tc>
          <w:tcPr>
            <w:tcW w:type="dxa" w:w="2592"/>
            <w:tcMar>
              <w:top w:w="80" w:type="dxa"/>
              <w:bottom w:w="80" w:type="dxa"/>
              <w:left w:w="100" w:type="dxa"/>
              <w:right w:w="100" w:type="dxa"/>
            </w:tcMar>
            <w:shd w:fill="FFFFFF"/>
          </w:tcPr>
          <w:p>
            <w:r>
              <w:rPr>
                <w:sz w:val="19"/>
              </w:rPr>
              <w:t>Tomcat Version &lt;= 9.0.98</w:t>
            </w:r>
          </w:p>
        </w:tc>
        <w:tc>
          <w:tcPr>
            <w:tcW w:type="dxa" w:w="2016"/>
            <w:tcMar>
              <w:top w:w="80" w:type="dxa"/>
              <w:bottom w:w="80" w:type="dxa"/>
              <w:left w:w="100" w:type="dxa"/>
              <w:right w:w="100" w:type="dxa"/>
            </w:tcMar>
            <w:shd w:fill="FFFFFF"/>
          </w:tcPr>
          <w:p>
            <w:r>
              <w:rPr>
                <w:sz w:val="19"/>
              </w:rPr>
              <w:t>9.0.98 detected</w:t>
            </w:r>
          </w:p>
        </w:tc>
        <w:tc>
          <w:tcPr>
            <w:tcW w:type="dxa" w:w="2160"/>
            <w:tcMar>
              <w:top w:w="80" w:type="dxa"/>
              <w:bottom w:w="80" w:type="dxa"/>
              <w:left w:w="100" w:type="dxa"/>
              <w:right w:w="100" w:type="dxa"/>
            </w:tcMar>
            <w:shd w:fill="F0FDF4"/>
          </w:tcPr>
          <w:p>
            <w:r>
              <w:rPr>
                <w:sz w:val="19"/>
              </w:rPr>
              <w:t>SATISFIED</w:t>
            </w:r>
          </w:p>
        </w:tc>
      </w:tr>
      <w:tr>
        <w:tc>
          <w:tcPr>
            <w:tcW w:type="dxa" w:w="2592"/>
            <w:tcMar>
              <w:top w:w="80" w:type="dxa"/>
              <w:bottom w:w="80" w:type="dxa"/>
              <w:left w:w="100" w:type="dxa"/>
              <w:right w:w="100" w:type="dxa"/>
            </w:tcMar>
            <w:shd w:fill="FFFFFF"/>
          </w:tcPr>
          <w:p>
            <w:r>
              <w:rPr>
                <w:sz w:val="19"/>
              </w:rPr>
              <w:t>Arbitrary File Write</w:t>
            </w:r>
          </w:p>
        </w:tc>
        <w:tc>
          <w:tcPr>
            <w:tcW w:type="dxa" w:w="2592"/>
            <w:tcMar>
              <w:top w:w="80" w:type="dxa"/>
              <w:bottom w:w="80" w:type="dxa"/>
              <w:left w:w="100" w:type="dxa"/>
              <w:right w:w="100" w:type="dxa"/>
            </w:tcMar>
            <w:shd w:fill="FFFFFF"/>
          </w:tcPr>
          <w:p>
            <w:r>
              <w:rPr>
                <w:sz w:val="19"/>
              </w:rPr>
              <w:t>DefaultServlet readonly = false</w:t>
            </w:r>
          </w:p>
        </w:tc>
        <w:tc>
          <w:tcPr>
            <w:tcW w:type="dxa" w:w="2016"/>
            <w:tcMar>
              <w:top w:w="80" w:type="dxa"/>
              <w:bottom w:w="80" w:type="dxa"/>
              <w:left w:w="100" w:type="dxa"/>
              <w:right w:w="100" w:type="dxa"/>
            </w:tcMar>
            <w:shd w:fill="FFFFFF"/>
          </w:tcPr>
          <w:p>
            <w:r>
              <w:rPr>
                <w:sz w:val="19"/>
              </w:rPr>
              <w:t>false in web.xml</w:t>
            </w:r>
          </w:p>
        </w:tc>
        <w:tc>
          <w:tcPr>
            <w:tcW w:type="dxa" w:w="2160"/>
            <w:tcMar>
              <w:top w:w="80" w:type="dxa"/>
              <w:bottom w:w="80" w:type="dxa"/>
              <w:left w:w="100" w:type="dxa"/>
              <w:right w:w="100" w:type="dxa"/>
            </w:tcMar>
            <w:shd w:fill="F0FDF4"/>
          </w:tcPr>
          <w:p>
            <w:r>
              <w:rPr>
                <w:b/>
                <w:sz w:val="19"/>
              </w:rPr>
              <w:t>SATISFIED (Exploitable)</w:t>
            </w:r>
          </w:p>
        </w:tc>
      </w:tr>
      <w:tr>
        <w:tc>
          <w:tcPr>
            <w:tcW w:type="dxa" w:w="2592"/>
            <w:tcMar>
              <w:top w:w="80" w:type="dxa"/>
              <w:bottom w:w="80" w:type="dxa"/>
              <w:left w:w="100" w:type="dxa"/>
              <w:right w:w="100" w:type="dxa"/>
            </w:tcMar>
            <w:shd w:fill="FFFFFF"/>
          </w:tcPr>
          <w:p>
            <w:r>
              <w:rPr>
                <w:sz w:val="19"/>
              </w:rPr>
              <w:t>Arbitrary File Write</w:t>
            </w:r>
          </w:p>
        </w:tc>
        <w:tc>
          <w:tcPr>
            <w:tcW w:type="dxa" w:w="2592"/>
            <w:tcMar>
              <w:top w:w="80" w:type="dxa"/>
              <w:bottom w:w="80" w:type="dxa"/>
              <w:left w:w="100" w:type="dxa"/>
              <w:right w:w="100" w:type="dxa"/>
            </w:tcMar>
            <w:shd w:fill="FFFFFF"/>
          </w:tcPr>
          <w:p>
            <w:r>
              <w:rPr>
                <w:sz w:val="19"/>
              </w:rPr>
              <w:t>Partial PUT enabled</w:t>
            </w:r>
          </w:p>
        </w:tc>
        <w:tc>
          <w:tcPr>
            <w:tcW w:type="dxa" w:w="2016"/>
            <w:tcMar>
              <w:top w:w="80" w:type="dxa"/>
              <w:bottom w:w="80" w:type="dxa"/>
              <w:left w:w="100" w:type="dxa"/>
              <w:right w:w="100" w:type="dxa"/>
            </w:tcMar>
            <w:shd w:fill="FFFFFF"/>
          </w:tcPr>
          <w:p>
            <w:r>
              <w:rPr>
                <w:sz w:val="19"/>
              </w:rPr>
              <w:t>allowPartialPut = true</w:t>
            </w:r>
          </w:p>
        </w:tc>
        <w:tc>
          <w:tcPr>
            <w:tcW w:type="dxa" w:w="2160"/>
            <w:tcMar>
              <w:top w:w="80" w:type="dxa"/>
              <w:bottom w:w="80" w:type="dxa"/>
              <w:left w:w="100" w:type="dxa"/>
              <w:right w:w="100" w:type="dxa"/>
            </w:tcMar>
            <w:shd w:fill="F0FDF4"/>
          </w:tcPr>
          <w:p>
            <w:r>
              <w:rPr>
                <w:sz w:val="19"/>
              </w:rPr>
              <w:t>SATISFIED</w:t>
            </w:r>
          </w:p>
        </w:tc>
      </w:tr>
      <w:tr>
        <w:tc>
          <w:tcPr>
            <w:tcW w:type="dxa" w:w="2592"/>
            <w:tcMar>
              <w:top w:w="80" w:type="dxa"/>
              <w:bottom w:w="80" w:type="dxa"/>
              <w:left w:w="100" w:type="dxa"/>
              <w:right w:w="100" w:type="dxa"/>
            </w:tcMar>
            <w:shd w:fill="FFFFFF"/>
          </w:tcPr>
          <w:p>
            <w:r>
              <w:rPr>
                <w:sz w:val="19"/>
              </w:rPr>
              <w:t>Remote Code Execution</w:t>
            </w:r>
          </w:p>
        </w:tc>
        <w:tc>
          <w:tcPr>
            <w:tcW w:type="dxa" w:w="2592"/>
            <w:tcMar>
              <w:top w:w="80" w:type="dxa"/>
              <w:bottom w:w="80" w:type="dxa"/>
              <w:left w:w="100" w:type="dxa"/>
              <w:right w:w="100" w:type="dxa"/>
            </w:tcMar>
            <w:shd w:fill="FFFFFF"/>
          </w:tcPr>
          <w:p>
            <w:r>
              <w:rPr>
                <w:sz w:val="19"/>
              </w:rPr>
              <w:t>File-based session persistence</w:t>
            </w:r>
          </w:p>
        </w:tc>
        <w:tc>
          <w:tcPr>
            <w:tcW w:type="dxa" w:w="2016"/>
            <w:tcMar>
              <w:top w:w="80" w:type="dxa"/>
              <w:bottom w:w="80" w:type="dxa"/>
              <w:left w:w="100" w:type="dxa"/>
              <w:right w:w="100" w:type="dxa"/>
            </w:tcMar>
            <w:shd w:fill="FFFFFF"/>
          </w:tcPr>
          <w:p>
            <w:r>
              <w:rPr>
                <w:sz w:val="19"/>
              </w:rPr>
              <w:t>StandardManager</w:t>
            </w:r>
          </w:p>
        </w:tc>
        <w:tc>
          <w:tcPr>
            <w:tcW w:type="dxa" w:w="2160"/>
            <w:tcMar>
              <w:top w:w="80" w:type="dxa"/>
              <w:bottom w:w="80" w:type="dxa"/>
              <w:left w:w="100" w:type="dxa"/>
              <w:right w:w="100" w:type="dxa"/>
            </w:tcMar>
            <w:shd w:fill="F0FDF4"/>
          </w:tcPr>
          <w:p>
            <w:r>
              <w:rPr>
                <w:sz w:val="19"/>
              </w:rPr>
              <w:t>SATISFIED</w:t>
            </w:r>
          </w:p>
        </w:tc>
      </w:tr>
      <w:tr>
        <w:tc>
          <w:tcPr>
            <w:tcW w:type="dxa" w:w="2592"/>
            <w:tcMar>
              <w:top w:w="80" w:type="dxa"/>
              <w:bottom w:w="80" w:type="dxa"/>
              <w:left w:w="100" w:type="dxa"/>
              <w:right w:w="100" w:type="dxa"/>
            </w:tcMar>
            <w:shd w:fill="FFFFFF"/>
          </w:tcPr>
          <w:p>
            <w:r>
              <w:rPr>
                <w:sz w:val="19"/>
              </w:rPr>
              <w:t>Remote Code Execution</w:t>
            </w:r>
          </w:p>
        </w:tc>
        <w:tc>
          <w:tcPr>
            <w:tcW w:type="dxa" w:w="2592"/>
            <w:tcMar>
              <w:top w:w="80" w:type="dxa"/>
              <w:bottom w:w="80" w:type="dxa"/>
              <w:left w:w="100" w:type="dxa"/>
              <w:right w:w="100" w:type="dxa"/>
            </w:tcMar>
            <w:shd w:fill="FFFFFF"/>
          </w:tcPr>
          <w:p>
            <w:r>
              <w:rPr>
                <w:sz w:val="19"/>
              </w:rPr>
              <w:t>Deserialization library in classpath</w:t>
            </w:r>
          </w:p>
        </w:tc>
        <w:tc>
          <w:tcPr>
            <w:tcW w:type="dxa" w:w="2016"/>
            <w:tcMar>
              <w:top w:w="80" w:type="dxa"/>
              <w:bottom w:w="80" w:type="dxa"/>
              <w:left w:w="100" w:type="dxa"/>
              <w:right w:w="100" w:type="dxa"/>
            </w:tcMar>
            <w:shd w:fill="FFFFFF"/>
          </w:tcPr>
          <w:p>
            <w:r>
              <w:rPr>
                <w:sz w:val="19"/>
              </w:rPr>
              <w:t>No gadget library found</w:t>
            </w:r>
          </w:p>
        </w:tc>
        <w:tc>
          <w:tcPr>
            <w:tcW w:type="dxa" w:w="2160"/>
            <w:tcMar>
              <w:top w:w="80" w:type="dxa"/>
              <w:bottom w:w="80" w:type="dxa"/>
              <w:left w:w="100" w:type="dxa"/>
              <w:right w:w="100" w:type="dxa"/>
            </w:tcMar>
            <w:shd w:fill="FEF2F2"/>
          </w:tcPr>
          <w:p>
            <w:r>
              <w:rPr>
                <w:b/>
                <w:sz w:val="19"/>
              </w:rPr>
              <w:t>NOT SATISFIED (Blocked)</w:t>
            </w:r>
          </w:p>
        </w:tc>
      </w:tr>
    </w:tbl>
    <w:p>
      <w:pPr>
        <w:spacing w:after="200"/>
      </w:pPr>
    </w:p>
    <w:p>
      <w:pPr>
        <w:pStyle w:val="Heading2"/>
      </w:pPr>
      <w:r>
        <w:t>3.2 Why CVE-2024-50379 Was Not in the Report</w:t>
      </w:r>
    </w:p>
    <w:p>
      <w:r>
        <w:t>According to official Apache Tomcat and NVD records, CVE-2024-50379 affects versions 9.0.0.M1 through 9.0.97 and was officially patched in Tomcat 9.0.98. Therefore, Trivy adheres to the official vendor database and correctly did not report CVE-2024-50379 for Tomcat 9.0.98. Because the fix in 9.0.98 was found to be incomplete, the vulnerability in 9.0.98 was assigned new identifiers: CVE-2024-56337 and CVE-2025-24813 (fixed in 9.0.99).</w:t>
      </w:r>
    </w:p>
    <w:tbl>
      <w:tblPr>
        <w:tblW w:type="auto" w:w="0"/>
        <w:jc w:val="center"/>
        <w:tblLayout w:type="fixed"/>
        <w:tblLook w:firstColumn="1" w:firstRow="1" w:lastColumn="0" w:lastRow="0" w:noHBand="0" w:noVBand="1" w:val="04A0"/>
      </w:tblPr>
      <w:tblGrid>
        <w:gridCol w:w="9360"/>
      </w:tblGrid>
      <w:tr>
        <w:tc>
          <w:tcPr>
            <w:tcW w:type="dxa" w:w="9936"/>
            <w:shd w:fill="EFF6FF"/>
            <w:tcMar>
              <w:top w:w="140" w:type="dxa"/>
              <w:bottom w:w="140" w:type="dxa"/>
              <w:left w:w="200" w:type="dxa"/>
              <w:right w:w="200" w:type="dxa"/>
            </w:tcMar>
          </w:tcPr>
          <w:p>
            <w:pPr>
              <w:spacing w:before="0" w:after="40"/>
            </w:pPr>
            <w:r>
              <w:rPr>
                <w:rFonts w:ascii="Calibri" w:hAnsi="Calibri"/>
                <w:b/>
                <w:color w:val="1E40AF"/>
                <w:sz w:val="22"/>
              </w:rPr>
              <w:t>📌 The Sole Source of Truth Law</w:t>
              <w:br/>
            </w:r>
            <w:r>
              <w:rPr>
                <w:rFonts w:ascii="Calibri" w:hAnsi="Calibri"/>
                <w:color w:val="1F2937"/>
                <w:sz w:val="20"/>
              </w:rPr>
              <w:t>We updated sandbox_remediator.py to guarantee that Trivy is the sole source of discovered findings. The system never loops over cve_knowledge.json to invent findings. Because CVE-2024-50379 was not in the Trivy scan report, it is strictly excluded from evaluation and reporting.</w:t>
            </w:r>
          </w:p>
        </w:tc>
      </w:tr>
    </w:tbl>
    <w:p>
      <w:pPr>
        <w:spacing w:after="80"/>
      </w:pPr>
    </w:p>
    <w:p>
      <w:pPr>
        <w:pStyle w:val="Heading1"/>
        <w:spacing w:before="320"/>
      </w:pPr>
      <w:r>
        <w:t>4. Autonomous Sandbox Remediation &amp; Three-Point Verification</w:t>
      </w:r>
    </w:p>
    <w:p>
      <w:r>
        <w:t>When an exploitable full match is confirmed (such as the DefaultServlet arbitrary file write vulnerability on CVE-2025-24813), the orchestrator applies remediation under strict containment boundaries:</w:t>
      </w:r>
    </w:p>
    <w:p>
      <w:pPr>
        <w:pStyle w:val="Heading2"/>
      </w:pPr>
      <w:r>
        <w:t>4.1 Isolation Safeguards</w:t>
      </w:r>
    </w:p>
    <w:p>
      <w:r>
        <w:t>1. Live Target Preservation: The live server (e.g. tomcat-9.0.98) is marked READ-ONLY. No write commands or restarts are ever permitted against it.</w:t>
        <w:br/>
        <w:t>2. Sandbox Testbed: Modifications take place inside an isolated sandbox container copy (tomcat-9.0.98-vuln).</w:t>
        <w:br/>
        <w:t>3. Automated Rollback Backup: Before any configuration edit, a timestamped copy is generated (/opt/tomcat/conf/remediation-backups/web.xml.&lt;timestamp&gt;.bak).</w:t>
        <w:br/>
        <w:t>4. Allowlisted Mutation: Arbitrary shell commands are rejected. Only allowlisted, deterministic parameters (e.g. DefaultServlet readonly = true) are modified.</w:t>
      </w:r>
    </w:p>
    <w:p>
      <w:pPr>
        <w:pStyle w:val="Heading2"/>
      </w:pPr>
      <w:r>
        <w:t>4.2 The Three Mandatory Verifications + Rescan</w:t>
      </w:r>
    </w:p>
    <w:p>
      <w:r>
        <w:t>After applying the fix and reloading the sandbox daemon, the engine executes three independent verification tests: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tcMar>
              <w:top w:w="80" w:type="dxa"/>
              <w:bottom w:w="80" w:type="dxa"/>
              <w:left w:w="100" w:type="dxa"/>
              <w:right w:w="100" w:type="dxa"/>
            </w:tcMar>
            <w:shd w:fill="1E293B"/>
          </w:tcPr>
          <w:p>
            <w:r>
              <w:rPr>
                <w:b/>
                <w:color w:val="FFFFFF"/>
              </w:rPr>
              <w:t>Verification Check</w:t>
            </w:r>
          </w:p>
        </w:tc>
        <w:tc>
          <w:tcPr>
            <w:tcW w:type="dxa" w:w="2592"/>
            <w:tcMar>
              <w:top w:w="80" w:type="dxa"/>
              <w:bottom w:w="80" w:type="dxa"/>
              <w:left w:w="100" w:type="dxa"/>
              <w:right w:w="100" w:type="dxa"/>
            </w:tcMar>
            <w:shd w:fill="1E293B"/>
          </w:tcPr>
          <w:p>
            <w:r>
              <w:rPr>
                <w:b/>
                <w:color w:val="FFFFFF"/>
              </w:rPr>
              <w:t>Pre-Remediation Baseline</w:t>
            </w:r>
          </w:p>
        </w:tc>
        <w:tc>
          <w:tcPr>
            <w:tcW w:type="dxa" w:w="2592"/>
            <w:tcMar>
              <w:top w:w="80" w:type="dxa"/>
              <w:bottom w:w="80" w:type="dxa"/>
              <w:left w:w="100" w:type="dxa"/>
              <w:right w:w="100" w:type="dxa"/>
            </w:tcMar>
            <w:shd w:fill="1E293B"/>
          </w:tcPr>
          <w:p>
            <w:r>
              <w:rPr>
                <w:b/>
                <w:color w:val="FFFFFF"/>
              </w:rPr>
              <w:t>Post-Remediation Sandbox</w:t>
            </w:r>
          </w:p>
        </w:tc>
        <w:tc>
          <w:tcPr>
            <w:tcW w:type="dxa" w:w="2016"/>
            <w:tcMar>
              <w:top w:w="80" w:type="dxa"/>
              <w:bottom w:w="80" w:type="dxa"/>
              <w:left w:w="100" w:type="dxa"/>
              <w:right w:w="100" w:type="dxa"/>
            </w:tcMar>
            <w:shd w:fill="1E293B"/>
          </w:tcPr>
          <w:p>
            <w:r>
              <w:rPr>
                <w:b/>
                <w:color w:val="FFFFFF"/>
              </w:rPr>
              <w:t>Independent Proof</w:t>
            </w:r>
          </w:p>
        </w:tc>
      </w:tr>
      <w:tr>
        <w:tc>
          <w:tcPr>
            <w:tcW w:type="dxa" w:w="2160"/>
            <w:tcMar>
              <w:top w:w="80" w:type="dxa"/>
              <w:bottom w:w="80" w:type="dxa"/>
              <w:left w:w="100" w:type="dxa"/>
              <w:right w:w="100" w:type="dxa"/>
            </w:tcMar>
            <w:shd w:fill="FFFFFF"/>
          </w:tcPr>
          <w:p>
            <w:r>
              <w:rPr>
                <w:sz w:val="19"/>
              </w:rPr>
              <w:t>1. Vulnerability Eliminated</w:t>
            </w:r>
          </w:p>
        </w:tc>
        <w:tc>
          <w:tcPr>
            <w:tcW w:type="dxa" w:w="2592"/>
            <w:tcMar>
              <w:top w:w="80" w:type="dxa"/>
              <w:bottom w:w="80" w:type="dxa"/>
              <w:left w:w="100" w:type="dxa"/>
              <w:right w:w="100" w:type="dxa"/>
            </w:tcMar>
            <w:shd w:fill="FFFFFF"/>
          </w:tcPr>
          <w:p>
            <w:r>
              <w:rPr>
                <w:sz w:val="19"/>
              </w:rPr>
              <w:t>HTTP PUT /probe.txt -&gt; 201 Created (Write allowed)</w:t>
            </w:r>
          </w:p>
        </w:tc>
        <w:tc>
          <w:tcPr>
            <w:tcW w:type="dxa" w:w="2592"/>
            <w:tcMar>
              <w:top w:w="80" w:type="dxa"/>
              <w:bottom w:w="80" w:type="dxa"/>
              <w:left w:w="100" w:type="dxa"/>
              <w:right w:w="100" w:type="dxa"/>
            </w:tcMar>
            <w:shd w:fill="FFFFFF"/>
          </w:tcPr>
          <w:p>
            <w:r>
              <w:rPr>
                <w:sz w:val="19"/>
              </w:rPr>
              <w:t>HTTP PUT /probe.txt -&gt; 405 Method Not Allowed</w:t>
            </w:r>
          </w:p>
        </w:tc>
        <w:tc>
          <w:tcPr>
            <w:tcW w:type="dxa" w:w="2016"/>
            <w:tcMar>
              <w:top w:w="80" w:type="dxa"/>
              <w:bottom w:w="80" w:type="dxa"/>
              <w:left w:w="100" w:type="dxa"/>
              <w:right w:w="100" w:type="dxa"/>
            </w:tcMar>
            <w:shd w:fill="F0FDF4"/>
          </w:tcPr>
          <w:p>
            <w:r>
              <w:rPr>
                <w:b/>
                <w:color w:val="166534"/>
                <w:sz w:val="19"/>
              </w:rPr>
              <w:t>PASS (Write capability neutralized)</w:t>
            </w:r>
          </w:p>
        </w:tc>
      </w:tr>
      <w:tr>
        <w:tc>
          <w:tcPr>
            <w:tcW w:type="dxa" w:w="2160"/>
            <w:tcMar>
              <w:top w:w="80" w:type="dxa"/>
              <w:bottom w:w="80" w:type="dxa"/>
              <w:left w:w="100" w:type="dxa"/>
              <w:right w:w="100" w:type="dxa"/>
            </w:tcMar>
            <w:shd w:fill="FFFFFF"/>
          </w:tcPr>
          <w:p>
            <w:r>
              <w:rPr>
                <w:sz w:val="19"/>
              </w:rPr>
              <w:t>2. Zero Regressions</w:t>
            </w:r>
          </w:p>
        </w:tc>
        <w:tc>
          <w:tcPr>
            <w:tcW w:type="dxa" w:w="2592"/>
            <w:tcMar>
              <w:top w:w="80" w:type="dxa"/>
              <w:bottom w:w="80" w:type="dxa"/>
              <w:left w:w="100" w:type="dxa"/>
              <w:right w:w="100" w:type="dxa"/>
            </w:tcMar>
            <w:shd w:fill="FFFFFF"/>
          </w:tcPr>
          <w:p>
            <w:r>
              <w:rPr>
                <w:sz w:val="19"/>
              </w:rPr>
              <w:t>Original vulnerable state</w:t>
            </w:r>
          </w:p>
        </w:tc>
        <w:tc>
          <w:tcPr>
            <w:tcW w:type="dxa" w:w="2592"/>
            <w:tcMar>
              <w:top w:w="80" w:type="dxa"/>
              <w:bottom w:w="80" w:type="dxa"/>
              <w:left w:w="100" w:type="dxa"/>
              <w:right w:w="100" w:type="dxa"/>
            </w:tcMar>
            <w:shd w:fill="FFFFFF"/>
          </w:tcPr>
          <w:p>
            <w:r>
              <w:rPr>
                <w:sz w:val="19"/>
              </w:rPr>
              <w:t>Trivy offline rescan -&gt; 0 new CVEs; clean XML diff</w:t>
            </w:r>
          </w:p>
        </w:tc>
        <w:tc>
          <w:tcPr>
            <w:tcW w:type="dxa" w:w="2016"/>
            <w:tcMar>
              <w:top w:w="80" w:type="dxa"/>
              <w:bottom w:w="80" w:type="dxa"/>
              <w:left w:w="100" w:type="dxa"/>
              <w:right w:w="100" w:type="dxa"/>
            </w:tcMar>
            <w:shd w:fill="F0FDF4"/>
          </w:tcPr>
          <w:p>
            <w:r>
              <w:rPr>
                <w:b/>
                <w:color w:val="166534"/>
                <w:sz w:val="19"/>
              </w:rPr>
              <w:t>PASS (No side-effects introduced)</w:t>
            </w:r>
          </w:p>
        </w:tc>
      </w:tr>
      <w:tr>
        <w:tc>
          <w:tcPr>
            <w:tcW w:type="dxa" w:w="2160"/>
            <w:tcMar>
              <w:top w:w="80" w:type="dxa"/>
              <w:bottom w:w="80" w:type="dxa"/>
              <w:left w:w="100" w:type="dxa"/>
              <w:right w:w="100" w:type="dxa"/>
            </w:tcMar>
            <w:shd w:fill="FFFFFF"/>
          </w:tcPr>
          <w:p>
            <w:r>
              <w:rPr>
                <w:sz w:val="19"/>
              </w:rPr>
              <w:t>3. Application Healthy</w:t>
            </w:r>
          </w:p>
        </w:tc>
        <w:tc>
          <w:tcPr>
            <w:tcW w:type="dxa" w:w="2592"/>
            <w:tcMar>
              <w:top w:w="80" w:type="dxa"/>
              <w:bottom w:w="80" w:type="dxa"/>
              <w:left w:w="100" w:type="dxa"/>
              <w:right w:w="100" w:type="dxa"/>
            </w:tcMar>
            <w:shd w:fill="FFFFFF"/>
          </w:tcPr>
          <w:p>
            <w:r>
              <w:rPr>
                <w:sz w:val="19"/>
              </w:rPr>
              <w:t>HTTP GET / -&gt; 200 OK</w:t>
            </w:r>
          </w:p>
        </w:tc>
        <w:tc>
          <w:tcPr>
            <w:tcW w:type="dxa" w:w="2592"/>
            <w:tcMar>
              <w:top w:w="80" w:type="dxa"/>
              <w:bottom w:w="80" w:type="dxa"/>
              <w:left w:w="100" w:type="dxa"/>
              <w:right w:w="100" w:type="dxa"/>
            </w:tcMar>
            <w:shd w:fill="FFFFFF"/>
          </w:tcPr>
          <w:p>
            <w:r>
              <w:rPr>
                <w:sz w:val="19"/>
              </w:rPr>
              <w:t>HTTP GET / -&gt; 200 OK (11,210 bytes, daemon running)</w:t>
            </w:r>
          </w:p>
        </w:tc>
        <w:tc>
          <w:tcPr>
            <w:tcW w:type="dxa" w:w="2016"/>
            <w:tcMar>
              <w:top w:w="80" w:type="dxa"/>
              <w:bottom w:w="80" w:type="dxa"/>
              <w:left w:w="100" w:type="dxa"/>
              <w:right w:w="100" w:type="dxa"/>
            </w:tcMar>
            <w:shd w:fill="F0FDF4"/>
          </w:tcPr>
          <w:p>
            <w:r>
              <w:rPr>
                <w:b/>
                <w:color w:val="166534"/>
                <w:sz w:val="19"/>
              </w:rPr>
              <w:t>PASS (Service availability preserved)</w:t>
            </w:r>
          </w:p>
        </w:tc>
      </w:tr>
    </w:tbl>
    <w:p>
      <w:pPr>
        <w:spacing w:after="200"/>
      </w:pPr>
    </w:p>
    <w:p>
      <w:pPr>
        <w:pStyle w:val="Heading2"/>
      </w:pPr>
      <w:r>
        <w:t>4.3 The Critical Halt &amp; Governance Gate</w:t>
      </w:r>
    </w:p>
    <w:p>
      <w:r>
        <w:t>Upon successful completion of all three verifications, the pipeline immediately triggers an intentional halt:</w:t>
        <w:br/>
        <w:t>• Status marked: VALIDATED_SANDBOX_CONFIRMED_FIX.</w:t>
        <w:br/>
        <w:t>• Real Environment Protection: No commands are sent to the production target.</w:t>
        <w:br/>
        <w:t>• Human Dossier Generated: An interactive dashboard and JSON authorization package are generated.</w:t>
      </w:r>
    </w:p>
    <w:p>
      <w:pPr>
        <w:pStyle w:val="Heading1"/>
        <w:spacing w:before="320"/>
      </w:pPr>
      <w:r>
        <w:t>5. Operational Hands-on Guide (End-to-End)</w:t>
      </w:r>
    </w:p>
    <w:p>
      <w:r>
        <w:t>To run and verify the complete workflow end-to-end, execute the following commands in PowerShell from C:\airgap-security:</w:t>
      </w:r>
    </w:p>
    <w:p>
      <w:pPr>
        <w:pStyle w:val="Heading2"/>
      </w:pPr>
      <w:r>
        <w:t>Step 1: Set Sandbox to Vulnerable Baseline</w:t>
      </w:r>
    </w:p>
    <w:p>
      <w:r>
        <w:t>Configure readonly=false in web.xml and restart the sandbox container:</w:t>
      </w:r>
    </w:p>
    <w:p>
      <w:pPr>
        <w:spacing w:before="80" w:after="80"/>
        <w:ind w:left="288"/>
      </w:pP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200" w:type="dxa"/>
              <w:right w:w="200" w:type="dxa"/>
            </w:tcMar>
          </w:tcPr>
          <w:p>
            <w:pPr>
              <w:spacing w:before="0" w:after="0"/>
            </w:pPr>
            <w:r>
              <w:rPr>
                <w:rFonts w:ascii="Consolas" w:hAnsi="Consolas"/>
                <w:color w:val="38BDF8"/>
                <w:sz w:val="19"/>
              </w:rPr>
              <w:t>docker exec tomcat-9.0.98-vuln sed -i -E "/&lt;param-name&gt;\s*readonly\s*&lt;\/param-name&gt;/{n;s/&lt;param-value&gt;\s*true\s*&lt;\/param-value&gt;/&lt;param-value&gt;false&lt;\/param-value&gt;/;}" /opt/tomcat/conf/web.xml; docker restart tomcat-9.0.98-vuln</w:t>
            </w:r>
          </w:p>
        </w:tc>
      </w:tr>
    </w:tbl>
    <w:p>
      <w:pPr>
        <w:spacing w:after="80"/>
      </w:pPr>
    </w:p>
    <w:p>
      <w:r>
        <w:t>Prove arbitrary file upload is actively exploitable (HTTP 201 Created):</w:t>
      </w:r>
    </w:p>
    <w:p>
      <w:pPr>
        <w:spacing w:before="80" w:after="80"/>
        <w:ind w:left="288"/>
      </w:pP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200" w:type="dxa"/>
              <w:right w:w="200" w:type="dxa"/>
            </w:tcMar>
          </w:tcPr>
          <w:p>
            <w:pPr>
              <w:spacing w:before="0" w:after="0"/>
            </w:pPr>
            <w:r>
              <w:rPr>
                <w:rFonts w:ascii="Consolas" w:hAnsi="Consolas"/>
                <w:color w:val="38BDF8"/>
                <w:sz w:val="19"/>
              </w:rPr>
              <w:t>curl.exe -X PUT http://localhost:8081/baseline_test.txt -d "exploit_payload" -i</w:t>
            </w:r>
          </w:p>
        </w:tc>
      </w:tr>
    </w:tbl>
    <w:p>
      <w:pPr>
        <w:spacing w:after="80"/>
      </w:pPr>
    </w:p>
    <w:p>
      <w:pPr>
        <w:pStyle w:val="Heading2"/>
      </w:pPr>
      <w:r>
        <w:t>Step 2: Run Full Contextual Discovery Scan</w:t>
      </w:r>
    </w:p>
    <w:p>
      <w:r>
        <w:t>Execute main.py in Tomcat mode to discover vulnerabilities via Trivy, gather configuration, and evaluate prerequisites:</w:t>
      </w:r>
    </w:p>
    <w:p>
      <w:pPr>
        <w:spacing w:before="80" w:after="80"/>
        <w:ind w:left="288"/>
      </w:pP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200" w:type="dxa"/>
              <w:right w:w="200" w:type="dxa"/>
            </w:tcMar>
          </w:tcPr>
          <w:p>
            <w:pPr>
              <w:spacing w:before="0" w:after="0"/>
            </w:pPr>
            <w:r>
              <w:rPr>
                <w:rFonts w:ascii="Consolas" w:hAnsi="Consolas"/>
                <w:color w:val="38BDF8"/>
                <w:sz w:val="19"/>
              </w:rPr>
              <w:t>python orchestrator\main.py --target-type tomcat --image airgap-tomcat:9.0.98-vuln --container tomcat-9.0.98-vuln</w:t>
            </w:r>
          </w:p>
        </w:tc>
      </w:tr>
    </w:tbl>
    <w:p>
      <w:pPr>
        <w:spacing w:after="80"/>
      </w:pPr>
    </w:p>
    <w:p>
      <w:pPr>
        <w:pStyle w:val="Heading2"/>
      </w:pPr>
      <w:r>
        <w:t>Step 3: Run Autonomous Sandbox Remediation</w:t>
      </w:r>
    </w:p>
    <w:p>
      <w:r>
        <w:t>Launch the sandbox remediator to apply the fix, run the 3 verifications, rescan, and halt for human review:</w:t>
      </w:r>
    </w:p>
    <w:p>
      <w:pPr>
        <w:spacing w:before="80" w:after="80"/>
        <w:ind w:left="288"/>
      </w:pP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200" w:type="dxa"/>
              <w:right w:w="200" w:type="dxa"/>
            </w:tcMar>
          </w:tcPr>
          <w:p>
            <w:pPr>
              <w:spacing w:before="0" w:after="0"/>
            </w:pPr>
            <w:r>
              <w:rPr>
                <w:rFonts w:ascii="Consolas" w:hAnsi="Consolas"/>
                <w:color w:val="38BDF8"/>
                <w:sz w:val="19"/>
              </w:rPr>
              <w:t>python orchestrator\sandbox_remediator.py --live-target tomcat-9.0.98 --sandbox-container tomcat-9.0.98-vuln --sandbox-url http://localhost:8081</w:t>
            </w:r>
          </w:p>
        </w:tc>
      </w:tr>
    </w:tbl>
    <w:p>
      <w:pPr>
        <w:spacing w:after="80"/>
      </w:pPr>
    </w:p>
    <w:p>
      <w:pPr>
        <w:pStyle w:val="Heading2"/>
      </w:pPr>
      <w:r>
        <w:t>Step 4: Inspect Generated Human Review Portal</w:t>
      </w:r>
    </w:p>
    <w:p>
      <w:r>
        <w:t>Open the interactive HTML dashboard in your browser:</w:t>
      </w:r>
    </w:p>
    <w:p>
      <w:pPr>
        <w:spacing w:before="80" w:after="80"/>
        <w:ind w:left="288"/>
      </w:pP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200" w:type="dxa"/>
              <w:right w:w="200" w:type="dxa"/>
            </w:tcMar>
          </w:tcPr>
          <w:p>
            <w:pPr>
              <w:spacing w:before="0" w:after="0"/>
            </w:pPr>
            <w:r>
              <w:rPr>
                <w:rFonts w:ascii="Consolas" w:hAnsi="Consolas"/>
                <w:color w:val="38BDF8"/>
                <w:sz w:val="19"/>
              </w:rPr>
              <w:t>Start-Process "C:\airgap-security\workspace\sandbox-validation\human_review_portal.html"</w:t>
            </w:r>
          </w:p>
        </w:tc>
      </w:tr>
    </w:tbl>
    <w:p>
      <w:pPr>
        <w:spacing w:after="80"/>
      </w:pPr>
    </w:p>
    <w:p>
      <w:pPr>
        <w:pStyle w:val="Heading2"/>
      </w:pPr>
      <w:r>
        <w:t>Step 5: Direct Live Verification (curl)</w:t>
      </w:r>
    </w:p>
    <w:p>
      <w:r>
        <w:t>Verify that HTTP PUT is now blocked (HTTP 405 Method Not Allowed):</w:t>
      </w:r>
    </w:p>
    <w:p>
      <w:pPr>
        <w:spacing w:before="80" w:after="80"/>
        <w:ind w:left="288"/>
      </w:pP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200" w:type="dxa"/>
              <w:right w:w="200" w:type="dxa"/>
            </w:tcMar>
          </w:tcPr>
          <w:p>
            <w:pPr>
              <w:spacing w:before="0" w:after="0"/>
            </w:pPr>
            <w:r>
              <w:rPr>
                <w:rFonts w:ascii="Consolas" w:hAnsi="Consolas"/>
                <w:color w:val="38BDF8"/>
                <w:sz w:val="19"/>
              </w:rPr>
              <w:t>curl.exe -X PUT http://localhost:8081/sandbox_test.txt -d "test" -i</w:t>
            </w:r>
          </w:p>
        </w:tc>
      </w:tr>
    </w:tbl>
    <w:p>
      <w:pPr>
        <w:spacing w:after="80"/>
      </w:pPr>
    </w:p>
    <w:p>
      <w:r>
        <w:t>Verify that HTTP GET still works normally (HTTP 200 OK):</w:t>
      </w:r>
    </w:p>
    <w:p>
      <w:pPr>
        <w:spacing w:before="80" w:after="80"/>
        <w:ind w:left="288"/>
      </w:pP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200" w:type="dxa"/>
              <w:right w:w="200" w:type="dxa"/>
            </w:tcMar>
          </w:tcPr>
          <w:p>
            <w:pPr>
              <w:spacing w:before="0" w:after="0"/>
            </w:pPr>
            <w:r>
              <w:rPr>
                <w:rFonts w:ascii="Consolas" w:hAnsi="Consolas"/>
                <w:color w:val="38BDF8"/>
                <w:sz w:val="19"/>
              </w:rPr>
              <w:t>curl.exe -I http://localhost:8081/</w:t>
            </w:r>
          </w:p>
        </w:tc>
      </w:tr>
    </w:tbl>
    <w:p>
      <w:pPr>
        <w:spacing w:after="80"/>
      </w:pPr>
    </w:p>
    <w:p>
      <w:pPr>
        <w:pStyle w:val="Heading2"/>
      </w:pPr>
      <w:r>
        <w:t>Step 6: Optional Human-Authorized Staged Deployment</w:t>
      </w:r>
    </w:p>
    <w:p>
      <w:r>
        <w:t>If approved by the human security administrator, deploy the verified fix to the live server:</w:t>
      </w:r>
    </w:p>
    <w:p>
      <w:pPr>
        <w:spacing w:before="80" w:after="80"/>
        <w:ind w:left="288"/>
      </w:pP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200" w:type="dxa"/>
              <w:right w:w="200" w:type="dxa"/>
            </w:tcMar>
          </w:tcPr>
          <w:p>
            <w:pPr>
              <w:spacing w:before="0" w:after="0"/>
            </w:pPr>
            <w:r>
              <w:rPr>
                <w:rFonts w:ascii="Consolas" w:hAnsi="Consolas"/>
                <w:color w:val="38BDF8"/>
                <w:sz w:val="19"/>
              </w:rPr>
              <w:t>python orchestrator\remediation_executor.py --remediation workspace\sandbox-validation\sandbox_remediation_plan.json --container tomcat-9.0.98 --apply</w:t>
            </w:r>
          </w:p>
        </w:tc>
      </w:tr>
    </w:tbl>
    <w:p>
      <w:pPr>
        <w:spacing w:after="80"/>
      </w:pPr>
    </w:p>
    <w:p>
      <w:pPr>
        <w:pStyle w:val="Heading1"/>
        <w:spacing w:before="320"/>
      </w:pPr>
      <w:r>
        <w:t>6. Key Project Deliverables &amp; Artifact Inventory</w:t>
      </w:r>
    </w:p>
    <w:p>
      <w:r>
        <w:t>The table below details the core components and artifacts developed in this project:</w:t>
      </w:r>
    </w:p>
    <w:tbl>
      <w:tblPr>
        <w:tblW w:type="auto" w:w="0"/>
        <w:jc w:val="center"/>
        <w:tblLayout w:type="fixed"/>
        <w:tblLook w:firstColumn="1" w:firstRow="1" w:lastColumn="0" w:lastRow="0" w:noHBand="0" w:noVBand="1" w:val="04A0"/>
      </w:tblPr>
      <w:tblGrid>
        <w:gridCol w:w="3312"/>
        <w:gridCol w:w="3312"/>
        <w:gridCol w:w="3312"/>
      </w:tblGrid>
      <w:tr>
        <w:tc>
          <w:tcPr>
            <w:tcW w:type="dxa" w:w="3168"/>
            <w:tcMar>
              <w:top w:w="80" w:type="dxa"/>
              <w:bottom w:w="80" w:type="dxa"/>
              <w:left w:w="100" w:type="dxa"/>
              <w:right w:w="100" w:type="dxa"/>
            </w:tcMar>
            <w:shd w:fill="1E293B"/>
          </w:tcPr>
          <w:p>
            <w:r>
              <w:rPr>
                <w:b/>
                <w:color w:val="FFFFFF"/>
              </w:rPr>
              <w:t>File Path</w:t>
            </w:r>
          </w:p>
        </w:tc>
        <w:tc>
          <w:tcPr>
            <w:tcW w:type="dxa" w:w="2160"/>
            <w:tcMar>
              <w:top w:w="80" w:type="dxa"/>
              <w:bottom w:w="80" w:type="dxa"/>
              <w:left w:w="100" w:type="dxa"/>
              <w:right w:w="100" w:type="dxa"/>
            </w:tcMar>
            <w:shd w:fill="1E293B"/>
          </w:tcPr>
          <w:p>
            <w:r>
              <w:rPr>
                <w:b/>
                <w:color w:val="FFFFFF"/>
              </w:rPr>
              <w:t>Role / Category</w:t>
            </w:r>
          </w:p>
        </w:tc>
        <w:tc>
          <w:tcPr>
            <w:tcW w:type="dxa" w:w="4032"/>
            <w:tcMar>
              <w:top w:w="80" w:type="dxa"/>
              <w:bottom w:w="80" w:type="dxa"/>
              <w:left w:w="100" w:type="dxa"/>
              <w:right w:w="100" w:type="dxa"/>
            </w:tcMar>
            <w:shd w:fill="1E293B"/>
          </w:tcPr>
          <w:p>
            <w:r>
              <w:rPr>
                <w:b/>
                <w:color w:val="FFFFFF"/>
              </w:rPr>
              <w:t>Description</w:t>
            </w:r>
          </w:p>
        </w:tc>
      </w:tr>
      <w:tr>
        <w:tc>
          <w:tcPr>
            <w:tcW w:type="dxa" w:w="3168"/>
            <w:tcMar>
              <w:top w:w="80" w:type="dxa"/>
              <w:bottom w:w="80" w:type="dxa"/>
              <w:left w:w="100" w:type="dxa"/>
              <w:right w:w="100" w:type="dxa"/>
            </w:tcMar>
            <w:shd w:fill="F8FAFC"/>
          </w:tcPr>
          <w:p>
            <w:r>
              <w:rPr>
                <w:rFonts w:ascii="Consolas" w:hAnsi="Consolas"/>
                <w:sz w:val="17"/>
              </w:rPr>
              <w:t>orchestrator/sandbox_remediator.py</w:t>
            </w:r>
          </w:p>
        </w:tc>
        <w:tc>
          <w:tcPr>
            <w:tcW w:type="dxa" w:w="2160"/>
            <w:tcMar>
              <w:top w:w="80" w:type="dxa"/>
              <w:bottom w:w="80" w:type="dxa"/>
              <w:left w:w="100" w:type="dxa"/>
              <w:right w:w="100" w:type="dxa"/>
            </w:tcMar>
            <w:shd w:fill="F8FAFC"/>
          </w:tcPr>
          <w:p>
            <w:r>
              <w:rPr>
                <w:sz w:val="19"/>
              </w:rPr>
              <w:t>Core Orchestration</w:t>
            </w:r>
          </w:p>
        </w:tc>
        <w:tc>
          <w:tcPr>
            <w:tcW w:type="dxa" w:w="4032"/>
            <w:tcMar>
              <w:top w:w="80" w:type="dxa"/>
              <w:bottom w:w="80" w:type="dxa"/>
              <w:left w:w="100" w:type="dxa"/>
              <w:right w:w="100" w:type="dxa"/>
            </w:tcMar>
            <w:shd w:fill="F8FAFC"/>
          </w:tcPr>
          <w:p>
            <w:r>
              <w:rPr>
                <w:sz w:val="19"/>
              </w:rPr>
              <w:t>Autonomous sandbox remediation engine; enforces Trivy as sole source of findings and executes 3-point verifications.</w:t>
            </w:r>
          </w:p>
        </w:tc>
      </w:tr>
      <w:tr>
        <w:tc>
          <w:tcPr>
            <w:tcW w:type="dxa" w:w="3168"/>
            <w:tcMar>
              <w:top w:w="80" w:type="dxa"/>
              <w:bottom w:w="80" w:type="dxa"/>
              <w:left w:w="100" w:type="dxa"/>
              <w:right w:w="100" w:type="dxa"/>
            </w:tcMar>
            <w:shd w:fill="FFFFFF"/>
          </w:tcPr>
          <w:p>
            <w:r>
              <w:rPr>
                <w:rFonts w:ascii="Consolas" w:hAnsi="Consolas"/>
                <w:sz w:val="17"/>
              </w:rPr>
              <w:t>orchestrator/remediation_executor.py</w:t>
            </w:r>
          </w:p>
        </w:tc>
        <w:tc>
          <w:tcPr>
            <w:tcW w:type="dxa" w:w="2160"/>
            <w:tcMar>
              <w:top w:w="80" w:type="dxa"/>
              <w:bottom w:w="80" w:type="dxa"/>
              <w:left w:w="100" w:type="dxa"/>
              <w:right w:w="100" w:type="dxa"/>
            </w:tcMar>
            <w:shd w:fill="FFFFFF"/>
          </w:tcPr>
          <w:p>
            <w:r>
              <w:rPr>
                <w:sz w:val="19"/>
              </w:rPr>
              <w:t>Remediation Engine</w:t>
            </w:r>
          </w:p>
        </w:tc>
        <w:tc>
          <w:tcPr>
            <w:tcW w:type="dxa" w:w="4032"/>
            <w:tcMar>
              <w:top w:w="80" w:type="dxa"/>
              <w:bottom w:w="80" w:type="dxa"/>
              <w:left w:w="100" w:type="dxa"/>
              <w:right w:w="100" w:type="dxa"/>
            </w:tcMar>
            <w:shd w:fill="FFFFFF"/>
          </w:tcPr>
          <w:p>
            <w:r>
              <w:rPr>
                <w:sz w:val="19"/>
              </w:rPr>
              <w:t>Controlled, allowlisted configuration executor; creates backups and applies in-place sed edits.</w:t>
            </w:r>
          </w:p>
        </w:tc>
      </w:tr>
      <w:tr>
        <w:tc>
          <w:tcPr>
            <w:tcW w:type="dxa" w:w="3168"/>
            <w:tcMar>
              <w:top w:w="80" w:type="dxa"/>
              <w:bottom w:w="80" w:type="dxa"/>
              <w:left w:w="100" w:type="dxa"/>
              <w:right w:w="100" w:type="dxa"/>
            </w:tcMar>
            <w:shd w:fill="F8FAFC"/>
          </w:tcPr>
          <w:p>
            <w:r>
              <w:rPr>
                <w:rFonts w:ascii="Consolas" w:hAnsi="Consolas"/>
                <w:sz w:val="17"/>
              </w:rPr>
              <w:t>orchestrator/remediation_validator.py</w:t>
            </w:r>
          </w:p>
        </w:tc>
        <w:tc>
          <w:tcPr>
            <w:tcW w:type="dxa" w:w="2160"/>
            <w:tcMar>
              <w:top w:w="80" w:type="dxa"/>
              <w:bottom w:w="80" w:type="dxa"/>
              <w:left w:w="100" w:type="dxa"/>
              <w:right w:w="100" w:type="dxa"/>
            </w:tcMar>
            <w:shd w:fill="F8FAFC"/>
          </w:tcPr>
          <w:p>
            <w:r>
              <w:rPr>
                <w:sz w:val="19"/>
              </w:rPr>
              <w:t>Validator</w:t>
            </w:r>
          </w:p>
        </w:tc>
        <w:tc>
          <w:tcPr>
            <w:tcW w:type="dxa" w:w="4032"/>
            <w:tcMar>
              <w:top w:w="80" w:type="dxa"/>
              <w:bottom w:w="80" w:type="dxa"/>
              <w:left w:w="100" w:type="dxa"/>
              <w:right w:w="100" w:type="dxa"/>
            </w:tcMar>
            <w:shd w:fill="F8FAFC"/>
          </w:tcPr>
          <w:p>
            <w:r>
              <w:rPr>
                <w:sz w:val="19"/>
              </w:rPr>
              <w:t>Independent behavioral validator; executes HTTP PUT probes and inspects configuration.</w:t>
            </w:r>
          </w:p>
        </w:tc>
      </w:tr>
      <w:tr>
        <w:tc>
          <w:tcPr>
            <w:tcW w:type="dxa" w:w="3168"/>
            <w:tcMar>
              <w:top w:w="80" w:type="dxa"/>
              <w:bottom w:w="80" w:type="dxa"/>
              <w:left w:w="100" w:type="dxa"/>
              <w:right w:w="100" w:type="dxa"/>
            </w:tcMar>
            <w:shd w:fill="FFFFFF"/>
          </w:tcPr>
          <w:p>
            <w:r>
              <w:rPr>
                <w:rFonts w:ascii="Consolas" w:hAnsi="Consolas"/>
                <w:sz w:val="17"/>
              </w:rPr>
              <w:t>orchestrator/cve_evaluator.py</w:t>
            </w:r>
          </w:p>
        </w:tc>
        <w:tc>
          <w:tcPr>
            <w:tcW w:type="dxa" w:w="2160"/>
            <w:tcMar>
              <w:top w:w="80" w:type="dxa"/>
              <w:bottom w:w="80" w:type="dxa"/>
              <w:left w:w="100" w:type="dxa"/>
              <w:right w:w="100" w:type="dxa"/>
            </w:tcMar>
            <w:shd w:fill="FFFFFF"/>
          </w:tcPr>
          <w:p>
            <w:r>
              <w:rPr>
                <w:sz w:val="19"/>
              </w:rPr>
              <w:t>Contextual Evaluator</w:t>
            </w:r>
          </w:p>
        </w:tc>
        <w:tc>
          <w:tcPr>
            <w:tcW w:type="dxa" w:w="4032"/>
            <w:tcMar>
              <w:top w:w="80" w:type="dxa"/>
              <w:bottom w:w="80" w:type="dxa"/>
              <w:left w:w="100" w:type="dxa"/>
              <w:right w:w="100" w:type="dxa"/>
            </w:tcMar>
            <w:shd w:fill="FFFFFF"/>
          </w:tcPr>
          <w:p>
            <w:r>
              <w:rPr>
                <w:sz w:val="19"/>
              </w:rPr>
              <w:t>Deterministic prerequisite engine evaluating live configuration against structured attack conditions.</w:t>
            </w:r>
          </w:p>
        </w:tc>
      </w:tr>
      <w:tr>
        <w:tc>
          <w:tcPr>
            <w:tcW w:type="dxa" w:w="3168"/>
            <w:tcMar>
              <w:top w:w="80" w:type="dxa"/>
              <w:bottom w:w="80" w:type="dxa"/>
              <w:left w:w="100" w:type="dxa"/>
              <w:right w:w="100" w:type="dxa"/>
            </w:tcMar>
            <w:shd w:fill="F8FAFC"/>
          </w:tcPr>
          <w:p>
            <w:r>
              <w:rPr>
                <w:rFonts w:ascii="Consolas" w:hAnsi="Consolas"/>
                <w:sz w:val="17"/>
              </w:rPr>
              <w:t>orchestrator/config_collector.py</w:t>
            </w:r>
          </w:p>
        </w:tc>
        <w:tc>
          <w:tcPr>
            <w:tcW w:type="dxa" w:w="2160"/>
            <w:tcMar>
              <w:top w:w="80" w:type="dxa"/>
              <w:bottom w:w="80" w:type="dxa"/>
              <w:left w:w="100" w:type="dxa"/>
              <w:right w:w="100" w:type="dxa"/>
            </w:tcMar>
            <w:shd w:fill="F8FAFC"/>
          </w:tcPr>
          <w:p>
            <w:r>
              <w:rPr>
                <w:sz w:val="19"/>
              </w:rPr>
              <w:t>Auditor</w:t>
            </w:r>
          </w:p>
        </w:tc>
        <w:tc>
          <w:tcPr>
            <w:tcW w:type="dxa" w:w="4032"/>
            <w:tcMar>
              <w:top w:w="80" w:type="dxa"/>
              <w:bottom w:w="80" w:type="dxa"/>
              <w:left w:w="100" w:type="dxa"/>
              <w:right w:w="100" w:type="dxa"/>
            </w:tcMar>
            <w:shd w:fill="F8FAFC"/>
          </w:tcPr>
          <w:p>
            <w:r>
              <w:rPr>
                <w:sz w:val="19"/>
              </w:rPr>
              <w:t>CVE-agnostic container configuration extraction utility.</w:t>
            </w:r>
          </w:p>
        </w:tc>
      </w:tr>
      <w:tr>
        <w:tc>
          <w:tcPr>
            <w:tcW w:type="dxa" w:w="3168"/>
            <w:tcMar>
              <w:top w:w="80" w:type="dxa"/>
              <w:bottom w:w="80" w:type="dxa"/>
              <w:left w:w="100" w:type="dxa"/>
              <w:right w:w="100" w:type="dxa"/>
            </w:tcMar>
            <w:shd w:fill="FFFFFF"/>
          </w:tcPr>
          <w:p>
            <w:r>
              <w:rPr>
                <w:rFonts w:ascii="Consolas" w:hAnsi="Consolas"/>
                <w:sz w:val="17"/>
              </w:rPr>
              <w:t>workspace/sandbox-validation/human_review_portal.html</w:t>
            </w:r>
          </w:p>
        </w:tc>
        <w:tc>
          <w:tcPr>
            <w:tcW w:type="dxa" w:w="2160"/>
            <w:tcMar>
              <w:top w:w="80" w:type="dxa"/>
              <w:bottom w:w="80" w:type="dxa"/>
              <w:left w:w="100" w:type="dxa"/>
              <w:right w:w="100" w:type="dxa"/>
            </w:tcMar>
            <w:shd w:fill="FFFFFF"/>
          </w:tcPr>
          <w:p>
            <w:r>
              <w:rPr>
                <w:sz w:val="19"/>
              </w:rPr>
              <w:t>UI / Review Portal</w:t>
            </w:r>
          </w:p>
        </w:tc>
        <w:tc>
          <w:tcPr>
            <w:tcW w:type="dxa" w:w="4032"/>
            <w:tcMar>
              <w:top w:w="80" w:type="dxa"/>
              <w:bottom w:w="80" w:type="dxa"/>
              <w:left w:w="100" w:type="dxa"/>
              <w:right w:w="100" w:type="dxa"/>
            </w:tcMar>
            <w:shd w:fill="FFFFFF"/>
          </w:tcPr>
          <w:p>
            <w:r>
              <w:rPr>
                <w:sz w:val="19"/>
              </w:rPr>
              <w:t>Executive dark-mode interactive portal displaying before/after proofs and governance status.</w:t>
            </w:r>
          </w:p>
        </w:tc>
      </w:tr>
      <w:tr>
        <w:tc>
          <w:tcPr>
            <w:tcW w:type="dxa" w:w="3168"/>
            <w:tcMar>
              <w:top w:w="80" w:type="dxa"/>
              <w:bottom w:w="80" w:type="dxa"/>
              <w:left w:w="100" w:type="dxa"/>
              <w:right w:w="100" w:type="dxa"/>
            </w:tcMar>
            <w:shd w:fill="F8FAFC"/>
          </w:tcPr>
          <w:p>
            <w:r>
              <w:rPr>
                <w:rFonts w:ascii="Consolas" w:hAnsi="Consolas"/>
                <w:sz w:val="17"/>
              </w:rPr>
              <w:t>workspace/sandbox-validation/human_review_package.json</w:t>
            </w:r>
          </w:p>
        </w:tc>
        <w:tc>
          <w:tcPr>
            <w:tcW w:type="dxa" w:w="2160"/>
            <w:tcMar>
              <w:top w:w="80" w:type="dxa"/>
              <w:bottom w:w="80" w:type="dxa"/>
              <w:left w:w="100" w:type="dxa"/>
              <w:right w:w="100" w:type="dxa"/>
            </w:tcMar>
            <w:shd w:fill="F8FAFC"/>
          </w:tcPr>
          <w:p>
            <w:r>
              <w:rPr>
                <w:sz w:val="19"/>
              </w:rPr>
              <w:t>Governance Package</w:t>
            </w:r>
          </w:p>
        </w:tc>
        <w:tc>
          <w:tcPr>
            <w:tcW w:type="dxa" w:w="4032"/>
            <w:tcMar>
              <w:top w:w="80" w:type="dxa"/>
              <w:bottom w:w="80" w:type="dxa"/>
              <w:left w:w="100" w:type="dxa"/>
              <w:right w:w="100" w:type="dxa"/>
            </w:tcMar>
            <w:shd w:fill="F8FAFC"/>
          </w:tcPr>
          <w:p>
            <w:r>
              <w:rPr>
                <w:sz w:val="19"/>
              </w:rPr>
              <w:t>Structured JSON dossier containing complete cryptographic/behavioral audit trails.</w:t>
            </w:r>
          </w:p>
        </w:tc>
      </w:tr>
    </w:tbl>
    <w:p>
      <w:pPr>
        <w:spacing w:after="3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