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32"/>
          <w:szCs w:val="32"/>
        </w:rPr>
        <w:t xml:space="preserve">Kinetic modelling of Pb and Cu removal and PAH degradation</w:t>
      </w:r>
    </w:p>
    <w:p>
      <w:pPr>
        <w:spacing w:after="240"/>
      </w:pPr>
      <w:r>
        <w:rPr>
          <w:rFonts w:ascii="Times New Roman" w:cs="Times New Roman" w:eastAsia="Times New Roman" w:hAnsi="Times New Roman"/>
          <w:i/>
          <w:iCs/>
          <w:color w:val="444444"/>
          <w:sz w:val="20"/>
          <w:szCs w:val="20"/>
        </w:rPr>
        <w:t xml:space="preserve">Equations, tables and figures for the manuscript. Source data: Data_1.xlsx. Highlighted text marks details to be filled in by the authors.</w:t>
      </w:r>
    </w:p>
    <w:p>
      <w:pPr>
        <w:pStyle w:val="Heading1"/>
        <w:spacing w:after="140" w:before="300"/>
      </w:pPr>
      <w:r>
        <w:rPr>
          <w:rFonts w:ascii="Times New Roman" w:cs="Times New Roman" w:eastAsia="Times New Roman" w:hAnsi="Times New Roman"/>
          <w:b/>
          <w:bCs/>
          <w:sz w:val="26"/>
          <w:szCs w:val="26"/>
        </w:rPr>
        <w:t xml:space="preserve">1. Basis of the analysis</w:t>
      </w:r>
    </w:p>
    <w:p>
      <w:pPr>
        <w:spacing w:after="120" w:line="300"/>
        <w:jc w:val="both"/>
      </w:pPr>
      <w:r>
        <w:rPr>
          <w:rFonts w:ascii="Times New Roman" w:cs="Times New Roman" w:eastAsia="Times New Roman" w:hAnsi="Times New Roman"/>
        </w:rPr>
        <w:t xml:space="preserve">Removal of Pb and Cu, each supplied as the nitrate and the chloride salt, by isolates SS1, SS2 and SR3 was measured on days 1, 3, 5, 7, 15 and 30. Residual pyrene, fluorene and fluoranthene were measured on days 1, 3 and 5. Initial concentration, solution volume and biomass dose were not available, so the amount of metal removed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is expressed as percentage removal rather than mg g</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is therefore reported in %,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in %</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day</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h</w:t>
      </w:r>
      <w:r>
        <w:rPr>
          <w:rFonts w:ascii="Times New Roman" w:cs="Times New Roman" w:eastAsia="Times New Roman" w:hAnsi="Times New Roman"/>
        </w:rPr>
        <w:t xml:space="preserve"> in % day</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If these quantities become available,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(mg g</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 =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w:t>
      </w:r>
      <w:r>
        <w:rPr>
          <w:rFonts w:ascii="Times New Roman" w:cs="Times New Roman" w:eastAsia="Times New Roman" w:hAnsi="Times New Roman"/>
          <w:i/>
          <w:iCs/>
        </w:rPr>
        <w:t xml:space="preserve">R</w:t>
      </w:r>
      <w:r>
        <w:rPr>
          <w:rFonts w:ascii="Times New Roman" w:cs="Times New Roman" w:eastAsia="Times New Roman" w:hAnsi="Times New Roman"/>
        </w:rPr>
        <w:t xml:space="preserve">/100)</w:t>
      </w:r>
      <w:r>
        <w:rPr>
          <w:rFonts w:ascii="Times New Roman" w:cs="Times New Roman" w:eastAsia="Times New Roman" w:hAnsi="Times New Roman"/>
          <w:i/>
          <w:iCs/>
        </w:rPr>
        <w:t xml:space="preserve">V</w:t>
      </w:r>
      <w:r>
        <w:rPr>
          <w:rFonts w:ascii="Times New Roman" w:cs="Times New Roman" w:eastAsia="Times New Roman" w:hAnsi="Times New Roman"/>
        </w:rPr>
        <w:t xml:space="preserve">/</w:t>
      </w:r>
      <w:r>
        <w:rPr>
          <w:rFonts w:ascii="Times New Roman" w:cs="Times New Roman" w:eastAsia="Times New Roman" w:hAnsi="Times New Roman"/>
          <w:i/>
          <w:iCs/>
        </w:rPr>
        <w:t xml:space="preserve">m</w:t>
      </w:r>
      <w:r>
        <w:rPr>
          <w:rFonts w:ascii="Times New Roman" w:cs="Times New Roman" w:eastAsia="Times New Roman" w:hAnsi="Times New Roman"/>
        </w:rPr>
        <w:t xml:space="preserve">; this is a constant rescaling, so </w:t>
      </w:r>
      <w:r>
        <w:rPr>
          <w:rFonts w:ascii="Times New Roman" w:cs="Times New Roman" w:eastAsia="Times New Roman" w:hAnsi="Times New Roman"/>
          <w:i/>
          <w:iCs/>
        </w:rPr>
        <w:t xml:space="preserve">R</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is unchanged.</w:t>
      </w:r>
    </w:p>
    <w:p>
      <w:pPr>
        <w:spacing w:after="120" w:line="300"/>
        <w:jc w:val="both"/>
      </w:pPr>
      <w:r>
        <w:rPr>
          <w:rFonts w:ascii="Times New Roman" w:cs="Times New Roman" w:eastAsia="Times New Roman" w:hAnsi="Times New Roman"/>
        </w:rPr>
        <w:t xml:space="preserve">The PAH values decrease with time and were treated as the residual amount of PAH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Because the first-order model is fitted as ln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the rate constant does not depend on the units of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or on knowing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w:t>
      </w:r>
    </w:p>
    <w:p>
      <w:pPr>
        <w:pStyle w:val="Heading1"/>
        <w:spacing w:after="140" w:before="300"/>
      </w:pPr>
      <w:r>
        <w:rPr>
          <w:rFonts w:ascii="Times New Roman" w:cs="Times New Roman" w:eastAsia="Times New Roman" w:hAnsi="Times New Roman"/>
          <w:b/>
          <w:bCs/>
          <w:sz w:val="26"/>
          <w:szCs w:val="26"/>
        </w:rPr>
        <w:t xml:space="preserve">2. Kinetic models (draft methods text)</w:t>
      </w:r>
    </w:p>
    <w:p>
      <w:pPr>
        <w:spacing w:after="120" w:line="300"/>
        <w:jc w:val="both"/>
      </w:pPr>
      <w:r>
        <w:rPr>
          <w:rFonts w:ascii="Times New Roman" w:cs="Times New Roman" w:eastAsia="Times New Roman" w:hAnsi="Times New Roman"/>
        </w:rPr>
        <w:t xml:space="preserve">Metal removal was described by the pseudo-second-order (PSO) model of Ho:</w:t>
      </w:r>
    </w:p>
    <w:p>
      <w:pPr>
        <w:tabs>
          <w:tab w:val="center" w:pos="4680"/>
          <w:tab w:val="right" w:pos="9360"/>
        </w:tabs>
        <w:spacing w:after="140" w:before="80"/>
      </w:pPr>
      <w:r>
        <w:tab/>
      </w:r>
      <m:oMath>
        <m:f>
          <m:num>
            <m:r>
              <m:t>d</m:t>
            </m:r>
            <m:sSub>
              <m:sSubPr/>
              <m:e>
                <m:r>
                  <m:t>q</m:t>
                </m:r>
              </m:e>
              <m:sub>
                <m:r>
                  <m:t>t</m:t>
                </m:r>
              </m:sub>
            </m:sSub>
          </m:num>
          <m:den>
            <m:r>
              <m:t>dt</m:t>
            </m:r>
          </m:den>
        </m:f>
        <m:r>
          <m:t>=</m:t>
        </m:r>
        <m:sSub>
          <m:sSubPr/>
          <m:e>
            <m:r>
              <m:t>k</m:t>
            </m:r>
          </m:e>
          <m:sub>
            <m:r>
              <m:t>2</m:t>
            </m:r>
          </m:sub>
        </m:sSub>
        <m:r>
          <m:t>(</m:t>
        </m:r>
        <m:sSub>
          <m:sSubPr/>
          <m:e>
            <m:r>
              <m:t>q</m:t>
            </m:r>
          </m:e>
          <m:sub>
            <m:r>
              <m:t>e</m:t>
            </m:r>
          </m:sub>
        </m:sSub>
        <m:r>
          <m:t>−</m:t>
        </m:r>
        <m:sSub>
          <m:sSubPr/>
          <m:e>
            <m:r>
              <m:t>q</m:t>
            </m:r>
          </m:e>
          <m:sub>
            <m:r>
              <m:t>t</m:t>
            </m:r>
          </m:sub>
        </m:sSub>
        <m:sSup>
          <m:sSupPr/>
          <m:e>
            <m:r>
              <m:t>)</m:t>
            </m:r>
          </m:e>
          <m:sup>
            <m:r>
              <m:t>2</m:t>
            </m:r>
          </m:sup>
        </m:sSup>
      </m:oMath>
      <w:r>
        <w:rPr>
          <w:rFonts w:ascii="Times New Roman" w:cs="Times New Roman" w:eastAsia="Times New Roman" w:hAnsi="Times New Roman"/>
        </w:rPr>
        <w:tab/>
        <w:t xml:space="preserve">(1)</w:t>
      </w:r>
    </w:p>
    <w:p>
      <w:pPr>
        <w:spacing w:after="120" w:line="30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are the removal at time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and at equilibrium, and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is the PSO rate constant. Integration with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 0 at </w:t>
      </w:r>
      <w:r>
        <w:rPr>
          <w:rFonts w:ascii="Times New Roman" w:cs="Times New Roman" w:eastAsia="Times New Roman" w:hAnsi="Times New Roman"/>
          <w:i/>
          <w:iCs/>
        </w:rPr>
        <w:t xml:space="preserve">t</w:t>
      </w:r>
      <w:r>
        <w:rPr>
          <w:rFonts w:ascii="Times New Roman" w:cs="Times New Roman" w:eastAsia="Times New Roman" w:hAnsi="Times New Roman"/>
        </w:rPr>
        <w:t xml:space="preserve"> = 0 gives the linear form used in Figs. 1–4;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rPr>
        <w:t xml:space="preserve"> are obtained from the slope (1/</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rPr>
        <w:t xml:space="preserve">) and intercept (1/</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of </w:t>
      </w:r>
      <w:r>
        <w:rPr>
          <w:rFonts w:ascii="Times New Roman" w:cs="Times New Roman" w:eastAsia="Times New Roman" w:hAnsi="Times New Roman"/>
          <w:i/>
          <w:iCs/>
        </w:rPr>
        <w:t xml:space="preserve">t</w:t>
      </w:r>
      <w:r>
        <w:rPr>
          <w:rFonts w:ascii="Times New Roman" w:cs="Times New Roman" w:eastAsia="Times New Roman" w:hAnsi="Times New Roman"/>
        </w:rPr>
        <w:t xml:space="preserve">/</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and the initial removal rate is </w:t>
      </w:r>
      <w:r>
        <w:rPr>
          <w:rFonts w:ascii="Times New Roman" w:cs="Times New Roman" w:eastAsia="Times New Roman" w:hAnsi="Times New Roman"/>
          <w:i/>
          <w:iCs/>
        </w:rPr>
        <w:t xml:space="preserve">h</w:t>
      </w:r>
      <w:r>
        <w:rPr>
          <w:rFonts w:ascii="Times New Roman" w:cs="Times New Roman" w:eastAsia="Times New Roman" w:hAnsi="Times New Roman"/>
        </w:rPr>
        <w:t xml:space="preserve"> =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2</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w:t>
      </w:r>
    </w:p>
    <w:p>
      <w:pPr>
        <w:tabs>
          <w:tab w:val="center" w:pos="4680"/>
          <w:tab w:val="right" w:pos="9360"/>
        </w:tabs>
        <w:spacing w:after="140" w:before="80"/>
      </w:pPr>
      <w:r>
        <w:tab/>
      </w:r>
      <m:oMath>
        <m:f>
          <m:num>
            <m:r>
              <m:t>t</m:t>
            </m:r>
          </m:num>
          <m:den>
            <m:sSub>
              <m:sSubPr/>
              <m:e>
                <m:r>
                  <m:t>q</m:t>
                </m:r>
              </m:e>
              <m:sub>
                <m:r>
                  <m:t>t</m:t>
                </m:r>
              </m:sub>
            </m:sSub>
          </m:den>
        </m:f>
        <m:r>
          <m:t>=</m:t>
        </m:r>
        <m:f>
          <m:num>
            <m:r>
              <m:t>1</m:t>
            </m:r>
          </m:num>
          <m:den>
            <m:sSub>
              <m:sSubPr/>
              <m:e>
                <m:r>
                  <m:t>k</m:t>
                </m:r>
              </m:e>
              <m:sub>
                <m:r>
                  <m:t>2</m:t>
                </m:r>
              </m:sub>
            </m:sSub>
            <m:sSubSup>
              <m:sSubSupPr/>
              <m:e>
                <m:r>
                  <m:t>q</m:t>
                </m:r>
              </m:e>
              <m:sub>
                <m:r>
                  <m:t>e</m:t>
                </m:r>
              </m:sub>
              <m:sup>
                <m:r>
                  <m:t>2</m:t>
                </m:r>
              </m:sup>
            </m:sSubSup>
          </m:den>
        </m:f>
        <m:r>
          <m:t>+</m:t>
        </m:r>
        <m:f>
          <m:num>
            <m:r>
              <m:t>1</m:t>
            </m:r>
          </m:num>
          <m:den>
            <m:sSub>
              <m:sSubPr/>
              <m:e>
                <m:r>
                  <m:t>q</m:t>
                </m:r>
              </m:e>
              <m:sub>
                <m:r>
                  <m:t>e</m:t>
                </m:r>
              </m:sub>
            </m:sSub>
          </m:den>
        </m:f>
        <m:r>
          <m:t>t</m:t>
        </m:r>
      </m:oMath>
      <w:r>
        <w:rPr>
          <w:rFonts w:ascii="Times New Roman" w:cs="Times New Roman" w:eastAsia="Times New Roman" w:hAnsi="Times New Roman"/>
        </w:rPr>
        <w:tab/>
        <w:t xml:space="preserve">(2)</w:t>
      </w:r>
    </w:p>
    <w:p>
      <w:pPr>
        <w:spacing w:after="120" w:line="300"/>
        <w:jc w:val="both"/>
      </w:pPr>
      <w:r>
        <w:rPr>
          <w:rFonts w:ascii="Times New Roman" w:cs="Times New Roman" w:eastAsia="Times New Roman" w:hAnsi="Times New Roman"/>
        </w:rPr>
        <w:t xml:space="preserve">Because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appears on both axes of Eq. (2), its coefficient of determination tends to overstate the quality of fit. The PSO parameters were therefore also estimated by nonlinear least-squares fitting of the integrated form, Eq. (3), and the residual error is reported as RMSE = [Σ(</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t,exp</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i/>
          <w:iCs/>
        </w:rPr>
        <w:t xml:space="preserve">q</w:t>
      </w:r>
      <w:r>
        <w:rPr>
          <w:rFonts w:ascii="Times New Roman" w:cs="Times New Roman" w:eastAsia="Times New Roman" w:hAnsi="Times New Roman"/>
          <w:vertAlign w:val="subscript"/>
        </w:rPr>
        <w:t xml:space="preserve">t,cal</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w:t>
      </w:r>
      <w:r>
        <w:rPr>
          <w:rFonts w:ascii="Times New Roman" w:cs="Times New Roman" w:eastAsia="Times New Roman" w:hAnsi="Times New Roman"/>
          <w:i/>
          <w:iCs/>
        </w:rPr>
        <w:t xml:space="preserve">n</w:t>
      </w:r>
      <w:r>
        <w:rPr>
          <w:rFonts w:ascii="Times New Roman" w:cs="Times New Roman" w:eastAsia="Times New Roman" w:hAnsi="Times New Roman"/>
        </w:rPr>
        <w:t xml:space="preserve">]</w:t>
      </w:r>
      <w:r>
        <w:rPr>
          <w:rFonts w:ascii="Times New Roman" w:cs="Times New Roman" w:eastAsia="Times New Roman" w:hAnsi="Times New Roman"/>
          <w:vertAlign w:val="superscript"/>
        </w:rPr>
        <w:t xml:space="preserve">1/2</w:t>
      </w:r>
      <w:r>
        <w:rPr>
          <w:rFonts w:ascii="Times New Roman" w:cs="Times New Roman" w:eastAsia="Times New Roman" w:hAnsi="Times New Roman"/>
        </w:rPr>
        <w:t xml:space="preserve"> with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6:</w:t>
      </w:r>
    </w:p>
    <w:p>
      <w:pPr>
        <w:tabs>
          <w:tab w:val="center" w:pos="4680"/>
          <w:tab w:val="right" w:pos="9360"/>
        </w:tabs>
        <w:spacing w:after="140" w:before="80"/>
      </w:pPr>
      <w:r>
        <w:tab/>
      </w:r>
      <m:oMath>
        <m:sSub>
          <m:sSubPr/>
          <m:e>
            <m:r>
              <m:t>q</m:t>
            </m:r>
          </m:e>
          <m:sub>
            <m:r>
              <m:t>t</m:t>
            </m:r>
          </m:sub>
        </m:sSub>
        <m:r>
          <m:t>=</m:t>
        </m:r>
        <m:f>
          <m:num>
            <m:sSub>
              <m:sSubPr/>
              <m:e>
                <m:r>
                  <m:t>k</m:t>
                </m:r>
              </m:e>
              <m:sub>
                <m:r>
                  <m:t>2</m:t>
                </m:r>
              </m:sub>
            </m:sSub>
            <m:sSubSup>
              <m:sSubSupPr/>
              <m:e>
                <m:r>
                  <m:t>q</m:t>
                </m:r>
              </m:e>
              <m:sub>
                <m:r>
                  <m:t>e</m:t>
                </m:r>
              </m:sub>
              <m:sup>
                <m:r>
                  <m:t>2</m:t>
                </m:r>
              </m:sup>
            </m:sSubSup>
            <m:r>
              <m:t>t</m:t>
            </m:r>
          </m:num>
          <m:den>
            <m:r>
              <m:t>1+</m:t>
            </m:r>
            <m:sSub>
              <m:sSubPr/>
              <m:e>
                <m:r>
                  <m:t>k</m:t>
                </m:r>
              </m:e>
              <m:sub>
                <m:r>
                  <m:t>2</m:t>
                </m:r>
              </m:sub>
            </m:sSub>
            <m:sSub>
              <m:sSubPr/>
              <m:e>
                <m:r>
                  <m:t>q</m:t>
                </m:r>
              </m:e>
              <m:sub>
                <m:r>
                  <m:t>e</m:t>
                </m:r>
              </m:sub>
            </m:sSub>
            <m:r>
              <m:t>t</m:t>
            </m:r>
          </m:den>
        </m:f>
      </m:oMath>
      <w:r>
        <w:rPr>
          <w:rFonts w:ascii="Times New Roman" w:cs="Times New Roman" w:eastAsia="Times New Roman" w:hAnsi="Times New Roman"/>
        </w:rPr>
        <w:tab/>
        <w:t xml:space="preserve">(3)</w:t>
      </w:r>
    </w:p>
    <w:p>
      <w:pPr>
        <w:spacing w:after="120" w:line="300"/>
        <w:jc w:val="both"/>
      </w:pPr>
      <w:r>
        <w:rPr>
          <w:rFonts w:ascii="Times New Roman" w:cs="Times New Roman" w:eastAsia="Times New Roman" w:hAnsi="Times New Roman"/>
        </w:rPr>
        <w:t xml:space="preserve">PAH degradation was described by first-order kinetics, where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0</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are the PAH amounts initially and at time </w:t>
      </w:r>
      <w:r>
        <w:rPr>
          <w:rFonts w:ascii="Times New Roman" w:cs="Times New Roman" w:eastAsia="Times New Roman" w:hAnsi="Times New Roman"/>
          <w:i/>
          <w:iCs/>
        </w:rPr>
        <w:t xml:space="preserve">t</w:t>
      </w:r>
      <w:r>
        <w:rPr>
          <w:rFonts w:ascii="Times New Roman" w:cs="Times New Roman" w:eastAsia="Times New Roman" w:hAnsi="Times New Roman"/>
        </w:rPr>
        <w:t xml:space="preserve">. </w:t>
      </w:r>
      <w:r>
        <w:rPr>
          <w:rFonts w:ascii="Times New Roman" w:cs="Times New Roman" w:eastAsia="Times New Roman" w:hAnsi="Times New Roman"/>
          <w:i/>
          <w:iCs/>
        </w:rPr>
        <w:t xml:space="preserve">k</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is the negative slope of ln </w:t>
      </w:r>
      <w:r>
        <w:rPr>
          <w:rFonts w:ascii="Times New Roman" w:cs="Times New Roman" w:eastAsia="Times New Roman" w:hAnsi="Times New Roman"/>
          <w:i/>
          <w:iCs/>
        </w:rPr>
        <w:t xml:space="preserve">C</w:t>
      </w:r>
      <w:r>
        <w:rPr>
          <w:rFonts w:ascii="Times New Roman" w:cs="Times New Roman" w:eastAsia="Times New Roman" w:hAnsi="Times New Roman"/>
          <w:vertAlign w:val="subscript"/>
        </w:rPr>
        <w:t xml:space="preserve">t</w:t>
      </w:r>
      <w:r>
        <w:rPr>
          <w:rFonts w:ascii="Times New Roman" w:cs="Times New Roman" w:eastAsia="Times New Roman" w:hAnsi="Times New Roman"/>
        </w:rPr>
        <w:t xml:space="preserve"> versus </w:t>
      </w:r>
      <w:r>
        <w:rPr>
          <w:rFonts w:ascii="Times New Roman" w:cs="Times New Roman" w:eastAsia="Times New Roman" w:hAnsi="Times New Roman"/>
          <w:i/>
          <w:iCs/>
        </w:rPr>
        <w:t xml:space="preserve">t</w:t>
      </w:r>
      <w:r>
        <w:rPr>
          <w:rFonts w:ascii="Times New Roman" w:cs="Times New Roman" w:eastAsia="Times New Roman" w:hAnsi="Times New Roman"/>
        </w:rPr>
        <w:t xml:space="preserve"> (Figs. 5–7) and </w:t>
      </w:r>
      <w:r>
        <w:rPr>
          <w:rFonts w:ascii="Times New Roman" w:cs="Times New Roman" w:eastAsia="Times New Roman" w:hAnsi="Times New Roman"/>
          <w:i/>
          <w:iCs/>
        </w:rPr>
        <w:t xml:space="preserve">t</w:t>
      </w:r>
      <w:r>
        <w:rPr>
          <w:rFonts w:ascii="Times New Roman" w:cs="Times New Roman" w:eastAsia="Times New Roman" w:hAnsi="Times New Roman"/>
          <w:vertAlign w:val="subscript"/>
        </w:rPr>
        <w:t xml:space="preserve">1/2</w:t>
      </w:r>
      <w:r>
        <w:rPr>
          <w:rFonts w:ascii="Times New Roman" w:cs="Times New Roman" w:eastAsia="Times New Roman" w:hAnsi="Times New Roman"/>
        </w:rPr>
        <w:t xml:space="preserve"> is the half-life. Regressions used all sampling days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6 for metals,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3 for PAHs) and were not forced through the origin.</w:t>
      </w:r>
    </w:p>
    <w:p>
      <w:pPr>
        <w:tabs>
          <w:tab w:val="center" w:pos="4680"/>
          <w:tab w:val="right" w:pos="9360"/>
        </w:tabs>
        <w:spacing w:after="140" w:before="80"/>
      </w:pPr>
      <w:r>
        <w:tab/>
      </w:r>
      <m:oMath>
        <m:r>
          <m:t>ln </m:t>
        </m:r>
        <m:sSub>
          <m:sSubPr/>
          <m:e>
            <m:r>
              <m:t>C</m:t>
            </m:r>
          </m:e>
          <m:sub>
            <m:r>
              <m:t>t</m:t>
            </m:r>
          </m:sub>
        </m:sSub>
        <m:r>
          <m:t>=ln </m:t>
        </m:r>
        <m:sSub>
          <m:sSubPr/>
          <m:e>
            <m:r>
              <m:t>C</m:t>
            </m:r>
          </m:e>
          <m:sub>
            <m:r>
              <m:t>0</m:t>
            </m:r>
          </m:sub>
        </m:sSub>
        <m:r>
          <m:t>−</m:t>
        </m:r>
        <m:sSub>
          <m:sSubPr/>
          <m:e>
            <m:r>
              <m:t>k</m:t>
            </m:r>
          </m:e>
          <m:sub>
            <m:r>
              <m:t>1</m:t>
            </m:r>
          </m:sub>
        </m:sSub>
        <m:r>
          <m:t>t</m:t>
        </m:r>
      </m:oMath>
      <w:r>
        <w:rPr>
          <w:rFonts w:ascii="Times New Roman" w:cs="Times New Roman" w:eastAsia="Times New Roman" w:hAnsi="Times New Roman"/>
        </w:rPr>
        <w:tab/>
        <w:t xml:space="preserve">(4)</w:t>
      </w:r>
    </w:p>
    <w:p>
      <w:pPr>
        <w:tabs>
          <w:tab w:val="center" w:pos="4680"/>
          <w:tab w:val="right" w:pos="9360"/>
        </w:tabs>
        <w:spacing w:after="140" w:before="80"/>
      </w:pPr>
      <w:r>
        <w:tab/>
      </w:r>
      <m:oMath>
        <m:sSub>
          <m:sSubPr/>
          <m:e>
            <m:r>
              <m:t>t</m:t>
            </m:r>
          </m:e>
          <m:sub>
            <m:r>
              <m:t>1/2</m:t>
            </m:r>
          </m:sub>
        </m:sSub>
        <m:r>
          <m:t>=</m:t>
        </m:r>
        <m:f>
          <m:num>
            <m:r>
              <m:t>ln 2</m:t>
            </m:r>
          </m:num>
          <m:den>
            <m:sSub>
              <m:sSubPr/>
              <m:e>
                <m:r>
                  <m:t>k</m:t>
                </m:r>
              </m:e>
              <m:sub>
                <m:r>
                  <m:t>1</m:t>
                </m:r>
              </m:sub>
            </m:sSub>
          </m:den>
        </m:f>
      </m:oMath>
      <w:r>
        <w:rPr>
          <w:rFonts w:ascii="Times New Roman" w:cs="Times New Roman" w:eastAsia="Times New Roman" w:hAnsi="Times New Roman"/>
        </w:rPr>
        <w:tab/>
        <w:t xml:space="preserve">(5)</w:t>
      </w:r>
    </w:p>
    <w:p>
      <w:r>
        <w:br w:type="page"/>
      </w:r>
    </w:p>
    <w:p>
      <w:pPr>
        <w:pStyle w:val="Heading1"/>
        <w:spacing w:after="140" w:before="300"/>
      </w:pPr>
      <w:r>
        <w:rPr>
          <w:rFonts w:ascii="Times New Roman" w:cs="Times New Roman" w:eastAsia="Times New Roman" w:hAnsi="Times New Roman"/>
          <w:b/>
          <w:bCs/>
          <w:sz w:val="26"/>
          <w:szCs w:val="26"/>
        </w:rPr>
        <w:t xml:space="preserve">3. Tables</w:t>
      </w:r>
    </w:p>
    <w:p>
      <w:pPr>
        <w:keepNext/>
        <w:spacing w:after="10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Pseudo-second-order kinetic parameters for Pb and Cu removal by isolates SS1, SS2 and SR3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expressed as % removal).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50"/>
        <w:gridCol w:w="650"/>
        <w:gridCol w:w="820"/>
        <w:gridCol w:w="800"/>
        <w:gridCol w:w="1020"/>
        <w:gridCol w:w="920"/>
        <w:gridCol w:w="780"/>
        <w:gridCol w:w="800"/>
        <w:gridCol w:w="1020"/>
        <w:gridCol w:w="800"/>
        <w:gridCol w:w="800"/>
      </w:tblGrid>
      <w:tr>
        <w:trPr>
          <w:tblHeader/>
        </w:trPr>
        <w:tc>
          <w:tcPr>
            <w:tcW w:type="dxa" w:w="95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Metal salt</w:t>
            </w:r>
          </w:p>
        </w:tc>
        <w:tc>
          <w:tcPr>
            <w:tcW w:type="dxa" w:w="65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Isolate</w:t>
            </w:r>
          </w:p>
        </w:tc>
        <w:tc>
          <w:tcPr>
            <w:tcW w:type="dxa" w:w="820"/>
            <w:vMerge w:val="restart"/>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e,exp</w:t>
            </w:r>
            <w:r>
              <w:rPr>
                <w:rFonts w:ascii="Times New Roman" w:cs="Times New Roman" w:eastAsia="Times New Roman" w:hAnsi="Times New Roman"/>
                <w:sz w:val="17"/>
                <w:szCs w:val="17"/>
              </w:rPr>
              <w:t xml:space="preserve"> (%)</w:t>
            </w:r>
          </w:p>
        </w:tc>
        <w:tc>
          <w:tcPr>
            <w:tcW w:type="dxa" w:w="3520"/>
            <w:gridSpan w:val="4"/>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Linear form, Eq. (2)</w:t>
            </w:r>
          </w:p>
        </w:tc>
        <w:tc>
          <w:tcPr>
            <w:tcW w:type="dxa" w:w="3420"/>
            <w:gridSpan w:val="4"/>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Nonlinear form, Eq. (3)</w:t>
            </w:r>
          </w:p>
        </w:tc>
      </w:tr>
      <w:tr>
        <w:trPr>
          <w:tblHeader/>
        </w:trPr>
        <w:tc>
          <w:tcPr>
            <w:vMerge w:val="continue"/>
            <w:tcBorders>
              <w:top w:val="single" w:color="000000" w:sz="10"/>
              <w:left w:val="none" w:color="FFFFFF" w:sz="0"/>
              <w:bottom w:val="single" w:color="000000" w:sz="4"/>
              <w:right w:val="none" w:color="FFFFFF" w:sz="0"/>
            </w:tcBorders>
          </w:tcPr>
          <w:p/>
        </w:tc>
        <w:tc>
          <w:tcPr>
            <w:vMerge w:val="continue"/>
            <w:tcBorders>
              <w:top w:val="single" w:color="000000" w:sz="10"/>
              <w:left w:val="none" w:color="FFFFFF" w:sz="0"/>
              <w:bottom w:val="single" w:color="000000" w:sz="4"/>
              <w:right w:val="none" w:color="FFFFFF" w:sz="0"/>
            </w:tcBorders>
          </w:tcPr>
          <w:p/>
        </w:tc>
        <w:tc>
          <w:tcPr>
            <w:vMerge w:val="continue"/>
            <w:tcBorders>
              <w:top w:val="single" w:color="000000" w:sz="10"/>
              <w:left w:val="none" w:color="FFFFFF" w:sz="0"/>
              <w:bottom w:val="single" w:color="000000" w:sz="4"/>
              <w:right w:val="none" w:color="FFFFFF" w:sz="0"/>
            </w:tcBorders>
          </w:tcPr>
          <w:p/>
        </w:tc>
        <w:tc>
          <w:tcPr>
            <w:tcW w:type="dxa" w:w="80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e,cal</w:t>
            </w:r>
            <w:r>
              <w:rPr>
                <w:rFonts w:ascii="Times New Roman" w:cs="Times New Roman" w:eastAsia="Times New Roman" w:hAnsi="Times New Roman"/>
                <w:sz w:val="17"/>
                <w:szCs w:val="17"/>
              </w:rPr>
              <w:t xml:space="preserve"> (%)</w:t>
            </w:r>
          </w:p>
        </w:tc>
        <w:tc>
          <w:tcPr>
            <w:tcW w:type="dxa" w:w="102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92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78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c>
          <w:tcPr>
            <w:tcW w:type="dxa" w:w="80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e,cal</w:t>
            </w:r>
            <w:r>
              <w:rPr>
                <w:rFonts w:ascii="Times New Roman" w:cs="Times New Roman" w:eastAsia="Times New Roman" w:hAnsi="Times New Roman"/>
                <w:sz w:val="17"/>
                <w:szCs w:val="17"/>
              </w:rPr>
              <w:t xml:space="preserve"> (%)</w:t>
            </w:r>
          </w:p>
        </w:tc>
        <w:tc>
          <w:tcPr>
            <w:tcW w:type="dxa" w:w="102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80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c>
          <w:tcPr>
            <w:tcW w:type="dxa" w:w="800"/>
            <w:tcBorders>
              <w:top w:val="none" w:color="FFFFFF" w:sz="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RMSE (%)</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Pb nitrate</w:t>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91.87</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95.5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9.59 × 10</w:t>
            </w:r>
            <w:r>
              <w:rPr>
                <w:rFonts w:ascii="Times New Roman" w:cs="Times New Roman" w:eastAsia="Times New Roman" w:hAnsi="Times New Roman"/>
                <w:sz w:val="17"/>
                <w:szCs w:val="17"/>
                <w:vertAlign w:val="superscript"/>
              </w:rPr>
              <w:t xml:space="preserve">−4</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8.75</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0.4918</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124.6</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4.58 × 10</w:t>
            </w:r>
            <w:r>
              <w:rPr>
                <w:rFonts w:ascii="Times New Roman" w:cs="Times New Roman" w:eastAsia="Times New Roman" w:hAnsi="Times New Roman"/>
                <w:sz w:val="17"/>
                <w:szCs w:val="17"/>
                <w:vertAlign w:val="superscript"/>
              </w:rPr>
              <w:t xml:space="preserve">−4</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0.045</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22.44</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96.53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116.9</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1.51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20.62</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0.8880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119.4</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1.64 × 10</w:t>
            </w:r>
            <w:r>
              <w:rPr>
                <w:rFonts w:ascii="Times New Roman" w:cs="Times New Roman" w:eastAsia="Times New Roman" w:hAnsi="Times New Roman"/>
                <w:sz w:val="17"/>
                <w:szCs w:val="17"/>
                <w:vertAlign w:val="superscript"/>
              </w:rPr>
              <w:t xml:space="preserve">−3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0.756</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15.47</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93.26</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102.2</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1.18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12.33</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0.6388</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88.0</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3.10 × 10</w:t>
            </w:r>
            <w:r>
              <w:rPr>
                <w:rFonts w:ascii="Times New Roman" w:cs="Times New Roman" w:eastAsia="Times New Roman" w:hAnsi="Times New Roman"/>
                <w:sz w:val="17"/>
                <w:szCs w:val="17"/>
                <w:vertAlign w:val="superscript"/>
              </w:rPr>
              <w:t xml:space="preserve">−3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0.244</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25.57</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Pb chloride</w:t>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97.00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98.5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2.67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25.87</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0.8919</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73.1</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2.23 × 10</w:t>
            </w:r>
            <w:r>
              <w:rPr>
                <w:rFonts w:ascii="Times New Roman" w:cs="Times New Roman" w:eastAsia="Times New Roman" w:hAnsi="Times New Roman"/>
                <w:sz w:val="17"/>
                <w:szCs w:val="17"/>
                <w:vertAlign w:val="superscript"/>
              </w:rPr>
              <w:t xml:space="preserve">−2</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0.246</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13.62</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96.40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97.7</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1.22 × 10</w:t>
            </w:r>
            <w:r>
              <w:rPr>
                <w:rFonts w:ascii="Times New Roman" w:cs="Times New Roman" w:eastAsia="Times New Roman" w:hAnsi="Times New Roman"/>
                <w:sz w:val="17"/>
                <w:szCs w:val="17"/>
                <w:vertAlign w:val="superscript"/>
              </w:rPr>
              <w:t xml:space="preserve">−2</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116.15</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0.9966</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93.5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2.22 × 10</w:t>
            </w:r>
            <w:r>
              <w:rPr>
                <w:rFonts w:ascii="Times New Roman" w:cs="Times New Roman" w:eastAsia="Times New Roman" w:hAnsi="Times New Roman"/>
                <w:sz w:val="17"/>
                <w:szCs w:val="17"/>
                <w:vertAlign w:val="superscript"/>
              </w:rPr>
              <w:t xml:space="preserve">−2</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0.754</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5.37</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95.60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115.5</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1.40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18.73</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0.9068</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115.3</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1.43 × 10</w:t>
            </w:r>
            <w:r>
              <w:rPr>
                <w:rFonts w:ascii="Times New Roman" w:cs="Times New Roman" w:eastAsia="Times New Roman" w:hAnsi="Times New Roman"/>
                <w:sz w:val="17"/>
                <w:szCs w:val="17"/>
                <w:vertAlign w:val="superscript"/>
              </w:rPr>
              <w:t xml:space="preserve">−3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0.468</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18.07</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Cu nitrate</w:t>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82.50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99.5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1.73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17.10</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0.9371</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102.0</w:t>
            </w:r>
            <w:r>
              <w:rPr>
                <w:rFonts w:ascii="Times New Roman" w:cs="Times New Roman" w:eastAsia="Times New Roman" w:hAnsi="Times New Roman"/>
                <w:sz w:val="17"/>
                <w:szCs w:val="17"/>
                <w:vertAlign w:val="superscript"/>
              </w:rPr>
              <w:t xml:space="preserve">b</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1.65 × 10</w:t>
            </w:r>
            <w:r>
              <w:rPr>
                <w:rFonts w:ascii="Times New Roman" w:cs="Times New Roman" w:eastAsia="Times New Roman" w:hAnsi="Times New Roman"/>
                <w:sz w:val="17"/>
                <w:szCs w:val="17"/>
                <w:vertAlign w:val="superscript"/>
              </w:rPr>
              <w:t xml:space="preserve">−3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0.872</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8.69</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79.80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88.8</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1.74 × 10</w:t>
            </w:r>
            <w:r>
              <w:rPr>
                <w:rFonts w:ascii="Times New Roman" w:cs="Times New Roman" w:eastAsia="Times New Roman" w:hAnsi="Times New Roman"/>
                <w:sz w:val="17"/>
                <w:szCs w:val="17"/>
                <w:vertAlign w:val="superscript"/>
              </w:rPr>
              <w:t xml:space="preserve">−3</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13.71</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0.7323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57.6</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2.85 × 10</w:t>
            </w:r>
            <w:r>
              <w:rPr>
                <w:rFonts w:ascii="Times New Roman" w:cs="Times New Roman" w:eastAsia="Times New Roman" w:hAnsi="Times New Roman"/>
                <w:sz w:val="17"/>
                <w:szCs w:val="17"/>
                <w:vertAlign w:val="superscript"/>
              </w:rPr>
              <w:t xml:space="preserve">−2</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0.122</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15.83</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29.70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23.5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6.22 × 10</w:t>
            </w:r>
            <w:r>
              <w:rPr>
                <w:rFonts w:ascii="Times New Roman" w:cs="Times New Roman" w:eastAsia="Times New Roman" w:hAnsi="Times New Roman"/>
                <w:sz w:val="17"/>
                <w:szCs w:val="17"/>
                <w:vertAlign w:val="superscript"/>
              </w:rPr>
              <w:t xml:space="preserve">−2</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34.31</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0.5999</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35.3</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c</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0.000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13.88</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Cu chloride</w:t>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16.00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50.5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3.90 × 10</w:t>
            </w:r>
            <w:r>
              <w:rPr>
                <w:rFonts w:ascii="Times New Roman" w:cs="Times New Roman" w:eastAsia="Times New Roman" w:hAnsi="Times New Roman"/>
                <w:sz w:val="17"/>
                <w:szCs w:val="17"/>
                <w:vertAlign w:val="superscript"/>
              </w:rPr>
              <w:t xml:space="preserve">−4</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w:t>
            </w:r>
            <w:r>
              <w:rPr>
                <w:rFonts w:ascii="Times New Roman" w:cs="Times New Roman" w:eastAsia="Times New Roman" w:hAnsi="Times New Roman"/>
                <w:sz w:val="17"/>
                <w:szCs w:val="17"/>
                <w:vertAlign w:val="superscript"/>
              </w:rPr>
              <w:t xml:space="preserve">d</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0.2580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29.5</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1.97 × 10</w:t>
            </w:r>
            <w:r>
              <w:rPr>
                <w:rFonts w:ascii="Times New Roman" w:cs="Times New Roman" w:eastAsia="Times New Roman" w:hAnsi="Times New Roman"/>
                <w:sz w:val="17"/>
                <w:szCs w:val="17"/>
                <w:vertAlign w:val="superscript"/>
              </w:rPr>
              <w:t xml:space="preserve">−3</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0.805</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3.16</w:t>
            </w:r>
          </w:p>
        </w:tc>
      </w:tr>
      <w:tr>
        <w:tc>
          <w:tcPr>
            <w:tcW w:type="dxa" w:w="9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8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2.10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2.0</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0.9871</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5.3</w:t>
            </w:r>
          </w:p>
        </w:tc>
        <w:tc>
          <w:tcPr>
            <w:tcW w:type="dxa" w:w="102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c</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0.000</w:t>
            </w:r>
          </w:p>
        </w:tc>
        <w:tc>
          <w:tcPr>
            <w:tcW w:type="dxa" w:w="8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4.91</w:t>
            </w:r>
          </w:p>
        </w:tc>
      </w:tr>
      <w:tr>
        <w:tc>
          <w:tcPr>
            <w:tcW w:type="dxa" w:w="95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65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8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1.50</w:t>
            </w:r>
          </w:p>
        </w:tc>
        <w:tc>
          <w:tcPr>
            <w:tcW w:type="dxa" w:w="8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1.3</w:t>
            </w:r>
          </w:p>
        </w:tc>
        <w:tc>
          <w:tcPr>
            <w:tcW w:type="dxa" w:w="10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9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a</w:t>
            </w:r>
          </w:p>
        </w:tc>
        <w:tc>
          <w:tcPr>
            <w:tcW w:type="dxa" w:w="78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0.9013</w:t>
            </w:r>
          </w:p>
        </w:tc>
        <w:tc>
          <w:tcPr>
            <w:tcW w:type="dxa" w:w="8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4.1</w:t>
            </w:r>
          </w:p>
        </w:tc>
        <w:tc>
          <w:tcPr>
            <w:tcW w:type="dxa" w:w="102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n.d.</w:t>
            </w:r>
            <w:r>
              <w:rPr>
                <w:rFonts w:ascii="Times New Roman" w:cs="Times New Roman" w:eastAsia="Times New Roman" w:hAnsi="Times New Roman"/>
                <w:sz w:val="17"/>
                <w:szCs w:val="17"/>
                <w:vertAlign w:val="superscript"/>
              </w:rPr>
              <w:t xml:space="preserve">c</w:t>
            </w:r>
          </w:p>
        </w:tc>
        <w:tc>
          <w:tcPr>
            <w:tcW w:type="dxa" w:w="8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0.000</w:t>
            </w:r>
          </w:p>
        </w:tc>
        <w:tc>
          <w:tcPr>
            <w:tcW w:type="dxa" w:w="8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2.65</w:t>
            </w:r>
          </w:p>
        </w:tc>
      </w:tr>
    </w:tbl>
    <w:p>
      <w:pPr>
        <w:spacing w:before="80"/>
      </w:pPr>
    </w:p>
    <w:p>
      <w:pPr>
        <w:spacing w:after="40"/>
      </w:pP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e,exp</w:t>
      </w:r>
      <w:r>
        <w:rPr>
          <w:rFonts w:ascii="Times New Roman" w:cs="Times New Roman" w:eastAsia="Times New Roman" w:hAnsi="Times New Roman"/>
          <w:sz w:val="17"/>
          <w:szCs w:val="17"/>
        </w:rPr>
        <w:t xml:space="preserve">: removal measured at day 30 (end of experiment). n.d.: not determined.</w:t>
      </w:r>
    </w:p>
    <w:p>
      <w:pPr>
        <w:spacing w:after="40"/>
      </w:pPr>
      <w:r>
        <w:rPr>
          <w:rFonts w:ascii="Times New Roman" w:cs="Times New Roman" w:eastAsia="Times New Roman" w:hAnsi="Times New Roman"/>
          <w:sz w:val="17"/>
          <w:szCs w:val="17"/>
          <w:vertAlign w:val="superscript"/>
        </w:rPr>
        <w:t xml:space="preserve">a</w:t>
      </w:r>
      <w:r>
        <w:rPr>
          <w:rFonts w:ascii="Times New Roman" w:cs="Times New Roman" w:eastAsia="Times New Roman" w:hAnsi="Times New Roman"/>
          <w:sz w:val="17"/>
          <w:szCs w:val="17"/>
        </w:rPr>
        <w:t xml:space="preserve"> Negative intercept in the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versus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 plot, so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and </w:t>
      </w:r>
      <w:r>
        <w:rPr>
          <w:rFonts w:ascii="Times New Roman" w:cs="Times New Roman" w:eastAsia="Times New Roman" w:hAnsi="Times New Roman"/>
          <w:i/>
          <w:iCs/>
          <w:sz w:val="17"/>
          <w:szCs w:val="17"/>
        </w:rPr>
        <w:t xml:space="preserve">h</w:t>
      </w:r>
      <w:r>
        <w:rPr>
          <w:rFonts w:ascii="Times New Roman" w:cs="Times New Roman" w:eastAsia="Times New Roman" w:hAnsi="Times New Roman"/>
          <w:sz w:val="17"/>
          <w:szCs w:val="17"/>
        </w:rPr>
        <w:t xml:space="preserve"> cannot be calculated.</w:t>
      </w:r>
    </w:p>
    <w:p>
      <w:pPr>
        <w:spacing w:after="40"/>
      </w:pPr>
      <w:r>
        <w:rPr>
          <w:rFonts w:ascii="Times New Roman" w:cs="Times New Roman" w:eastAsia="Times New Roman" w:hAnsi="Times New Roman"/>
          <w:sz w:val="17"/>
          <w:szCs w:val="17"/>
          <w:vertAlign w:val="superscript"/>
        </w:rPr>
        <w:t xml:space="preserve">b</w:t>
      </w:r>
      <w:r>
        <w:rPr>
          <w:rFonts w:ascii="Times New Roman" w:cs="Times New Roman" w:eastAsia="Times New Roman" w:hAnsi="Times New Roman"/>
          <w:sz w:val="17"/>
          <w:szCs w:val="17"/>
        </w:rPr>
        <w:t xml:space="preserve"> Calculated </w:t>
      </w:r>
      <w:r>
        <w:rPr>
          <w:rFonts w:ascii="Times New Roman" w:cs="Times New Roman" w:eastAsia="Times New Roman" w:hAnsi="Times New Roman"/>
          <w:i/>
          <w:iCs/>
          <w:sz w:val="17"/>
          <w:szCs w:val="17"/>
        </w:rPr>
        <w:t xml:space="preserve">q</w:t>
      </w:r>
      <w:r>
        <w:rPr>
          <w:rFonts w:ascii="Times New Roman" w:cs="Times New Roman" w:eastAsia="Times New Roman" w:hAnsi="Times New Roman"/>
          <w:sz w:val="17"/>
          <w:szCs w:val="17"/>
          <w:vertAlign w:val="subscript"/>
        </w:rPr>
        <w:t xml:space="preserve">e</w:t>
      </w:r>
      <w:r>
        <w:rPr>
          <w:rFonts w:ascii="Times New Roman" w:cs="Times New Roman" w:eastAsia="Times New Roman" w:hAnsi="Times New Roman"/>
          <w:sz w:val="17"/>
          <w:szCs w:val="17"/>
        </w:rPr>
        <w:t xml:space="preserve"> exceeds 100% removal and is physically unattainable.</w:t>
      </w:r>
    </w:p>
    <w:p>
      <w:pPr>
        <w:spacing w:after="40"/>
      </w:pPr>
      <w:r>
        <w:rPr>
          <w:rFonts w:ascii="Times New Roman" w:cs="Times New Roman" w:eastAsia="Times New Roman" w:hAnsi="Times New Roman"/>
          <w:sz w:val="17"/>
          <w:szCs w:val="17"/>
          <w:vertAlign w:val="superscript"/>
        </w:rPr>
        <w:t xml:space="preserve">c</w:t>
      </w:r>
      <w:r>
        <w:rPr>
          <w:rFonts w:ascii="Times New Roman" w:cs="Times New Roman" w:eastAsia="Times New Roman" w:hAnsi="Times New Roman"/>
          <w:sz w:val="17"/>
          <w:szCs w:val="17"/>
        </w:rPr>
        <w:t xml:space="preserve"> No time dependence resolved: the best nonlinear fit is effectively a constant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sz w:val="17"/>
          <w:szCs w:val="17"/>
        </w:rPr>
        <w:t xml:space="preserve"> ≈ 0).</w:t>
      </w:r>
    </w:p>
    <w:p>
      <w:pPr>
        <w:spacing w:after="40"/>
      </w:pPr>
      <w:r>
        <w:rPr>
          <w:rFonts w:ascii="Times New Roman" w:cs="Times New Roman" w:eastAsia="Times New Roman" w:hAnsi="Times New Roman"/>
          <w:sz w:val="17"/>
          <w:szCs w:val="17"/>
          <w:vertAlign w:val="superscript"/>
        </w:rPr>
        <w:t xml:space="preserve">d</w:t>
      </w:r>
      <w:r>
        <w:rPr>
          <w:rFonts w:ascii="Times New Roman" w:cs="Times New Roman" w:eastAsia="Times New Roman" w:hAnsi="Times New Roman"/>
          <w:sz w:val="17"/>
          <w:szCs w:val="17"/>
        </w:rPr>
        <w:t xml:space="preserve"> Linear and nonlinear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2</w:t>
      </w:r>
      <w:r>
        <w:rPr>
          <w:rFonts w:ascii="Times New Roman" w:cs="Times New Roman" w:eastAsia="Times New Roman" w:hAnsi="Times New Roman"/>
          <w:sz w:val="17"/>
          <w:szCs w:val="17"/>
        </w:rPr>
        <w:t xml:space="preserve"> differ more than four-fold; the rate constant is poorly determined by these data.</w:t>
      </w:r>
    </w:p>
    <w:p>
      <w:pPr>
        <w:keepNext/>
        <w:spacing w:after="100" w:before="36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First-order kinetic parameters for PAH degradation by isolates SS1, SS2 and SR3.</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60"/>
        <w:gridCol w:w="1300"/>
        <w:gridCol w:w="1600"/>
        <w:gridCol w:w="1600"/>
        <w:gridCol w:w="1500"/>
        <w:gridCol w:w="1600"/>
      </w:tblGrid>
      <w:tr>
        <w:trPr>
          <w:tblHeader/>
        </w:trPr>
        <w:tc>
          <w:tcPr>
            <w:tcW w:type="dxa" w:w="176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PAH</w:t>
            </w:r>
          </w:p>
        </w:tc>
        <w:tc>
          <w:tcPr>
            <w:tcW w:type="dxa" w:w="13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Isolate</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 (day</w:t>
            </w:r>
            <w:r>
              <w:rPr>
                <w:rFonts w:ascii="Times New Roman" w:cs="Times New Roman" w:eastAsia="Times New Roman" w:hAnsi="Times New Roman"/>
                <w:sz w:val="17"/>
                <w:szCs w:val="17"/>
                <w:vertAlign w:val="superscript"/>
              </w:rPr>
              <w:t xml:space="preserve">−1</w:t>
            </w:r>
            <w:r>
              <w:rPr>
                <w:rFonts w:ascii="Times New Roman" w:cs="Times New Roman" w:eastAsia="Times New Roman" w:hAnsi="Times New Roman"/>
                <w:sz w:val="17"/>
                <w:szCs w:val="17"/>
              </w:rPr>
              <w:t xml:space="preserve">)</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Intercept</w:t>
            </w:r>
          </w:p>
        </w:tc>
        <w:tc>
          <w:tcPr>
            <w:tcW w:type="dxa" w:w="15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1/2</w:t>
            </w:r>
            <w:r>
              <w:rPr>
                <w:rFonts w:ascii="Times New Roman" w:cs="Times New Roman" w:eastAsia="Times New Roman" w:hAnsi="Times New Roman"/>
                <w:sz w:val="17"/>
                <w:szCs w:val="17"/>
              </w:rPr>
              <w:t xml:space="preserve"> (day)</w:t>
            </w:r>
          </w:p>
        </w:tc>
        <w:tc>
          <w:tcPr>
            <w:tcW w:type="dxa" w:w="1600"/>
            <w:tcBorders>
              <w:top w:val="single" w:color="000000" w:sz="10"/>
              <w:left w:val="none" w:color="FFFFFF" w:sz="0"/>
              <w:bottom w:val="single" w:color="000000" w:sz="4"/>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Pyrene</w:t>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0.1323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3.1049</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5.24</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0.9781</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0.2747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2.8075</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0.9777</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0.4024</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4.8135</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1.72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0.8908</w:t>
            </w:r>
            <w:r>
              <w:rPr>
                <w:rFonts w:ascii="Times New Roman" w:cs="Times New Roman" w:eastAsia="Times New Roman" w:hAnsi="Times New Roman"/>
                <w:sz w:val="17"/>
                <w:szCs w:val="17"/>
                <w:vertAlign w:val="superscript"/>
              </w:rPr>
              <w:t xml:space="preserve">a</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Fluorene</w:t>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0.0362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2.5694</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19.13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0.9998</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0.2597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4.6699</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2.67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0.8109</w:t>
            </w:r>
            <w:r>
              <w:rPr>
                <w:rFonts w:ascii="Times New Roman" w:cs="Times New Roman" w:eastAsia="Times New Roman" w:hAnsi="Times New Roman"/>
                <w:sz w:val="17"/>
                <w:szCs w:val="17"/>
                <w:vertAlign w:val="superscript"/>
              </w:rPr>
              <w:t xml:space="preserve">a</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0.1788</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2.4491</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3.88</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0.9423</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Fluoranthene</w:t>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SS1</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0.0747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2.5743</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9.28</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0.9718</w:t>
            </w:r>
          </w:p>
        </w:tc>
      </w:tr>
      <w:tr>
        <w:tc>
          <w:tcPr>
            <w:tcW w:type="dxa" w:w="176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SS2</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0.0756</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4.3632</w:t>
            </w:r>
          </w:p>
        </w:tc>
        <w:tc>
          <w:tcPr>
            <w:tcW w:type="dxa" w:w="15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9.17</w:t>
            </w:r>
          </w:p>
        </w:tc>
        <w:tc>
          <w:tcPr>
            <w:tcW w:type="dxa" w:w="1600"/>
            <w:tcBorders>
              <w:top w:val="none" w:color="FFFFFF" w:sz="0"/>
              <w:left w:val="none" w:color="FFFFFF" w:sz="0"/>
              <w:bottom w:val="none" w:color="FFFFFF" w:sz="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0.8820</w:t>
            </w:r>
            <w:r>
              <w:rPr>
                <w:rFonts w:ascii="Times New Roman" w:cs="Times New Roman" w:eastAsia="Times New Roman" w:hAnsi="Times New Roman"/>
                <w:sz w:val="17"/>
                <w:szCs w:val="17"/>
                <w:vertAlign w:val="superscript"/>
              </w:rPr>
              <w:t xml:space="preserve">a</w:t>
            </w:r>
          </w:p>
        </w:tc>
      </w:tr>
      <w:tr>
        <w:tc>
          <w:tcPr>
            <w:tcW w:type="dxa" w:w="176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
            </w:r>
          </w:p>
        </w:tc>
        <w:tc>
          <w:tcPr>
            <w:tcW w:type="dxa" w:w="13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left"/>
            </w:pPr>
            <w:r>
              <w:rPr>
                <w:rFonts w:ascii="Times New Roman" w:cs="Times New Roman" w:eastAsia="Times New Roman" w:hAnsi="Times New Roman"/>
                <w:sz w:val="17"/>
                <w:szCs w:val="17"/>
              </w:rPr>
              <w:t xml:space="preserve">SR3</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0.0328</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2.2573</w:t>
            </w:r>
          </w:p>
        </w:tc>
        <w:tc>
          <w:tcPr>
            <w:tcW w:type="dxa" w:w="15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21.14</w:t>
            </w:r>
          </w:p>
        </w:tc>
        <w:tc>
          <w:tcPr>
            <w:tcW w:type="dxa" w:w="1600"/>
            <w:tcBorders>
              <w:top w:val="none" w:color="FFFFFF" w:sz="0"/>
              <w:left w:val="none" w:color="FFFFFF" w:sz="0"/>
              <w:bottom w:val="single" w:color="000000" w:sz="10"/>
              <w:right w:val="none" w:color="FFFFFF" w:sz="0"/>
            </w:tcBorders>
            <w:tcMar>
              <w:top w:type="dxa" w:w="50"/>
              <w:left w:type="dxa" w:w="50"/>
              <w:bottom w:type="dxa" w:w="50"/>
              <w:right w:type="dxa" w:w="50"/>
            </w:tcMar>
            <w:vAlign w:val="center"/>
          </w:tcPr>
          <w:p>
            <w:pPr>
              <w:jc w:val="center"/>
            </w:pPr>
            <w:r>
              <w:rPr>
                <w:rFonts w:ascii="Times New Roman" w:cs="Times New Roman" w:eastAsia="Times New Roman" w:hAnsi="Times New Roman"/>
                <w:sz w:val="17"/>
                <w:szCs w:val="17"/>
              </w:rPr>
              <w:t xml:space="preserve">0.5705</w:t>
            </w:r>
            <w:r>
              <w:rPr>
                <w:rFonts w:ascii="Times New Roman" w:cs="Times New Roman" w:eastAsia="Times New Roman" w:hAnsi="Times New Roman"/>
                <w:sz w:val="17"/>
                <w:szCs w:val="17"/>
                <w:vertAlign w:val="superscript"/>
              </w:rPr>
              <w:t xml:space="preserve">a</w:t>
            </w:r>
          </w:p>
        </w:tc>
      </w:tr>
    </w:tbl>
    <w:p>
      <w:pPr>
        <w:spacing w:before="80"/>
      </w:pPr>
    </w:p>
    <w:p>
      <w:pPr>
        <w:spacing w:after="40"/>
      </w:pP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 residual PAH as recorded; ln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regressed on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 for days 1, 3 and 5 (</w:t>
      </w:r>
      <w:r>
        <w:rPr>
          <w:rFonts w:ascii="Times New Roman" w:cs="Times New Roman" w:eastAsia="Times New Roman" w:hAnsi="Times New Roman"/>
          <w:i/>
          <w:iCs/>
          <w:sz w:val="17"/>
          <w:szCs w:val="17"/>
        </w:rPr>
        <w:t xml:space="preserve">n</w:t>
      </w:r>
      <w:r>
        <w:rPr>
          <w:rFonts w:ascii="Times New Roman" w:cs="Times New Roman" w:eastAsia="Times New Roman" w:hAnsi="Times New Roman"/>
          <w:sz w:val="17"/>
          <w:szCs w:val="17"/>
        </w:rPr>
        <w:t xml:space="preserve"> = 3); </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 = </w:t>
      </w:r>
      <w:r>
        <w:rPr>
          <w:rFonts w:ascii="Times New Roman" w:cs="Times New Roman" w:eastAsia="Times New Roman" w:hAnsi="Times New Roman"/>
          <w:sz w:val="17"/>
          <w:szCs w:val="17"/>
        </w:rPr>
        <w:t xml:space="preserve">−</w:t>
      </w:r>
      <w:r>
        <w:rPr>
          <w:rFonts w:ascii="Times New Roman" w:cs="Times New Roman" w:eastAsia="Times New Roman" w:hAnsi="Times New Roman"/>
          <w:sz w:val="17"/>
          <w:szCs w:val="17"/>
        </w:rPr>
        <w:t xml:space="preserve">slope; intercept = ln </w:t>
      </w:r>
      <w:r>
        <w:rPr>
          <w:rFonts w:ascii="Times New Roman" w:cs="Times New Roman" w:eastAsia="Times New Roman" w:hAnsi="Times New Roman"/>
          <w:i/>
          <w:iCs/>
          <w:sz w:val="17"/>
          <w:szCs w:val="17"/>
        </w:rPr>
        <w:t xml:space="preserve">C</w:t>
      </w:r>
      <w:r>
        <w:rPr>
          <w:rFonts w:ascii="Times New Roman" w:cs="Times New Roman" w:eastAsia="Times New Roman" w:hAnsi="Times New Roman"/>
          <w:sz w:val="17"/>
          <w:szCs w:val="17"/>
          <w:vertAlign w:val="subscript"/>
        </w:rPr>
        <w:t xml:space="preserve">t</w:t>
      </w:r>
      <w:r>
        <w:rPr>
          <w:rFonts w:ascii="Times New Roman" w:cs="Times New Roman" w:eastAsia="Times New Roman" w:hAnsi="Times New Roman"/>
          <w:sz w:val="17"/>
          <w:szCs w:val="17"/>
        </w:rPr>
        <w:t xml:space="preserve"> extrapolated to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rPr>
        <w:t xml:space="preserve"> = 0; </w:t>
      </w:r>
      <w:r>
        <w:rPr>
          <w:rFonts w:ascii="Times New Roman" w:cs="Times New Roman" w:eastAsia="Times New Roman" w:hAnsi="Times New Roman"/>
          <w:i/>
          <w:iCs/>
          <w:sz w:val="17"/>
          <w:szCs w:val="17"/>
        </w:rPr>
        <w:t xml:space="preserve">t</w:t>
      </w:r>
      <w:r>
        <w:rPr>
          <w:rFonts w:ascii="Times New Roman" w:cs="Times New Roman" w:eastAsia="Times New Roman" w:hAnsi="Times New Roman"/>
          <w:sz w:val="17"/>
          <w:szCs w:val="17"/>
          <w:vertAlign w:val="subscript"/>
        </w:rPr>
        <w:t xml:space="preserve">1/2</w:t>
      </w:r>
      <w:r>
        <w:rPr>
          <w:rFonts w:ascii="Times New Roman" w:cs="Times New Roman" w:eastAsia="Times New Roman" w:hAnsi="Times New Roman"/>
          <w:sz w:val="17"/>
          <w:szCs w:val="17"/>
        </w:rPr>
        <w:t xml:space="preserve"> = ln 2/</w:t>
      </w:r>
      <w:r>
        <w:rPr>
          <w:rFonts w:ascii="Times New Roman" w:cs="Times New Roman" w:eastAsia="Times New Roman" w:hAnsi="Times New Roman"/>
          <w:i/>
          <w:iCs/>
          <w:sz w:val="17"/>
          <w:szCs w:val="17"/>
        </w:rPr>
        <w:t xml:space="preserve">k</w:t>
      </w:r>
      <w:r>
        <w:rPr>
          <w:rFonts w:ascii="Times New Roman" w:cs="Times New Roman" w:eastAsia="Times New Roman" w:hAnsi="Times New Roman"/>
          <w:sz w:val="17"/>
          <w:szCs w:val="17"/>
          <w:vertAlign w:val="subscript"/>
        </w:rPr>
        <w:t xml:space="preserve">1</w:t>
      </w:r>
      <w:r>
        <w:rPr>
          <w:rFonts w:ascii="Times New Roman" w:cs="Times New Roman" w:eastAsia="Times New Roman" w:hAnsi="Times New Roman"/>
          <w:sz w:val="17"/>
          <w:szCs w:val="17"/>
        </w:rPr>
        <w:t xml:space="preserve">.</w:t>
      </w:r>
    </w:p>
    <w:p>
      <w:pPr>
        <w:spacing w:after="40"/>
      </w:pPr>
      <w:r>
        <w:rPr>
          <w:rFonts w:ascii="Times New Roman" w:cs="Times New Roman" w:eastAsia="Times New Roman" w:hAnsi="Times New Roman"/>
          <w:sz w:val="17"/>
          <w:szCs w:val="17"/>
          <w:vertAlign w:val="superscript"/>
        </w:rPr>
        <w:t xml:space="preserve">a</w:t>
      </w:r>
      <w:r>
        <w:rPr>
          <w:rFonts w:ascii="Times New Roman" w:cs="Times New Roman" w:eastAsia="Times New Roman" w:hAnsi="Times New Roman"/>
          <w:sz w:val="17"/>
          <w:szCs w:val="17"/>
        </w:rPr>
        <w:t xml:space="preserve"> </w:t>
      </w:r>
      <w:r>
        <w:rPr>
          <w:rFonts w:ascii="Times New Roman" w:cs="Times New Roman" w:eastAsia="Times New Roman" w:hAnsi="Times New Roman"/>
          <w:i/>
          <w:iCs/>
          <w:sz w:val="17"/>
          <w:szCs w:val="17"/>
        </w:rPr>
        <w:t xml:space="preserve">R</w:t>
      </w:r>
      <w:r>
        <w:rPr>
          <w:rFonts w:ascii="Times New Roman" w:cs="Times New Roman" w:eastAsia="Times New Roman" w:hAnsi="Times New Roman"/>
          <w:sz w:val="17"/>
          <w:szCs w:val="17"/>
          <w:vertAlign w:val="superscript"/>
        </w:rPr>
        <w:t xml:space="preserve">2</w:t>
      </w:r>
      <w:r>
        <w:rPr>
          <w:rFonts w:ascii="Times New Roman" w:cs="Times New Roman" w:eastAsia="Times New Roman" w:hAnsi="Times New Roman"/>
          <w:sz w:val="17"/>
          <w:szCs w:val="17"/>
        </w:rPr>
        <w:t xml:space="preserve"> &lt; 0.90: degradation is not described by a single first-order rate. Pyrene (SR3), fluorene (SS2) and fluoranthene (SS2) accelerate after day 3, consistent with a lag phase; fluoranthene with SR3 changes little over 5 days.</w:t>
      </w:r>
    </w:p>
    <w:p>
      <w:r>
        <w:br w:type="page"/>
      </w:r>
    </w:p>
    <w:p>
      <w:pPr>
        <w:pStyle w:val="Heading1"/>
        <w:spacing w:after="140" w:before="300"/>
      </w:pPr>
      <w:r>
        <w:rPr>
          <w:rFonts w:ascii="Times New Roman" w:cs="Times New Roman" w:eastAsia="Times New Roman" w:hAnsi="Times New Roman"/>
          <w:b/>
          <w:bCs/>
          <w:sz w:val="26"/>
          <w:szCs w:val="26"/>
        </w:rPr>
        <w:t xml:space="preserve">4. Figures</w:t>
      </w:r>
    </w:p>
    <w:p>
      <w:pPr>
        <w:keepNext/>
        <w:spacing w:before="200"/>
        <w:jc w:val="center"/>
      </w:pPr>
      <w:r>
        <w:drawing>
          <wp:inline distT="0" distB="0" distL="0" distR="0">
            <wp:extent cx="4857750" cy="3209925"/>
            <wp:effectExtent t="0" r="0" b="0" l="0"/>
            <wp:docPr id="1" name="fig1" descr="Pb removal from lead nitrate solu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Pb removal from lead nitrate solution by isolates SS1, SS2 and SR3 </w:t>
      </w:r>
      <w:r>
        <w:rPr>
          <w:rFonts w:ascii="Times New Roman" w:cs="Times New Roman" w:eastAsia="Times New Roman" w:hAnsi="Times New Roman"/>
          <w:sz w:val="20"/>
          <w:szCs w:val="20"/>
          <w:shd w:fill="FFF2A8" w:color="auto" w:val="clear"/>
        </w:rPr>
        <w:t xml:space="preserve">[initial Pb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2" descr="Pb removal from lead chloride sol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Pb removal from lead chloride solution by isolates SS1, SS2 and SR3 </w:t>
      </w:r>
      <w:r>
        <w:rPr>
          <w:rFonts w:ascii="Times New Roman" w:cs="Times New Roman" w:eastAsia="Times New Roman" w:hAnsi="Times New Roman"/>
          <w:sz w:val="20"/>
          <w:szCs w:val="20"/>
          <w:shd w:fill="FFF2A8" w:color="auto" w:val="clear"/>
        </w:rPr>
        <w:t xml:space="preserve">[initial Pb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3" descr="Cu removal from copper nitrate solu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Cu removal from copper nitrate solution by isolates SS1, SS2 and SR3 </w:t>
      </w:r>
      <w:r>
        <w:rPr>
          <w:rFonts w:ascii="Times New Roman" w:cs="Times New Roman" w:eastAsia="Times New Roman" w:hAnsi="Times New Roman"/>
          <w:sz w:val="20"/>
          <w:szCs w:val="20"/>
          <w:shd w:fill="FFF2A8" w:color="auto" w:val="clear"/>
        </w:rPr>
        <w:t xml:space="preserve">[initial Cu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4" descr="Cu removal from copper chloride solu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Pseudo-second-order kinetic plot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Cu removal from copper chloride solution by isolates SS1, SS2 and SR3 </w:t>
      </w:r>
      <w:r>
        <w:rPr>
          <w:rFonts w:ascii="Times New Roman" w:cs="Times New Roman" w:eastAsia="Times New Roman" w:hAnsi="Times New Roman"/>
          <w:sz w:val="20"/>
          <w:szCs w:val="20"/>
          <w:shd w:fill="FFF2A8" w:color="auto" w:val="clear"/>
        </w:rPr>
        <w:t xml:space="preserve">[initial Cu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biomass dose = __; pH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expressed as % removal.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5" descr="pyrene degrad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First-order kinetic plot (ln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pyrene degradation by isolates SS1, SS2 and SR3 </w:t>
      </w:r>
      <w:r>
        <w:rPr>
          <w:rFonts w:ascii="Times New Roman" w:cs="Times New Roman" w:eastAsia="Times New Roman" w:hAnsi="Times New Roman"/>
          <w:sz w:val="20"/>
          <w:szCs w:val="20"/>
          <w:shd w:fill="FFF2A8" w:color="auto" w:val="clear"/>
        </w:rPr>
        <w:t xml:space="preserve">[initial pyrene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inoculum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residual PAH as recorded.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6" descr="fluorene degrad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First-order kinetic plot (ln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fluorene degradation by isolates SS1, SS2 and SR3 </w:t>
      </w:r>
      <w:r>
        <w:rPr>
          <w:rFonts w:ascii="Times New Roman" w:cs="Times New Roman" w:eastAsia="Times New Roman" w:hAnsi="Times New Roman"/>
          <w:sz w:val="20"/>
          <w:szCs w:val="20"/>
          <w:shd w:fill="FFF2A8" w:color="auto" w:val="clear"/>
        </w:rPr>
        <w:t xml:space="preserve">[initial fluorene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inoculum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residual PAH as recorded.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pPr>
        <w:keepNext/>
        <w:spacing w:before="200"/>
        <w:jc w:val="center"/>
      </w:pPr>
      <w:r>
        <w:drawing>
          <wp:inline distT="0" distB="0" distL="0" distR="0">
            <wp:extent cx="4857750" cy="3209925"/>
            <wp:effectExtent t="0" r="0" b="0" l="0"/>
            <wp:docPr id="1" name="fig7" descr="fluoranthene degrada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209925"/>
                    </a:xfrm>
                    <a:prstGeom prst="rect">
                      <a:avLst/>
                    </a:prstGeom>
                  </pic:spPr>
                </pic:pic>
              </a:graphicData>
            </a:graphic>
          </wp:inline>
        </w:drawing>
      </w:r>
    </w:p>
    <w:p>
      <w:pPr>
        <w:spacing w:after="240"/>
        <w:jc w:val="both"/>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First-order kinetic plot (ln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versus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for </w:t>
      </w:r>
      <w:r>
        <w:rPr>
          <w:rFonts w:ascii="Times New Roman" w:cs="Times New Roman" w:eastAsia="Times New Roman" w:hAnsi="Times New Roman"/>
          <w:sz w:val="20"/>
          <w:szCs w:val="20"/>
        </w:rPr>
        <w:t xml:space="preserve">fluoranthene degradation by isolates SS1, SS2 and SR3 </w:t>
      </w:r>
      <w:r>
        <w:rPr>
          <w:rFonts w:ascii="Times New Roman" w:cs="Times New Roman" w:eastAsia="Times New Roman" w:hAnsi="Times New Roman"/>
          <w:sz w:val="20"/>
          <w:szCs w:val="20"/>
          <w:shd w:fill="FFF2A8" w:color="auto" w:val="clear"/>
        </w:rPr>
        <w:t xml:space="preserve">[initial fluoranthene concentration = __ mg L</w:t>
      </w:r>
      <w:r>
        <w:rPr>
          <w:rFonts w:ascii="Times New Roman" w:cs="Times New Roman" w:eastAsia="Times New Roman" w:hAnsi="Times New Roman"/>
          <w:sz w:val="20"/>
          <w:szCs w:val="20"/>
          <w:shd w:fill="FFF2A8" w:color="auto" w:val="clear"/>
          <w:vertAlign w:val="superscript"/>
        </w:rPr>
        <w:t xml:space="preserve">−1</w:t>
      </w:r>
      <w:r>
        <w:rPr>
          <w:rFonts w:ascii="Times New Roman" w:cs="Times New Roman" w:eastAsia="Times New Roman" w:hAnsi="Times New Roman"/>
          <w:sz w:val="20"/>
          <w:szCs w:val="20"/>
          <w:shd w:fill="FFF2A8" w:color="auto" w:val="clear"/>
        </w:rPr>
        <w:t xml:space="preserve">; inoculum = __; temperature = __ °C]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is the residual PAH as recorded. Lines are least-squares fits; the equation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are shown for each isolate.</w:t>
      </w:r>
    </w:p>
    <w:p>
      <w:r>
        <w:br w:type="page"/>
      </w:r>
    </w:p>
    <w:p>
      <w:pPr>
        <w:pStyle w:val="Heading1"/>
        <w:spacing w:after="140" w:before="300"/>
      </w:pPr>
      <w:r>
        <w:rPr>
          <w:rFonts w:ascii="Times New Roman" w:cs="Times New Roman" w:eastAsia="Times New Roman" w:hAnsi="Times New Roman"/>
          <w:b/>
          <w:bCs/>
          <w:sz w:val="26"/>
          <w:szCs w:val="26"/>
        </w:rPr>
        <w:t xml:space="preserve">5. Notes for the authors (not for publication)</w:t>
      </w:r>
    </w:p>
    <w:p>
      <w:pPr>
        <w:pStyle w:val="ListParagraph"/>
        <w:numPr>
          <w:ilvl w:val="0"/>
          <w:numId w:val="2"/>
        </w:numPr>
        <w:spacing w:after="100" w:line="290"/>
      </w:pPr>
      <w:r>
        <w:rPr>
          <w:rFonts w:ascii="Times New Roman" w:cs="Times New Roman" w:eastAsia="Times New Roman" w:hAnsi="Times New Roman"/>
          <w:b/>
          <w:bCs/>
          <w:sz w:val="21"/>
          <w:szCs w:val="21"/>
        </w:rPr>
        <w:t xml:space="preserve">Check the standard deviations before submission. </w:t>
      </w:r>
      <w:r>
        <w:rPr>
          <w:rFonts w:ascii="Times New Roman" w:cs="Times New Roman" w:eastAsia="Times New Roman" w:hAnsi="Times New Roman"/>
          <w:sz w:val="21"/>
          <w:szCs w:val="21"/>
        </w:rPr>
        <w:t xml:space="preserve">In Data_1.xlsx, 11 of the 12 SD columns for the metals repeat the values of a different experiment: five pairs are identical (for example, lead nitrate–SS1 and copper chloride–SS1 both read 1.8, 1.6, 1.5, 1.3, 1.2, 1.5), and copper nitrate–SS1 has the lead chloride–SS1 values in a different order. The kinetic fits do not use SD, but any SD reported in the paper should be verified against the replicate measurements.</w:t>
      </w:r>
    </w:p>
    <w:p>
      <w:pPr>
        <w:pStyle w:val="ListParagraph"/>
        <w:numPr>
          <w:ilvl w:val="0"/>
          <w:numId w:val="2"/>
        </w:numPr>
        <w:spacing w:after="100" w:line="290"/>
      </w:pPr>
      <w:r>
        <w:rPr>
          <w:rFonts w:ascii="Times New Roman" w:cs="Times New Roman" w:eastAsia="Times New Roman" w:hAnsi="Times New Roman"/>
          <w:sz w:val="21"/>
          <w:szCs w:val="21"/>
        </w:rPr>
        <w:t xml:space="preserve">PSO describes few of these series well: only 4 of 12 reach nonlinear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 0.75 (Pb nitrate–SS2, Pb chloride–SS2, Cu nitrate–SS1, Cu chloride–SS1). The text should not claim that PSO describes the data generally.</w:t>
      </w:r>
    </w:p>
    <w:p>
      <w:pPr>
        <w:pStyle w:val="ListParagraph"/>
        <w:numPr>
          <w:ilvl w:val="0"/>
          <w:numId w:val="2"/>
        </w:numPr>
        <w:spacing w:after="100" w:line="290"/>
      </w:pPr>
      <w:r>
        <w:rPr>
          <w:rFonts w:ascii="Times New Roman" w:cs="Times New Roman" w:eastAsia="Times New Roman" w:hAnsi="Times New Roman"/>
          <w:sz w:val="21"/>
          <w:szCs w:val="21"/>
        </w:rPr>
        <w:t xml:space="preserve">Several series rise and fall sharply between consecutive samples (e.g., Pb nitrate–SR3: 27.9% at day 5, 95.8% at day 7, 42.5% at day 15, 93.3% at day 30; Cu nitrate–SR3 falls from 55.5% to 10.6% between days 7 and 15), far more than the reported SD of 0.3–2.3%. PSO cannot represent this, and reviewers will ask whether it reflects biology (uptake–release cycles) or sampling and analysis.</w:t>
      </w:r>
    </w:p>
    <w:p>
      <w:pPr>
        <w:pStyle w:val="ListParagraph"/>
        <w:numPr>
          <w:ilvl w:val="0"/>
          <w:numId w:val="2"/>
        </w:numPr>
        <w:spacing w:after="100" w:line="290"/>
      </w:pPr>
      <w:r>
        <w:rPr>
          <w:rFonts w:ascii="Times New Roman" w:cs="Times New Roman" w:eastAsia="Times New Roman" w:hAnsi="Times New Roman"/>
          <w:sz w:val="21"/>
          <w:szCs w:val="21"/>
        </w:rPr>
        <w:t xml:space="preserve">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is higher than nonlinear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in 11 of 12 series. The clearest case is Cu chloride–SS2: 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 0.987, although removal never exceeds 16% and the nonlinear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is 0.000. Reporting both, as in Table 1, pre-empts this objection.</w:t>
      </w:r>
    </w:p>
    <w:p>
      <w:pPr>
        <w:pStyle w:val="ListParagraph"/>
        <w:numPr>
          <w:ilvl w:val="0"/>
          <w:numId w:val="2"/>
        </w:numPr>
        <w:spacing w:after="100" w:line="290"/>
      </w:pPr>
      <w:r>
        <w:rPr>
          <w:rFonts w:ascii="Times New Roman" w:cs="Times New Roman" w:eastAsia="Times New Roman" w:hAnsi="Times New Roman"/>
          <w:sz w:val="21"/>
          <w:szCs w:val="21"/>
        </w:rPr>
        <w:t xml:space="preserve">PAH fits rest on three time points each (one degree of freedom), so </w:t>
      </w:r>
      <w:r>
        <w:rPr>
          <w:rFonts w:ascii="Times New Roman" w:cs="Times New Roman" w:eastAsia="Times New Roman" w:hAnsi="Times New Roman"/>
          <w:i/>
          <w:iCs/>
          <w:sz w:val="21"/>
          <w:szCs w:val="21"/>
        </w:rPr>
        <w:t xml:space="preserve">R</w:t>
      </w:r>
      <w:r>
        <w:rPr>
          <w:rFonts w:ascii="Times New Roman" w:cs="Times New Roman" w:eastAsia="Times New Roman" w:hAnsi="Times New Roman"/>
          <w:sz w:val="21"/>
          <w:szCs w:val="21"/>
          <w:vertAlign w:val="superscript"/>
        </w:rPr>
        <w:t xml:space="preserve">2</w:t>
      </w:r>
      <w:r>
        <w:rPr>
          <w:rFonts w:ascii="Times New Roman" w:cs="Times New Roman" w:eastAsia="Times New Roman" w:hAnsi="Times New Roman"/>
          <w:sz w:val="21"/>
          <w:szCs w:val="21"/>
        </w:rPr>
        <w:t xml:space="preserve"> values near 1 are weak evidence. If the initial PAH concentration is known, percentage degradation can also be reported.</w:t>
      </w:r>
    </w:p>
    <w:p>
      <w:pPr>
        <w:pStyle w:val="ListParagraph"/>
        <w:numPr>
          <w:ilvl w:val="0"/>
          <w:numId w:val="2"/>
        </w:numPr>
        <w:spacing w:after="100" w:line="290"/>
      </w:pPr>
      <w:r>
        <w:rPr>
          <w:rFonts w:ascii="Times New Roman" w:cs="Times New Roman" w:eastAsia="Times New Roman" w:hAnsi="Times New Roman"/>
          <w:sz w:val="21"/>
          <w:szCs w:val="21"/>
        </w:rPr>
        <w:t xml:space="preserve">Cr and Zn are not in Data_1.xlsx. Fluoranthene is included because it is in the file; drop it if it is outside the paper’s scope.</w:t>
      </w:r>
    </w:p>
    <w:p>
      <w:pPr>
        <w:pStyle w:val="ListParagraph"/>
        <w:numPr>
          <w:ilvl w:val="0"/>
          <w:numId w:val="2"/>
        </w:numPr>
        <w:spacing w:after="100" w:line="290"/>
      </w:pPr>
      <w:r>
        <w:rPr>
          <w:rFonts w:ascii="Times New Roman" w:cs="Times New Roman" w:eastAsia="Times New Roman" w:hAnsi="Times New Roman"/>
          <w:sz w:val="21"/>
          <w:szCs w:val="21"/>
        </w:rPr>
        <w:t xml:space="preserve">Avoid concluding that a PSO fit proves chemisorption. Fill in the highlighted conditions in the captions, renumber figures, tables and equations to match the manuscript, and use “fluorene” (the PAH), not “fluorine”.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fe31dfb541bfa05cede444b886af89da1eccde.png"/><Relationship Id="rId8" Type="http://schemas.openxmlformats.org/officeDocument/2006/relationships/image" Target="media/3e1948de9994d69eb1d9d70e0042db9c13f2e902.png"/><Relationship Id="rId9" Type="http://schemas.openxmlformats.org/officeDocument/2006/relationships/image" Target="media/8d2ed96655dd73986c6337cef7d1e76945ac65e3.png"/><Relationship Id="rId10" Type="http://schemas.openxmlformats.org/officeDocument/2006/relationships/image" Target="media/bcda0db8de383bebbcce4a76603a58f15db47a29.png"/><Relationship Id="rId11" Type="http://schemas.openxmlformats.org/officeDocument/2006/relationships/image" Target="media/3cc62e3bc6234180b73b65936c22ee206827ea17.png"/><Relationship Id="rId12" Type="http://schemas.openxmlformats.org/officeDocument/2006/relationships/image" Target="media/e3e7d3929b6d83ccdbbca702da019690707cd83a.png"/><Relationship Id="rId13" Type="http://schemas.openxmlformats.org/officeDocument/2006/relationships/image" Target="media/6c4a9ad72f85ad3374ff9c2feccc096691effa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Kinetic modelling results (Data_1)</dc:title>
  <dc:creator>Kinetic analysis</dc:creator>
  <cp:lastModifiedBy>Un-named</cp:lastModifiedBy>
  <cp:revision>1</cp:revision>
  <dcterms:created xsi:type="dcterms:W3CDTF">2026-10-04T07:53:14.559Z</dcterms:created>
  <dcterms:modified xsi:type="dcterms:W3CDTF">2026-10-04T07:53:14.559Z</dcterms:modified>
</cp:coreProperties>
</file>

<file path=docProps/custom.xml><?xml version="1.0" encoding="utf-8"?>
<Properties xmlns="http://schemas.openxmlformats.org/officeDocument/2006/custom-properties" xmlns:vt="http://schemas.openxmlformats.org/officeDocument/2006/docPropsVTypes"/>
</file>