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w:hAnsi="Aptos"/>
          <w:b/>
          <w:color w:val="0E7490"/>
          <w:sz w:val="24"/>
        </w:rPr>
        <w:t>FINSIGHT</w:t>
      </w:r>
    </w:p>
    <w:p>
      <w:pPr>
        <w:pStyle w:val="Title"/>
        <w:jc w:val="center"/>
      </w:pPr>
      <w:r>
        <w:t>Platform Documentation</w:t>
      </w:r>
    </w:p>
    <w:p>
      <w:pPr>
        <w:pStyle w:val="Subtitle"/>
        <w:jc w:val="center"/>
      </w:pPr>
      <w:r>
        <w:t>Architecture, technology stack, capabilities, operations, security, and product roadmap</w:t>
      </w:r>
    </w:p>
    <w:tbl>
      <w:tblPr>
        <w:tblW w:type="auto" w:w="0"/>
        <w:jc w:val="center"/>
        <w:tblLayout w:type="fixed"/>
        <w:tblLook w:firstColumn="1" w:firstRow="1" w:lastColumn="0" w:lastRow="0" w:noHBand="0" w:noVBand="1" w:val="04A0"/>
      </w:tblPr>
      <w:tblGrid>
        <w:gridCol w:w="8220"/>
      </w:tblGrid>
      <w:tr>
        <w:trPr>
          <w:tblHeader w:val="true"/>
        </w:trPr>
        <w:tc>
          <w:tcPr>
            <w:tcW w:type="dxa" w:w="9978"/>
            <w:shd w:fill="E6F7FB"/>
            <w:tcBorders>
              <w:top w:val="single" w:sz="6" w:color="A5D8E6"/>
              <w:left w:val="single" w:sz="6" w:color="A5D8E6"/>
              <w:bottom w:val="single" w:sz="6" w:color="A5D8E6"/>
              <w:right w:val="single" w:sz="6" w:color="A5D8E6"/>
            </w:tcBorders>
            <w:tcMar>
              <w:top w:w="180" w:type="dxa"/>
              <w:start w:w="220" w:type="dxa"/>
              <w:bottom w:w="180" w:type="dxa"/>
              <w:end w:w="220" w:type="dxa"/>
            </w:tcMar>
          </w:tcPr>
          <w:p>
            <w:pPr>
              <w:jc w:val="center"/>
            </w:pPr>
            <w:r>
              <w:rPr>
                <w:color w:val="0F2747"/>
                <w:sz w:val="21"/>
              </w:rPr>
              <w:t>FinSight is a private, multi-currency personal finance intelligence platform that combines account and transaction management with forecasting, goal tracking, student-loan optimization, deterministic financial analytics, and an optional privacy-controlled AI coach.</w:t>
            </w:r>
          </w:p>
        </w:tc>
      </w:tr>
    </w:tbl>
    <w:p/>
    <w:tbl>
      <w:tblPr>
        <w:tblW w:type="auto" w:w="0"/>
        <w:jc w:val="center"/>
        <w:tblLayout w:type="fixed"/>
        <w:tblLook w:firstColumn="1" w:firstRow="1" w:lastColumn="0" w:lastRow="0" w:noHBand="0" w:noVBand="1" w:val="04A0"/>
      </w:tblPr>
      <w:tblGrid>
        <w:gridCol w:w="4989"/>
        <w:gridCol w:w="4989"/>
      </w:tblGrid>
      <w:tr>
        <w:trPr>
          <w:tblHeader w:val="true"/>
        </w:trPr>
        <w:tc>
          <w:tcPr>
            <w:tcW w:type="dxa" w:w="2835"/>
            <w:shd w:fill="0F2747"/>
            <w:tcMar>
              <w:top w:w="110" w:type="dxa"/>
              <w:start w:w="120" w:type="dxa"/>
              <w:bottom w:w="110" w:type="dxa"/>
              <w:end w:w="120" w:type="dxa"/>
            </w:tcMar>
            <w:tcBorders>
              <w:top w:val="single" w:sz="3" w:color="E2E8F0"/>
              <w:left w:val="single" w:sz="3" w:color="E2E8F0"/>
              <w:bottom w:val="single" w:sz="3" w:color="E2E8F0"/>
              <w:right w:val="single" w:sz="3" w:color="E2E8F0"/>
            </w:tcBorders>
          </w:tcPr>
          <w:p>
            <w:pPr>
              <w:pStyle w:val="TableText"/>
            </w:pPr>
            <w:r>
              <w:rPr>
                <w:b/>
                <w:color w:val="FFFFFF"/>
              </w:rPr>
              <w:t>Document status</w:t>
            </w:r>
          </w:p>
        </w:tc>
        <w:tc>
          <w:tcPr>
            <w:tcW w:type="dxa" w:w="5102"/>
            <w:shd w:fill="F8FAFC"/>
            <w:tcMar>
              <w:top w:w="110" w:type="dxa"/>
              <w:start w:w="120" w:type="dxa"/>
              <w:bottom w:w="110" w:type="dxa"/>
              <w:end w:w="120" w:type="dxa"/>
            </w:tcMar>
            <w:tcBorders>
              <w:top w:val="single" w:sz="3" w:color="E2E8F0"/>
              <w:left w:val="single" w:sz="3" w:color="E2E8F0"/>
              <w:bottom w:val="single" w:sz="3" w:color="E2E8F0"/>
              <w:right w:val="single" w:sz="3" w:color="E2E8F0"/>
            </w:tcBorders>
          </w:tcPr>
          <w:p>
            <w:pPr>
              <w:pStyle w:val="TableText"/>
            </w:pPr>
            <w:r>
              <w:t>Current-state technical and product reference</w:t>
            </w:r>
          </w:p>
        </w:tc>
      </w:tr>
      <w:tr>
        <w:tc>
          <w:tcPr>
            <w:tcW w:type="dxa" w:w="2835"/>
            <w:shd w:fill="0F2747"/>
            <w:tcMar>
              <w:top w:w="110" w:type="dxa"/>
              <w:start w:w="120" w:type="dxa"/>
              <w:bottom w:w="110" w:type="dxa"/>
              <w:end w:w="120" w:type="dxa"/>
            </w:tcMar>
            <w:tcBorders>
              <w:top w:val="single" w:sz="3" w:color="E2E8F0"/>
              <w:left w:val="single" w:sz="3" w:color="E2E8F0"/>
              <w:bottom w:val="single" w:sz="3" w:color="E2E8F0"/>
              <w:right w:val="single" w:sz="3" w:color="E2E8F0"/>
            </w:tcBorders>
          </w:tcPr>
          <w:p>
            <w:pPr>
              <w:pStyle w:val="TableText"/>
            </w:pPr>
            <w:r>
              <w:rPr>
                <w:b/>
                <w:color w:val="FFFFFF"/>
              </w:rPr>
              <w:t>Platform snapshot</w:t>
            </w:r>
          </w:p>
        </w:tc>
        <w:tc>
          <w:tcPr>
            <w:tcW w:type="dxa" w:w="5102"/>
            <w:shd w:fill="F8FAFC"/>
            <w:tcMar>
              <w:top w:w="110" w:type="dxa"/>
              <w:start w:w="120" w:type="dxa"/>
              <w:bottom w:w="110" w:type="dxa"/>
              <w:end w:w="120" w:type="dxa"/>
            </w:tcMar>
            <w:tcBorders>
              <w:top w:val="single" w:sz="3" w:color="E2E8F0"/>
              <w:left w:val="single" w:sz="3" w:color="E2E8F0"/>
              <w:bottom w:val="single" w:sz="3" w:color="E2E8F0"/>
              <w:right w:val="single" w:sz="3" w:color="E2E8F0"/>
            </w:tcBorders>
          </w:tcPr>
          <w:p>
            <w:pPr>
              <w:pStyle w:val="TableText"/>
            </w:pPr>
            <w:r>
              <w:t>July 19, 2026</w:t>
            </w:r>
          </w:p>
        </w:tc>
      </w:tr>
      <w:tr>
        <w:tc>
          <w:tcPr>
            <w:tcW w:type="dxa" w:w="2835"/>
            <w:shd w:fill="0F2747"/>
            <w:tcMar>
              <w:top w:w="110" w:type="dxa"/>
              <w:start w:w="120" w:type="dxa"/>
              <w:bottom w:w="110" w:type="dxa"/>
              <w:end w:w="120" w:type="dxa"/>
            </w:tcMar>
            <w:tcBorders>
              <w:top w:val="single" w:sz="3" w:color="E2E8F0"/>
              <w:left w:val="single" w:sz="3" w:color="E2E8F0"/>
              <w:bottom w:val="single" w:sz="3" w:color="E2E8F0"/>
              <w:right w:val="single" w:sz="3" w:color="E2E8F0"/>
            </w:tcBorders>
          </w:tcPr>
          <w:p>
            <w:pPr>
              <w:pStyle w:val="TableText"/>
            </w:pPr>
            <w:r>
              <w:rPr>
                <w:b/>
                <w:color w:val="FFFFFF"/>
              </w:rPr>
              <w:t>Application</w:t>
            </w:r>
          </w:p>
        </w:tc>
        <w:tc>
          <w:tcPr>
            <w:tcW w:type="dxa" w:w="5102"/>
            <w:shd w:fill="F8FAFC"/>
            <w:tcMar>
              <w:top w:w="110" w:type="dxa"/>
              <w:start w:w="120" w:type="dxa"/>
              <w:bottom w:w="110" w:type="dxa"/>
              <w:end w:w="120" w:type="dxa"/>
            </w:tcMar>
            <w:tcBorders>
              <w:top w:val="single" w:sz="3" w:color="E2E8F0"/>
              <w:left w:val="single" w:sz="3" w:color="E2E8F0"/>
              <w:bottom w:val="single" w:sz="3" w:color="E2E8F0"/>
              <w:right w:val="single" w:sz="3" w:color="E2E8F0"/>
            </w:tcBorders>
          </w:tcPr>
          <w:p>
            <w:pPr>
              <w:pStyle w:val="TableText"/>
            </w:pPr>
            <w:r>
              <w:t>FinSight</w:t>
            </w:r>
          </w:p>
        </w:tc>
      </w:tr>
      <w:tr>
        <w:tc>
          <w:tcPr>
            <w:tcW w:type="dxa" w:w="2835"/>
            <w:shd w:fill="0F2747"/>
            <w:tcMar>
              <w:top w:w="110" w:type="dxa"/>
              <w:start w:w="120" w:type="dxa"/>
              <w:bottom w:w="110" w:type="dxa"/>
              <w:end w:w="120" w:type="dxa"/>
            </w:tcMar>
            <w:tcBorders>
              <w:top w:val="single" w:sz="3" w:color="E2E8F0"/>
              <w:left w:val="single" w:sz="3" w:color="E2E8F0"/>
              <w:bottom w:val="single" w:sz="3" w:color="E2E8F0"/>
              <w:right w:val="single" w:sz="3" w:color="E2E8F0"/>
            </w:tcBorders>
          </w:tcPr>
          <w:p>
            <w:pPr>
              <w:pStyle w:val="TableText"/>
            </w:pPr>
            <w:r>
              <w:rPr>
                <w:b/>
                <w:color w:val="FFFFFF"/>
              </w:rPr>
              <w:t>Audience</w:t>
            </w:r>
          </w:p>
        </w:tc>
        <w:tc>
          <w:tcPr>
            <w:tcW w:type="dxa" w:w="5102"/>
            <w:shd w:fill="F8FAFC"/>
            <w:tcMar>
              <w:top w:w="110" w:type="dxa"/>
              <w:start w:w="120" w:type="dxa"/>
              <w:bottom w:w="110" w:type="dxa"/>
              <w:end w:w="120" w:type="dxa"/>
            </w:tcMar>
            <w:tcBorders>
              <w:top w:val="single" w:sz="3" w:color="E2E8F0"/>
              <w:left w:val="single" w:sz="3" w:color="E2E8F0"/>
              <w:bottom w:val="single" w:sz="3" w:color="E2E8F0"/>
              <w:right w:val="single" w:sz="3" w:color="E2E8F0"/>
            </w:tcBorders>
          </w:tcPr>
          <w:p>
            <w:pPr>
              <w:pStyle w:val="TableText"/>
            </w:pPr>
            <w:r>
              <w:t>Developers, product owners, reviewers, operators, and future contributors</w:t>
            </w:r>
          </w:p>
        </w:tc>
      </w:tr>
      <w:tr>
        <w:tc>
          <w:tcPr>
            <w:tcW w:type="dxa" w:w="2835"/>
            <w:shd w:fill="0F2747"/>
            <w:tcMar>
              <w:top w:w="110" w:type="dxa"/>
              <w:start w:w="120" w:type="dxa"/>
              <w:bottom w:w="110" w:type="dxa"/>
              <w:end w:w="120" w:type="dxa"/>
            </w:tcMar>
            <w:tcBorders>
              <w:top w:val="single" w:sz="3" w:color="E2E8F0"/>
              <w:left w:val="single" w:sz="3" w:color="E2E8F0"/>
              <w:bottom w:val="single" w:sz="3" w:color="E2E8F0"/>
              <w:right w:val="single" w:sz="3" w:color="E2E8F0"/>
            </w:tcBorders>
          </w:tcPr>
          <w:p>
            <w:pPr>
              <w:pStyle w:val="TableText"/>
            </w:pPr>
            <w:r>
              <w:rPr>
                <w:b/>
                <w:color w:val="FFFFFF"/>
              </w:rPr>
              <w:t>Evidence basis</w:t>
            </w:r>
          </w:p>
        </w:tc>
        <w:tc>
          <w:tcPr>
            <w:tcW w:type="dxa" w:w="5102"/>
            <w:shd w:fill="F8FAFC"/>
            <w:tcMar>
              <w:top w:w="110" w:type="dxa"/>
              <w:start w:w="120" w:type="dxa"/>
              <w:bottom w:w="110" w:type="dxa"/>
              <w:end w:w="120" w:type="dxa"/>
            </w:tcMar>
            <w:tcBorders>
              <w:top w:val="single" w:sz="3" w:color="E2E8F0"/>
              <w:left w:val="single" w:sz="3" w:color="E2E8F0"/>
              <w:bottom w:val="single" w:sz="3" w:color="E2E8F0"/>
              <w:right w:val="single" w:sz="3" w:color="E2E8F0"/>
            </w:tcBorders>
          </w:tcPr>
          <w:p>
            <w:pPr>
              <w:pStyle w:val="TableText"/>
            </w:pPr>
            <w:r>
              <w:t>Supplied application code, configuration, feature models, server actions, API routes, and implementation history</w:t>
            </w:r>
          </w:p>
        </w:tc>
      </w:tr>
    </w:tbl>
    <w:p>
      <w:pPr>
        <w:pStyle w:val="SmallNote"/>
        <w:spacing w:before="400"/>
        <w:jc w:val="center"/>
      </w:pPr>
      <w:r>
        <w:t>Scope note: this document describes the implementation visible in the reviewed code snapshot. Where database migrations, deployment manifests, or provider-specific configuration were not supplied, the document clearly marks the detail as inferred or pending verification.</w:t>
      </w:r>
    </w:p>
    <w:p>
      <w:r>
        <w:br w:type="page"/>
      </w:r>
    </w:p>
    <w:p>
      <w:pPr>
        <w:pStyle w:val="Heading1"/>
      </w:pPr>
      <w:r>
        <w:t>Contents</w:t>
      </w:r>
    </w:p>
    <w:p>
      <w:pPr>
        <w:pStyle w:val="SmallNote"/>
      </w:pPr>
      <w:r>
        <w:t>The list below is a static navigation outline. Heading styles are preserved so Word or LibreOffice can generate an automatic table of contents when desired.</w:t>
      </w:r>
    </w:p>
    <w:p>
      <w:pPr>
        <w:spacing w:after="40"/>
        <w:ind w:left="198"/>
      </w:pPr>
      <w:r>
        <w:rPr>
          <w:b/>
          <w:color w:val="0F2747"/>
        </w:rPr>
        <w:t>1. Executive Summary</w:t>
      </w:r>
    </w:p>
    <w:p>
      <w:pPr>
        <w:spacing w:after="40"/>
        <w:ind w:left="198"/>
      </w:pPr>
      <w:r>
        <w:rPr>
          <w:b w:val="0"/>
          <w:color w:val="334155"/>
        </w:rPr>
        <w:t>2. Product Purpose, Users, and Scope</w:t>
      </w:r>
    </w:p>
    <w:p>
      <w:pPr>
        <w:spacing w:after="40"/>
        <w:ind w:left="198"/>
      </w:pPr>
      <w:r>
        <w:rPr>
          <w:b w:val="0"/>
          <w:color w:val="334155"/>
        </w:rPr>
        <w:t>3. Capability Map and Current Maturity</w:t>
      </w:r>
    </w:p>
    <w:p>
      <w:pPr>
        <w:spacing w:after="40"/>
        <w:ind w:left="198"/>
      </w:pPr>
      <w:r>
        <w:rPr>
          <w:b w:val="0"/>
          <w:color w:val="334155"/>
        </w:rPr>
        <w:t>4. Technology Stack</w:t>
      </w:r>
    </w:p>
    <w:p>
      <w:pPr>
        <w:spacing w:after="40"/>
        <w:ind w:left="198"/>
      </w:pPr>
      <w:r>
        <w:rPr>
          <w:b w:val="0"/>
          <w:color w:val="334155"/>
        </w:rPr>
        <w:t>5. Architecture and Request Flow</w:t>
      </w:r>
    </w:p>
    <w:p>
      <w:pPr>
        <w:spacing w:after="40"/>
        <w:ind w:left="198"/>
      </w:pPr>
      <w:r>
        <w:rPr>
          <w:b w:val="0"/>
          <w:color w:val="334155"/>
        </w:rPr>
        <w:t>6. Application Structure and Route Map</w:t>
      </w:r>
    </w:p>
    <w:p>
      <w:pPr>
        <w:spacing w:after="40"/>
        <w:ind w:left="198"/>
      </w:pPr>
      <w:r>
        <w:rPr>
          <w:b w:val="0"/>
          <w:color w:val="334155"/>
        </w:rPr>
        <w:t>7. Authentication and Authorization</w:t>
      </w:r>
    </w:p>
    <w:p>
      <w:pPr>
        <w:spacing w:after="40"/>
        <w:ind w:left="198"/>
      </w:pPr>
      <w:r>
        <w:rPr>
          <w:b w:val="0"/>
          <w:color w:val="334155"/>
        </w:rPr>
        <w:t>8. Core Product Features</w:t>
      </w:r>
    </w:p>
    <w:p>
      <w:pPr>
        <w:spacing w:after="40"/>
        <w:ind w:left="198"/>
      </w:pPr>
      <w:r>
        <w:rPr>
          <w:b w:val="0"/>
          <w:color w:val="334155"/>
        </w:rPr>
        <w:t>9. Financial Calculation Engines</w:t>
      </w:r>
    </w:p>
    <w:p>
      <w:pPr>
        <w:spacing w:after="40"/>
        <w:ind w:left="198"/>
      </w:pPr>
      <w:r>
        <w:rPr>
          <w:b w:val="0"/>
          <w:color w:val="334155"/>
        </w:rPr>
        <w:t>10. Data Model and Persistence</w:t>
      </w:r>
    </w:p>
    <w:p>
      <w:pPr>
        <w:spacing w:after="40"/>
        <w:ind w:left="198"/>
      </w:pPr>
      <w:r>
        <w:rPr>
          <w:b w:val="0"/>
          <w:color w:val="334155"/>
        </w:rPr>
        <w:t>11. Server Actions and API Routes</w:t>
      </w:r>
    </w:p>
    <w:p>
      <w:pPr>
        <w:spacing w:after="40"/>
        <w:ind w:left="198"/>
      </w:pPr>
      <w:r>
        <w:rPr>
          <w:b w:val="0"/>
          <w:color w:val="334155"/>
        </w:rPr>
        <w:t>12. Validation, Error Handling, and Cache Consistency</w:t>
      </w:r>
    </w:p>
    <w:p>
      <w:pPr>
        <w:spacing w:after="40"/>
        <w:ind w:left="198"/>
      </w:pPr>
      <w:r>
        <w:rPr>
          <w:b w:val="0"/>
          <w:color w:val="334155"/>
        </w:rPr>
        <w:t>13. Security and Privacy</w:t>
      </w:r>
    </w:p>
    <w:p>
      <w:pPr>
        <w:spacing w:after="40"/>
        <w:ind w:left="198"/>
      </w:pPr>
      <w:r>
        <w:rPr>
          <w:b w:val="0"/>
          <w:color w:val="334155"/>
        </w:rPr>
        <w:t>14. UI, Responsive Design, and Accessibility</w:t>
      </w:r>
    </w:p>
    <w:p>
      <w:pPr>
        <w:spacing w:after="40"/>
        <w:ind w:left="198"/>
      </w:pPr>
      <w:r>
        <w:rPr>
          <w:b w:val="0"/>
          <w:color w:val="334155"/>
        </w:rPr>
        <w:t>15. Developer Setup, Configuration, and Operations</w:t>
      </w:r>
    </w:p>
    <w:p>
      <w:pPr>
        <w:spacing w:after="40"/>
        <w:ind w:left="198"/>
      </w:pPr>
      <w:r>
        <w:rPr>
          <w:b w:val="0"/>
          <w:color w:val="334155"/>
        </w:rPr>
        <w:t>16. Known Limitations and Risk Register</w:t>
      </w:r>
    </w:p>
    <w:p>
      <w:pPr>
        <w:spacing w:after="40"/>
        <w:ind w:left="198"/>
      </w:pPr>
      <w:r>
        <w:rPr>
          <w:b w:val="0"/>
          <w:color w:val="334155"/>
        </w:rPr>
        <w:t>17. Release and Verification Checklist</w:t>
      </w:r>
    </w:p>
    <w:p>
      <w:pPr>
        <w:spacing w:after="40"/>
        <w:ind w:left="198"/>
      </w:pPr>
      <w:r>
        <w:rPr>
          <w:b/>
          <w:color w:val="0F2747"/>
        </w:rPr>
        <w:t>18. Work Yet to Be Done</w:t>
      </w:r>
    </w:p>
    <w:p>
      <w:pPr>
        <w:spacing w:after="40"/>
        <w:ind w:left="198"/>
      </w:pPr>
      <w:r>
        <w:rPr>
          <w:b w:val="0"/>
          <w:color w:val="334155"/>
        </w:rPr>
        <w:t>19. Appendices</w:t>
      </w:r>
    </w:p>
    <w:p>
      <w:r>
        <w:br w:type="page"/>
      </w:r>
    </w:p>
    <w:p>
      <w:pPr>
        <w:pStyle w:val="Heading1"/>
      </w:pPr>
      <w:r>
        <w:t>1. Executive Summary</w:t>
      </w:r>
    </w:p>
    <w:p>
      <w:pPr/>
      <w:r>
        <w:t>FinSight is a private personal finance intelligence platform built to consolidate accounts, transactions, recurring obligations, student loans, savings goals, forecasts, and financial guidance in one authenticated application. It supports native financial data in USD, EUR, and INR and converts values into a user-selected display currency for cross-account summaries.</w:t>
      </w:r>
    </w:p>
    <w:p>
      <w:pPr/>
      <w:r>
        <w:t>The platform is calculation-first. Account balances, cash-flow projections, amortization schedules, goal progress, health scores, spending trends, anomaly detection, and recommended actions are produced by deterministic application code. The optional OpenAI coach is an explanation and question-answering layer over aggregated results; it is not the source of record and cannot mutate financial data.</w:t>
      </w:r>
    </w:p>
    <w:tbl>
      <w:tblPr>
        <w:tblW w:type="auto" w:w="0"/>
        <w:jc w:val="center"/>
        <w:tblLook w:firstColumn="1" w:firstRow="1" w:lastColumn="0" w:lastRow="0" w:noHBand="0" w:noVBand="1" w:val="04A0"/>
      </w:tblPr>
      <w:tblGrid>
        <w:gridCol w:w="9978"/>
      </w:tblGrid>
      <w:tr>
        <w:trPr>
          <w:tblHeader w:val="true"/>
        </w:trPr>
        <w:tc>
          <w:tcPr>
            <w:tcW w:type="dxa" w:w="9978"/>
            <w:shd w:fill="FFF7ED"/>
            <w:tcMar>
              <w:top w:w="130" w:type="dxa"/>
              <w:start w:w="170" w:type="dxa"/>
              <w:bottom w:w="130" w:type="dxa"/>
              <w:end w:w="170" w:type="dxa"/>
            </w:tcMar>
            <w:tcBorders>
              <w:top w:val="single" w:sz="6" w:color="B45309"/>
              <w:left w:val="single" w:sz="18" w:color="B45309"/>
              <w:bottom w:val="single" w:sz="6" w:color="B45309"/>
              <w:right w:val="single" w:sz="6" w:color="B45309"/>
            </w:tcBorders>
          </w:tcPr>
          <w:p>
            <w:pPr>
              <w:pStyle w:val="TableText"/>
            </w:pPr>
            <w:r>
              <w:rPr>
                <w:b/>
                <w:color w:val="B45309"/>
                <w:sz w:val="18"/>
              </w:rPr>
              <w:t>Current maturity</w:t>
              <w:br/>
            </w:r>
            <w:r>
              <w:rPr>
                <w:color w:val="334155"/>
                <w:sz w:val="17"/>
              </w:rPr>
              <w:t>The major product domains are implemented and integrated. The project is not yet production-ready because automated tests, final lint/build verification, security and RLS audit, observability, deployment runbooks, and a complete regression cycle remain outstanding.</w:t>
            </w:r>
          </w:p>
        </w:tc>
      </w:tr>
    </w:tbl>
    <w:p>
      <w:pPr>
        <w:spacing w:after="0"/>
      </w:pPr>
    </w:p>
    <w:p>
      <w:pPr>
        <w:pStyle w:val="Heading2"/>
      </w:pPr>
      <w:r>
        <w:t>What the platform currently delivers</w:t>
      </w:r>
    </w:p>
    <w:p>
      <w:pPr>
        <w:pStyle w:val="ListBullet"/>
        <w:spacing w:after="50"/>
      </w:pPr>
      <w:r>
        <w:t>Authenticated, user-scoped personal finance workspace.</w:t>
      </w:r>
    </w:p>
    <w:p>
      <w:pPr>
        <w:pStyle w:val="ListBullet"/>
        <w:spacing w:after="50"/>
      </w:pPr>
      <w:r>
        <w:t>Account and transaction management with calculated balances.</w:t>
      </w:r>
    </w:p>
    <w:p>
      <w:pPr>
        <w:pStyle w:val="ListBullet"/>
        <w:spacing w:after="50"/>
      </w:pPr>
      <w:r>
        <w:t>CSV transaction import with preview, validation, duplicate detection, and audit history.</w:t>
      </w:r>
    </w:p>
    <w:p>
      <w:pPr>
        <w:pStyle w:val="ListBullet"/>
        <w:spacing w:after="50"/>
      </w:pPr>
      <w:r>
        <w:t>Multi-currency aggregation using exchange-rate snapshots.</w:t>
      </w:r>
    </w:p>
    <w:p>
      <w:pPr>
        <w:pStyle w:val="ListBullet"/>
        <w:spacing w:after="50"/>
      </w:pPr>
      <w:r>
        <w:t>Recurring cash-flow forecasting with adjustable assumptions.</w:t>
      </w:r>
    </w:p>
    <w:p>
      <w:pPr>
        <w:pStyle w:val="ListBullet"/>
        <w:spacing w:after="50"/>
      </w:pPr>
      <w:r>
        <w:t>Student-loan amortization and accelerated payoff comparison.</w:t>
      </w:r>
    </w:p>
    <w:p>
      <w:pPr>
        <w:pStyle w:val="ListBullet"/>
        <w:spacing w:after="50"/>
      </w:pPr>
      <w:r>
        <w:t>Savings, emergency fund, loan payoff, and custom goals.</w:t>
      </w:r>
    </w:p>
    <w:p>
      <w:pPr>
        <w:pStyle w:val="ListBullet"/>
        <w:spacing w:after="50"/>
      </w:pPr>
      <w:r>
        <w:t>Financial health scoring, deterministic recommendations, spending trends, anomaly detection, and loan opportunities.</w:t>
      </w:r>
    </w:p>
    <w:p>
      <w:pPr>
        <w:pStyle w:val="ListBullet"/>
        <w:spacing w:after="50"/>
      </w:pPr>
      <w:r>
        <w:t>Optional, privacy-controlled AI financial coach using aggregate read-only context.</w:t>
      </w:r>
    </w:p>
    <w:p>
      <w:pPr>
        <w:pStyle w:val="ListBullet"/>
        <w:spacing w:after="50"/>
      </w:pPr>
      <w:r>
        <w:t>Settings, data exports, transaction deletion, financial reset, and permanent account deletion.</w:t>
      </w:r>
    </w:p>
    <w:p>
      <w:pPr>
        <w:pStyle w:val="Heading1"/>
      </w:pPr>
      <w:r>
        <w:t>2. Product Purpose, Users, and Scope</w:t>
      </w:r>
    </w:p>
    <w:p>
      <w:pPr>
        <w:pStyle w:val="Heading2"/>
      </w:pPr>
      <w:r>
        <w:t>2.1 Product purpose</w:t>
      </w:r>
    </w:p>
    <w:p>
      <w:pPr/>
      <w:r>
        <w:t>FinSight is designed to turn fragmented personal financial records into an understandable operating picture. It focuses on the decisions an individual makes repeatedly: how much cash is available, where money is going, whether recurring commitments are sustainable, how debt can be reduced, whether goals are realistic, and which risks require attention.</w:t>
      </w:r>
    </w:p>
    <w:p>
      <w:pPr>
        <w:pStyle w:val="Heading2"/>
      </w:pPr>
      <w:r>
        <w:t>2.2 Questions FinSight is designed to answer</w:t>
      </w:r>
    </w:p>
    <w:p>
      <w:pPr>
        <w:pStyle w:val="ListBullet"/>
        <w:spacing w:after="50"/>
      </w:pPr>
      <w:r>
        <w:t>What is my current financial position across all active accounts?</w:t>
      </w:r>
    </w:p>
    <w:p>
      <w:pPr>
        <w:pStyle w:val="ListBullet"/>
        <w:spacing w:after="50"/>
      </w:pPr>
      <w:r>
        <w:t>How much did I earn, spend, and apply to debt?</w:t>
      </w:r>
    </w:p>
    <w:p>
      <w:pPr>
        <w:pStyle w:val="ListBullet"/>
        <w:spacing w:after="50"/>
      </w:pPr>
      <w:r>
        <w:t>How will recurring income and expenses affect my balance over the next several months?</w:t>
      </w:r>
    </w:p>
    <w:p>
      <w:pPr>
        <w:pStyle w:val="ListBullet"/>
        <w:spacing w:after="50"/>
      </w:pPr>
      <w:r>
        <w:t>When will my loan be repaid at the required payment?</w:t>
      </w:r>
    </w:p>
    <w:p>
      <w:pPr>
        <w:pStyle w:val="ListBullet"/>
        <w:spacing w:after="50"/>
      </w:pPr>
      <w:r>
        <w:t>How much interest and time can an extra payment save?</w:t>
      </w:r>
    </w:p>
    <w:p>
      <w:pPr>
        <w:pStyle w:val="ListBullet"/>
        <w:spacing w:after="50"/>
      </w:pPr>
      <w:r>
        <w:t>Are my planned goal contributions affordable?</w:t>
      </w:r>
    </w:p>
    <w:p>
      <w:pPr>
        <w:pStyle w:val="ListBullet"/>
        <w:spacing w:after="50"/>
      </w:pPr>
      <w:r>
        <w:t>Is my savings rate, emergency fund, debt burden, and cash-flow outlook healthy?</w:t>
      </w:r>
    </w:p>
    <w:p>
      <w:pPr>
        <w:pStyle w:val="ListBullet"/>
        <w:spacing w:after="50"/>
      </w:pPr>
      <w:r>
        <w:t>Which recent expenses look unusual?</w:t>
      </w:r>
    </w:p>
    <w:p>
      <w:pPr>
        <w:pStyle w:val="ListBullet"/>
        <w:spacing w:after="50"/>
      </w:pPr>
      <w:r>
        <w:t>How can these calculations be explained in plain language?</w:t>
      </w:r>
    </w:p>
    <w:p>
      <w:pPr>
        <w:pStyle w:val="Heading2"/>
      </w:pPr>
      <w:r>
        <w:t>2.3 Intended user model</w:t>
      </w:r>
    </w:p>
    <w:p>
      <w:pPr/>
      <w:r>
        <w:t>The reviewed implementation is a single-user personal finance product. Each authenticated person owns their own accounts, transactions, categories, preferences, loans, goals, imports, and AI usage records. The current code does not establish shared household workspaces, advisor permissions, organizational tenancy, or collaborative editing.</w:t>
      </w:r>
    </w:p>
    <w:p>
      <w:pPr>
        <w:pStyle w:val="Heading2"/>
      </w:pPr>
      <w:r>
        <w:t>2.4 Explicit scope boundaries</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4706"/>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Within current scope</w:t>
            </w:r>
          </w:p>
        </w:tc>
        <w:tc>
          <w:tcPr>
            <w:tcW w:type="dxa" w:w="4706"/>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Outside current verified scope</w:t>
            </w:r>
          </w:p>
        </w:tc>
      </w:tr>
      <w:tr>
        <w:tc>
          <w:tcPr>
            <w:tcW w:type="dxa" w:w="470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Manual personal finance data management</w:t>
            </w:r>
          </w:p>
        </w:tc>
        <w:tc>
          <w:tcPr>
            <w:tcW w:type="dxa" w:w="470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Automatic bank/card aggregation</w:t>
            </w:r>
          </w:p>
        </w:tc>
      </w:tr>
      <w:tr>
        <w:tc>
          <w:tcPr>
            <w:tcW w:type="dxa" w:w="470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Cash, bank, and loan account workflows</w:t>
            </w:r>
          </w:p>
        </w:tc>
        <w:tc>
          <w:tcPr>
            <w:tcW w:type="dxa" w:w="470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Investment portfolio and securities tracking</w:t>
            </w:r>
          </w:p>
        </w:tc>
      </w:tr>
      <w:tr>
        <w:tc>
          <w:tcPr>
            <w:tcW w:type="dxa" w:w="470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Income, expense, and loan-payment transactions</w:t>
            </w:r>
          </w:p>
        </w:tc>
        <w:tc>
          <w:tcPr>
            <w:tcW w:type="dxa" w:w="470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Double-entry accounting and business bookkeeping</w:t>
            </w:r>
          </w:p>
        </w:tc>
      </w:tr>
      <w:tr>
        <w:tc>
          <w:tcPr>
            <w:tcW w:type="dxa" w:w="470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Cash-flow projection and goal planning</w:t>
            </w:r>
          </w:p>
        </w:tc>
        <w:tc>
          <w:tcPr>
            <w:tcW w:type="dxa" w:w="470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Tax filing, legal advice, or regulated investment advice</w:t>
            </w:r>
          </w:p>
        </w:tc>
      </w:tr>
      <w:tr>
        <w:tc>
          <w:tcPr>
            <w:tcW w:type="dxa" w:w="470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Deterministic analytics plus optional AI explanation</w:t>
            </w:r>
          </w:p>
        </w:tc>
        <w:tc>
          <w:tcPr>
            <w:tcW w:type="dxa" w:w="470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Autonomous money movement or account control</w:t>
            </w:r>
          </w:p>
        </w:tc>
      </w:tr>
      <w:tr>
        <w:tc>
          <w:tcPr>
            <w:tcW w:type="dxa" w:w="470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Personal data export and deletion controls</w:t>
            </w:r>
          </w:p>
        </w:tc>
        <w:tc>
          <w:tcPr>
            <w:tcW w:type="dxa" w:w="470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Household collaboration and multi-user permissions</w:t>
            </w:r>
          </w:p>
        </w:tc>
      </w:tr>
    </w:tbl>
    <w:p>
      <w:pPr>
        <w:spacing w:after="0"/>
      </w:pPr>
    </w:p>
    <w:p>
      <w:pPr>
        <w:pStyle w:val="Heading1"/>
      </w:pPr>
      <w:r>
        <w:t>3. Capability Map and Current Maturity</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trPr>
        <w:tc>
          <w:tcPr>
            <w:tcW w:type="dxa" w:w="1531"/>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Domain</w:t>
            </w:r>
          </w:p>
        </w:tc>
        <w:tc>
          <w:tcPr>
            <w:tcW w:type="dxa" w:w="3402"/>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Capability</w:t>
            </w:r>
          </w:p>
        </w:tc>
        <w:tc>
          <w:tcPr>
            <w:tcW w:type="dxa" w:w="1247"/>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Status</w:t>
            </w:r>
          </w:p>
        </w:tc>
        <w:tc>
          <w:tcPr>
            <w:tcW w:type="dxa" w:w="3231"/>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Notes</w:t>
            </w:r>
          </w:p>
        </w:tc>
      </w:tr>
      <w:tr>
        <w:tc>
          <w:tcPr>
            <w:tcW w:type="dxa" w:w="15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Authentication</w:t>
            </w:r>
          </w:p>
        </w:tc>
        <w:tc>
          <w:tcPr>
            <w:tcW w:type="dxa" w:w="34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Supabase-backed protected dashboard sessions</w:t>
            </w:r>
          </w:p>
        </w:tc>
        <w:tc>
          <w:tcPr>
            <w:tcW w:type="dxa" w:w="124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Implemented</w:t>
            </w:r>
          </w:p>
        </w:tc>
        <w:tc>
          <w:tcPr>
            <w:tcW w:type="dxa" w:w="32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Server layout redirects unauthenticated requests to login.</w:t>
            </w:r>
          </w:p>
        </w:tc>
      </w:tr>
      <w:tr>
        <w:tc>
          <w:tcPr>
            <w:tcW w:type="dxa" w:w="15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Accounts</w:t>
            </w:r>
          </w:p>
        </w:tc>
        <w:tc>
          <w:tcPr>
            <w:tcW w:type="dxa" w:w="340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Create, update, activate/deactivate, conditional delete, calculated balances</w:t>
            </w:r>
          </w:p>
        </w:tc>
        <w:tc>
          <w:tcPr>
            <w:tcW w:type="dxa" w:w="124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Implemented</w:t>
            </w:r>
          </w:p>
        </w:tc>
        <w:tc>
          <w:tcPr>
            <w:tcW w:type="dxa" w:w="32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Deletion blocked when transactions reference the account.</w:t>
            </w:r>
          </w:p>
        </w:tc>
      </w:tr>
      <w:tr>
        <w:tc>
          <w:tcPr>
            <w:tcW w:type="dxa" w:w="15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Transactions</w:t>
            </w:r>
          </w:p>
        </w:tc>
        <w:tc>
          <w:tcPr>
            <w:tcW w:type="dxa" w:w="34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Income, expense, loan payment, categories, recurrence, CRUD</w:t>
            </w:r>
          </w:p>
        </w:tc>
        <w:tc>
          <w:tcPr>
            <w:tcW w:type="dxa" w:w="124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Implemented</w:t>
            </w:r>
          </w:p>
        </w:tc>
        <w:tc>
          <w:tcPr>
            <w:tcW w:type="dxa" w:w="32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Cross-currency loan payment is not supported.</w:t>
            </w:r>
          </w:p>
        </w:tc>
      </w:tr>
      <w:tr>
        <w:tc>
          <w:tcPr>
            <w:tcW w:type="dxa" w:w="15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CSV import</w:t>
            </w:r>
          </w:p>
        </w:tc>
        <w:tc>
          <w:tcPr>
            <w:tcW w:type="dxa" w:w="340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Preview, server validation, category fallback, SHA-256 duplicate detection, history</w:t>
            </w:r>
          </w:p>
        </w:tc>
        <w:tc>
          <w:tcPr>
            <w:tcW w:type="dxa" w:w="124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Implemented</w:t>
            </w:r>
          </w:p>
        </w:tc>
        <w:tc>
          <w:tcPr>
            <w:tcW w:type="dxa" w:w="32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5 MB and 500-row limits per request.</w:t>
            </w:r>
          </w:p>
        </w:tc>
      </w:tr>
      <w:tr>
        <w:tc>
          <w:tcPr>
            <w:tcW w:type="dxa" w:w="15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Currency</w:t>
            </w:r>
          </w:p>
        </w:tc>
        <w:tc>
          <w:tcPr>
            <w:tcW w:type="dxa" w:w="34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USD/EUR/INR, display currency, converted totals, FX effective date</w:t>
            </w:r>
          </w:p>
        </w:tc>
        <w:tc>
          <w:tcPr>
            <w:tcW w:type="dxa" w:w="124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Implemented</w:t>
            </w:r>
          </w:p>
        </w:tc>
        <w:tc>
          <w:tcPr>
            <w:tcW w:type="dxa" w:w="32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Future FX rates are not forecast.</w:t>
            </w:r>
          </w:p>
        </w:tc>
      </w:tr>
      <w:tr>
        <w:tc>
          <w:tcPr>
            <w:tcW w:type="dxa" w:w="15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Projections</w:t>
            </w:r>
          </w:p>
        </w:tc>
        <w:tc>
          <w:tcPr>
            <w:tcW w:type="dxa" w:w="340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Recurring forecast, growth/inflation assumptions, chart and table</w:t>
            </w:r>
          </w:p>
        </w:tc>
        <w:tc>
          <w:tcPr>
            <w:tcW w:type="dxa" w:w="124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Implemented</w:t>
            </w:r>
          </w:p>
        </w:tc>
        <w:tc>
          <w:tcPr>
            <w:tcW w:type="dxa" w:w="32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Scenario results are calculated client-side from server-prepared data.</w:t>
            </w:r>
          </w:p>
        </w:tc>
      </w:tr>
      <w:tr>
        <w:tc>
          <w:tcPr>
            <w:tcW w:type="dxa" w:w="15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Loans</w:t>
            </w:r>
          </w:p>
        </w:tc>
        <w:tc>
          <w:tcPr>
            <w:tcW w:type="dxa" w:w="34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Profile, amortization, extra-payment analysis, chart and schedule</w:t>
            </w:r>
          </w:p>
        </w:tc>
        <w:tc>
          <w:tcPr>
            <w:tcW w:type="dxa" w:w="124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Implemented</w:t>
            </w:r>
          </w:p>
        </w:tc>
        <w:tc>
          <w:tcPr>
            <w:tcW w:type="dxa" w:w="32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Lender-specific daily interest and fees are approximations.</w:t>
            </w:r>
          </w:p>
        </w:tc>
      </w:tr>
      <w:tr>
        <w:tc>
          <w:tcPr>
            <w:tcW w:type="dxa" w:w="15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Goals</w:t>
            </w:r>
          </w:p>
        </w:tc>
        <w:tc>
          <w:tcPr>
            <w:tcW w:type="dxa" w:w="340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Four goal types, manual/linked progress, portfolio allocation view</w:t>
            </w:r>
          </w:p>
        </w:tc>
        <w:tc>
          <w:tcPr>
            <w:tcW w:type="dxa" w:w="124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Implemented</w:t>
            </w:r>
          </w:p>
        </w:tc>
        <w:tc>
          <w:tcPr>
            <w:tcW w:type="dxa" w:w="32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History of individual contributions is not yet modeled.</w:t>
            </w:r>
          </w:p>
        </w:tc>
      </w:tr>
      <w:tr>
        <w:tc>
          <w:tcPr>
            <w:tcW w:type="dxa" w:w="15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Insights</w:t>
            </w:r>
          </w:p>
        </w:tc>
        <w:tc>
          <w:tcPr>
            <w:tcW w:type="dxa" w:w="34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Health score, recommendations, trend, anomalies, loan opportunity</w:t>
            </w:r>
          </w:p>
        </w:tc>
        <w:tc>
          <w:tcPr>
            <w:tcW w:type="dxa" w:w="124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Implemented</w:t>
            </w:r>
          </w:p>
        </w:tc>
        <w:tc>
          <w:tcPr>
            <w:tcW w:type="dxa" w:w="32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Thresholds are deterministic application rules.</w:t>
            </w:r>
          </w:p>
        </w:tc>
      </w:tr>
      <w:tr>
        <w:tc>
          <w:tcPr>
            <w:tcW w:type="dxa" w:w="15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AI coach</w:t>
            </w:r>
          </w:p>
        </w:tc>
        <w:tc>
          <w:tcPr>
            <w:tcW w:type="dxa" w:w="340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OpenAI Q&amp;A on aggregate metrics</w:t>
            </w:r>
          </w:p>
        </w:tc>
        <w:tc>
          <w:tcPr>
            <w:tcW w:type="dxa" w:w="124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Conditional</w:t>
            </w:r>
          </w:p>
        </w:tc>
        <w:tc>
          <w:tcPr>
            <w:tcW w:type="dxa" w:w="32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Requires opt-in and server configuration.</w:t>
            </w:r>
          </w:p>
        </w:tc>
      </w:tr>
      <w:tr>
        <w:tc>
          <w:tcPr>
            <w:tcW w:type="dxa" w:w="15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Settings</w:t>
            </w:r>
          </w:p>
        </w:tc>
        <w:tc>
          <w:tcPr>
            <w:tcW w:type="dxa" w:w="34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Profile, currency, timezone, date format, AI controls, usage</w:t>
            </w:r>
          </w:p>
        </w:tc>
        <w:tc>
          <w:tcPr>
            <w:tcW w:type="dxa" w:w="124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Implemented</w:t>
            </w:r>
          </w:p>
        </w:tc>
        <w:tc>
          <w:tcPr>
            <w:tcW w:type="dxa" w:w="32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Supported choices are currently finite lists.</w:t>
            </w:r>
          </w:p>
        </w:tc>
      </w:tr>
      <w:tr>
        <w:tc>
          <w:tcPr>
            <w:tcW w:type="dxa" w:w="15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Portability</w:t>
            </w:r>
          </w:p>
        </w:tc>
        <w:tc>
          <w:tcPr>
            <w:tcW w:type="dxa" w:w="340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Full JSON and transaction CSV exports</w:t>
            </w:r>
          </w:p>
        </w:tc>
        <w:tc>
          <w:tcPr>
            <w:tcW w:type="dxa" w:w="124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Implemented</w:t>
            </w:r>
          </w:p>
        </w:tc>
        <w:tc>
          <w:tcPr>
            <w:tcW w:type="dxa" w:w="32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Export route implementation should be regression-tested.</w:t>
            </w:r>
          </w:p>
        </w:tc>
      </w:tr>
      <w:tr>
        <w:tc>
          <w:tcPr>
            <w:tcW w:type="dxa" w:w="15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Deletion</w:t>
            </w:r>
          </w:p>
        </w:tc>
        <w:tc>
          <w:tcPr>
            <w:tcW w:type="dxa" w:w="34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Transactions, financial reset, permanent account deletion</w:t>
            </w:r>
          </w:p>
        </w:tc>
        <w:tc>
          <w:tcPr>
            <w:tcW w:type="dxa" w:w="124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Implemented</w:t>
            </w:r>
          </w:p>
        </w:tc>
        <w:tc>
          <w:tcPr>
            <w:tcW w:type="dxa" w:w="32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Multi-table reset is sequential, not verified atomic.</w:t>
            </w:r>
          </w:p>
        </w:tc>
      </w:tr>
      <w:tr>
        <w:tc>
          <w:tcPr>
            <w:tcW w:type="dxa" w:w="15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Automated tests</w:t>
            </w:r>
          </w:p>
        </w:tc>
        <w:tc>
          <w:tcPr>
            <w:tcW w:type="dxa" w:w="340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Unit, integration, E2E</w:t>
            </w:r>
          </w:p>
        </w:tc>
        <w:tc>
          <w:tcPr>
            <w:tcW w:type="dxa" w:w="124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Not implemented</w:t>
            </w:r>
          </w:p>
        </w:tc>
        <w:tc>
          <w:tcPr>
            <w:tcW w:type="dxa" w:w="323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No test script exists in the reviewed package configuration.</w:t>
            </w:r>
          </w:p>
        </w:tc>
      </w:tr>
      <w:tr>
        <w:tc>
          <w:tcPr>
            <w:tcW w:type="dxa" w:w="15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Production operations</w:t>
            </w:r>
          </w:p>
        </w:tc>
        <w:tc>
          <w:tcPr>
            <w:tcW w:type="dxa" w:w="34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CI/CD, monitoring, backups, incident response</w:t>
            </w:r>
          </w:p>
        </w:tc>
        <w:tc>
          <w:tcPr>
            <w:tcW w:type="dxa" w:w="124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Not verified</w:t>
            </w:r>
          </w:p>
        </w:tc>
        <w:tc>
          <w:tcPr>
            <w:tcW w:type="dxa" w:w="323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No complete deployment/operations bundle was supplied.</w:t>
            </w:r>
          </w:p>
        </w:tc>
      </w:tr>
    </w:tbl>
    <w:p>
      <w:pPr>
        <w:spacing w:after="0"/>
      </w:pPr>
    </w:p>
    <w:p>
      <w:pPr>
        <w:pStyle w:val="Heading1"/>
      </w:pPr>
      <w:r>
        <w:t>4. Technology Stack</w:t>
      </w:r>
    </w:p>
    <w:p>
      <w:pPr>
        <w:pStyle w:val="Heading2"/>
      </w:pPr>
      <w:r>
        <w:t>4.1 Runtime and framework</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26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Technology</w:t>
            </w:r>
          </w:p>
        </w:tc>
        <w:tc>
          <w:tcPr>
            <w:tcW w:type="dxa" w:w="1757"/>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Reviewed version</w:t>
            </w:r>
          </w:p>
        </w:tc>
        <w:tc>
          <w:tcPr>
            <w:tcW w:type="dxa" w:w="5386"/>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Role</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Next.js</w:t>
            </w:r>
          </w:p>
        </w:tc>
        <w:tc>
          <w:tcPr>
            <w:tcW w:type="dxa" w:w="175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16.2.10</w:t>
            </w:r>
          </w:p>
        </w:tc>
        <w:tc>
          <w:tcPr>
            <w:tcW w:type="dxa" w:w="538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App Router, server components, layouts, server actions, route handlers, build/runtime.</w:t>
            </w:r>
          </w:p>
        </w:tc>
      </w:tr>
      <w:tr>
        <w:tc>
          <w:tcPr>
            <w:tcW w:type="dxa" w:w="226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React / React DOM</w:t>
            </w:r>
          </w:p>
        </w:tc>
        <w:tc>
          <w:tcPr>
            <w:tcW w:type="dxa" w:w="175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19.2.4</w:t>
            </w:r>
          </w:p>
        </w:tc>
        <w:tc>
          <w:tcPr>
            <w:tcW w:type="dxa" w:w="538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Interactive client components, action state, transitions, forms, responsive UI.</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TypeScript</w:t>
            </w:r>
          </w:p>
        </w:tc>
        <w:tc>
          <w:tcPr>
            <w:tcW w:type="dxa" w:w="175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5.x</w:t>
            </w:r>
          </w:p>
        </w:tc>
        <w:tc>
          <w:tcPr>
            <w:tcW w:type="dxa" w:w="538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Static types for domain models, actions, components, and APIs.</w:t>
            </w:r>
          </w:p>
        </w:tc>
      </w:tr>
      <w:tr>
        <w:tc>
          <w:tcPr>
            <w:tcW w:type="dxa" w:w="226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Node.js runtime</w:t>
            </w:r>
          </w:p>
        </w:tc>
        <w:tc>
          <w:tcPr>
            <w:tcW w:type="dxa" w:w="175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Project/runtime dependent</w:t>
            </w:r>
          </w:p>
        </w:tc>
        <w:tc>
          <w:tcPr>
            <w:tcW w:type="dxa" w:w="538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Required by route handlers that use Node APIs such as crypto hashing.</w:t>
            </w:r>
          </w:p>
        </w:tc>
      </w:tr>
    </w:tbl>
    <w:p>
      <w:pPr>
        <w:spacing w:after="0"/>
      </w:pPr>
    </w:p>
    <w:p>
      <w:pPr>
        <w:pStyle w:val="Heading2"/>
      </w:pPr>
      <w:r>
        <w:t>4.2 UI and design system</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324"/>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Library</w:t>
            </w:r>
          </w:p>
        </w:tc>
        <w:tc>
          <w:tcPr>
            <w:tcW w:type="dxa" w:w="1984"/>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Version</w:t>
            </w:r>
          </w:p>
        </w:tc>
        <w:tc>
          <w:tcPr>
            <w:tcW w:type="dxa" w:w="5102"/>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Purpose</w:t>
            </w:r>
          </w:p>
        </w:tc>
      </w:tr>
      <w:tr>
        <w:tc>
          <w:tcPr>
            <w:tcW w:type="dxa" w:w="232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Tailwind CSS</w:t>
            </w:r>
          </w:p>
        </w:tc>
        <w:tc>
          <w:tcPr>
            <w:tcW w:type="dxa" w:w="198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4.x</w:t>
            </w:r>
          </w:p>
        </w:tc>
        <w:tc>
          <w:tcPr>
            <w:tcW w:type="dxa" w:w="51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Design tokens, responsive layout, focus states, spacing, typography, visual semantics.</w:t>
            </w:r>
          </w:p>
        </w:tc>
      </w:tr>
      <w:tr>
        <w:tc>
          <w:tcPr>
            <w:tcW w:type="dxa" w:w="232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shadcn</w:t>
            </w:r>
          </w:p>
        </w:tc>
        <w:tc>
          <w:tcPr>
            <w:tcW w:type="dxa" w:w="198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4.13.1</w:t>
            </w:r>
          </w:p>
        </w:tc>
        <w:tc>
          <w:tcPr>
            <w:tcW w:type="dxa" w:w="510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Project-owned component patterns and shared UI primitives.</w:t>
            </w:r>
          </w:p>
        </w:tc>
      </w:tr>
      <w:tr>
        <w:tc>
          <w:tcPr>
            <w:tcW w:type="dxa" w:w="232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Base UI React</w:t>
            </w:r>
          </w:p>
        </w:tc>
        <w:tc>
          <w:tcPr>
            <w:tcW w:type="dxa" w:w="198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1.6.0</w:t>
            </w:r>
          </w:p>
        </w:tc>
        <w:tc>
          <w:tcPr>
            <w:tcW w:type="dxa" w:w="51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Accessible unstyled primitives underlying dialogs, sheets, selects, and overlays.</w:t>
            </w:r>
          </w:p>
        </w:tc>
      </w:tr>
      <w:tr>
        <w:tc>
          <w:tcPr>
            <w:tcW w:type="dxa" w:w="232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Lucide React</w:t>
            </w:r>
          </w:p>
        </w:tc>
        <w:tc>
          <w:tcPr>
            <w:tcW w:type="dxa" w:w="198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1.25.0</w:t>
            </w:r>
          </w:p>
        </w:tc>
        <w:tc>
          <w:tcPr>
            <w:tcW w:type="dxa" w:w="510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Consistent iconography.</w:t>
            </w:r>
          </w:p>
        </w:tc>
      </w:tr>
      <w:tr>
        <w:tc>
          <w:tcPr>
            <w:tcW w:type="dxa" w:w="232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Recharts</w:t>
            </w:r>
          </w:p>
        </w:tc>
        <w:tc>
          <w:tcPr>
            <w:tcW w:type="dxa" w:w="198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3.8.0</w:t>
            </w:r>
          </w:p>
        </w:tc>
        <w:tc>
          <w:tcPr>
            <w:tcW w:type="dxa" w:w="51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Projection and loan payoff charts.</w:t>
            </w:r>
          </w:p>
        </w:tc>
      </w:tr>
      <w:tr>
        <w:tc>
          <w:tcPr>
            <w:tcW w:type="dxa" w:w="232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Sonner</w:t>
            </w:r>
          </w:p>
        </w:tc>
        <w:tc>
          <w:tcPr>
            <w:tcW w:type="dxa" w:w="198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Added during polish pass</w:t>
            </w:r>
          </w:p>
        </w:tc>
        <w:tc>
          <w:tcPr>
            <w:tcW w:type="dxa" w:w="510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Global success/error toast notifications.</w:t>
            </w:r>
          </w:p>
        </w:tc>
      </w:tr>
      <w:tr>
        <w:tc>
          <w:tcPr>
            <w:tcW w:type="dxa" w:w="232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CVA / clsx / tailwind-merge</w:t>
            </w:r>
          </w:p>
        </w:tc>
        <w:tc>
          <w:tcPr>
            <w:tcW w:type="dxa" w:w="198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0.7.1 / 2.1.1 / 3.6.0</w:t>
            </w:r>
          </w:p>
        </w:tc>
        <w:tc>
          <w:tcPr>
            <w:tcW w:type="dxa" w:w="51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Variant and class composition.</w:t>
            </w:r>
          </w:p>
        </w:tc>
      </w:tr>
    </w:tbl>
    <w:p>
      <w:pPr>
        <w:spacing w:after="0"/>
      </w:pPr>
    </w:p>
    <w:p>
      <w:pPr>
        <w:pStyle w:val="Heading2"/>
      </w:pPr>
      <w:r>
        <w:t>4.3 Data, validation, and forms</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494"/>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Technology</w:t>
            </w:r>
          </w:p>
        </w:tc>
        <w:tc>
          <w:tcPr>
            <w:tcW w:type="dxa" w:w="1984"/>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Version</w:t>
            </w:r>
          </w:p>
        </w:tc>
        <w:tc>
          <w:tcPr>
            <w:tcW w:type="dxa" w:w="4932"/>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Purpose</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Supabase JS</w:t>
            </w:r>
          </w:p>
        </w:tc>
        <w:tc>
          <w:tcPr>
            <w:tcW w:type="dxa" w:w="198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2.110.7</w:t>
            </w:r>
          </w:p>
        </w:tc>
        <w:tc>
          <w:tcPr>
            <w:tcW w:type="dxa" w:w="493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Auth and Postgres access.</w:t>
            </w:r>
          </w:p>
        </w:tc>
      </w:tr>
      <w:tr>
        <w:tc>
          <w:tcPr>
            <w:tcW w:type="dxa" w:w="249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Supabase SSR</w:t>
            </w:r>
          </w:p>
        </w:tc>
        <w:tc>
          <w:tcPr>
            <w:tcW w:type="dxa" w:w="198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0.12.3</w:t>
            </w:r>
          </w:p>
        </w:tc>
        <w:tc>
          <w:tcPr>
            <w:tcW w:type="dxa" w:w="493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Cookie-aware browser/server clients for Next.js.</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Zod</w:t>
            </w:r>
          </w:p>
        </w:tc>
        <w:tc>
          <w:tcPr>
            <w:tcW w:type="dxa" w:w="198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4.4.3</w:t>
            </w:r>
          </w:p>
        </w:tc>
        <w:tc>
          <w:tcPr>
            <w:tcW w:type="dxa" w:w="493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Request, UUID, form, and business-rule validation.</w:t>
            </w:r>
          </w:p>
        </w:tc>
      </w:tr>
      <w:tr>
        <w:tc>
          <w:tcPr>
            <w:tcW w:type="dxa" w:w="249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React Hook Form</w:t>
            </w:r>
          </w:p>
        </w:tc>
        <w:tc>
          <w:tcPr>
            <w:tcW w:type="dxa" w:w="198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7.81.0</w:t>
            </w:r>
          </w:p>
        </w:tc>
        <w:tc>
          <w:tcPr>
            <w:tcW w:type="dxa" w:w="493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Form-state tooling where used.</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Hook Form resolvers</w:t>
            </w:r>
          </w:p>
        </w:tc>
        <w:tc>
          <w:tcPr>
            <w:tcW w:type="dxa" w:w="198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5.4.0</w:t>
            </w:r>
          </w:p>
        </w:tc>
        <w:tc>
          <w:tcPr>
            <w:tcW w:type="dxa" w:w="493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Schema integration for form validation.</w:t>
            </w:r>
          </w:p>
        </w:tc>
      </w:tr>
      <w:tr>
        <w:tc>
          <w:tcPr>
            <w:tcW w:type="dxa" w:w="249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Papa Parse</w:t>
            </w:r>
          </w:p>
        </w:tc>
        <w:tc>
          <w:tcPr>
            <w:tcW w:type="dxa" w:w="198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5.5.4</w:t>
            </w:r>
          </w:p>
        </w:tc>
        <w:tc>
          <w:tcPr>
            <w:tcW w:type="dxa" w:w="493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CSV parsing and normalization in the import workflow.</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date-fns / React Day Picker</w:t>
            </w:r>
          </w:p>
        </w:tc>
        <w:tc>
          <w:tcPr>
            <w:tcW w:type="dxa" w:w="198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4.4.0 / 10.0.1</w:t>
            </w:r>
          </w:p>
        </w:tc>
        <w:tc>
          <w:tcPr>
            <w:tcW w:type="dxa" w:w="493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Date calculations and calendar UI.</w:t>
            </w:r>
          </w:p>
        </w:tc>
      </w:tr>
    </w:tbl>
    <w:p>
      <w:pPr>
        <w:spacing w:after="0"/>
      </w:pPr>
    </w:p>
    <w:p>
      <w:pPr>
        <w:pStyle w:val="Heading2"/>
      </w:pPr>
      <w:r>
        <w:t>4.4 AI and developer tooling</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494"/>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Technology</w:t>
            </w:r>
          </w:p>
        </w:tc>
        <w:tc>
          <w:tcPr>
            <w:tcW w:type="dxa" w:w="1984"/>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Version</w:t>
            </w:r>
          </w:p>
        </w:tc>
        <w:tc>
          <w:tcPr>
            <w:tcW w:type="dxa" w:w="4932"/>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Purpose</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OpenAI SDK</w:t>
            </w:r>
          </w:p>
        </w:tc>
        <w:tc>
          <w:tcPr>
            <w:tcW w:type="dxa" w:w="198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6.48.0</w:t>
            </w:r>
          </w:p>
        </w:tc>
        <w:tc>
          <w:tcPr>
            <w:tcW w:type="dxa" w:w="493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Server-side AI coach requests.</w:t>
            </w:r>
          </w:p>
        </w:tc>
      </w:tr>
      <w:tr>
        <w:tc>
          <w:tcPr>
            <w:tcW w:type="dxa" w:w="249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ESLint</w:t>
            </w:r>
          </w:p>
        </w:tc>
        <w:tc>
          <w:tcPr>
            <w:tcW w:type="dxa" w:w="198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9.x</w:t>
            </w:r>
          </w:p>
        </w:tc>
        <w:tc>
          <w:tcPr>
            <w:tcW w:type="dxa" w:w="493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Static code quality and React/Next lint rules.</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eslint-config-next</w:t>
            </w:r>
          </w:p>
        </w:tc>
        <w:tc>
          <w:tcPr>
            <w:tcW w:type="dxa" w:w="198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16.2.10</w:t>
            </w:r>
          </w:p>
        </w:tc>
        <w:tc>
          <w:tcPr>
            <w:tcW w:type="dxa" w:w="493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Next.js lint configuration.</w:t>
            </w:r>
          </w:p>
        </w:tc>
      </w:tr>
      <w:tr>
        <w:tc>
          <w:tcPr>
            <w:tcW w:type="dxa" w:w="249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npm scripts</w:t>
            </w:r>
          </w:p>
        </w:tc>
        <w:tc>
          <w:tcPr>
            <w:tcW w:type="dxa" w:w="198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dev / build / start / lint</w:t>
            </w:r>
          </w:p>
        </w:tc>
        <w:tc>
          <w:tcPr>
            <w:tcW w:type="dxa" w:w="493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Local development and release verification.</w:t>
            </w:r>
          </w:p>
        </w:tc>
      </w:tr>
    </w:tbl>
    <w:p>
      <w:pPr>
        <w:spacing w:after="0"/>
      </w:pPr>
    </w:p>
    <w:tbl>
      <w:tblPr>
        <w:tblW w:type="auto" w:w="0"/>
        <w:jc w:val="center"/>
        <w:tblLook w:firstColumn="1" w:firstRow="1" w:lastColumn="0" w:lastRow="0" w:noHBand="0" w:noVBand="1" w:val="04A0"/>
      </w:tblPr>
      <w:tblGrid>
        <w:gridCol w:w="9978"/>
      </w:tblGrid>
      <w:tr>
        <w:trPr>
          <w:tblHeader w:val="true"/>
        </w:trPr>
        <w:tc>
          <w:tcPr>
            <w:tcW w:type="dxa" w:w="9978"/>
            <w:shd w:fill="E6F7FB"/>
            <w:tcMar>
              <w:top w:w="130" w:type="dxa"/>
              <w:start w:w="170" w:type="dxa"/>
              <w:bottom w:w="130" w:type="dxa"/>
              <w:end w:w="170" w:type="dxa"/>
            </w:tcMar>
            <w:tcBorders>
              <w:top w:val="single" w:sz="6" w:color="0E7490"/>
              <w:left w:val="single" w:sz="18" w:color="0E7490"/>
              <w:bottom w:val="single" w:sz="6" w:color="0E7490"/>
              <w:right w:val="single" w:sz="6" w:color="0E7490"/>
            </w:tcBorders>
          </w:tcPr>
          <w:p>
            <w:pPr>
              <w:pStyle w:val="TableText"/>
            </w:pPr>
            <w:r>
              <w:rPr>
                <w:b/>
                <w:color w:val="0E7490"/>
                <w:sz w:val="18"/>
              </w:rPr>
              <w:t>Font and presentation</w:t>
              <w:br/>
            </w:r>
            <w:r>
              <w:rPr>
                <w:color w:val="334155"/>
                <w:sz w:val="17"/>
              </w:rPr>
              <w:t>The current polish direction uses an Apple/system font stack rather than a downloaded web font, reducing font-loading overhead and aligning the interface with native desktop and mobile typography.</w:t>
            </w:r>
          </w:p>
        </w:tc>
      </w:tr>
    </w:tbl>
    <w:p>
      <w:pPr>
        <w:spacing w:after="0"/>
      </w:pPr>
    </w:p>
    <w:p>
      <w:pPr>
        <w:pStyle w:val="Heading1"/>
      </w:pPr>
      <w:r>
        <w:t>5. Architecture and Request Flow</w:t>
      </w:r>
    </w:p>
    <w:p>
      <w:pPr>
        <w:pStyle w:val="Heading2"/>
      </w:pPr>
      <w:r>
        <w:t>Architecture at a glance</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trPr>
        <w:tc>
          <w:tcPr>
            <w:tcW w:type="dxa" w:w="1899"/>
            <w:shd w:fill="E6F7FB"/>
            <w:tcMar>
              <w:top w:w="130" w:type="dxa"/>
              <w:start w:w="100" w:type="dxa"/>
              <w:bottom w:w="130" w:type="dxa"/>
              <w:end w:w="100" w:type="dxa"/>
            </w:tcMar>
            <w:tcBorders>
              <w:top w:val="single" w:sz="7" w:color="0E7490"/>
              <w:left w:val="single" w:sz="7" w:color="0E7490"/>
              <w:bottom w:val="single" w:sz="7" w:color="0E7490"/>
              <w:right w:val="single" w:sz="7" w:color="0E7490"/>
            </w:tcBorders>
          </w:tcPr>
          <w:p>
            <w:pPr>
              <w:pStyle w:val="TableText"/>
              <w:jc w:val="center"/>
            </w:pPr>
            <w:r>
              <w:rPr>
                <w:b/>
                <w:color w:val="0E7490"/>
                <w:sz w:val="17"/>
              </w:rPr>
              <w:t>Browser</w:t>
              <w:br/>
            </w:r>
            <w:r>
              <w:rPr>
                <w:color w:val="334155"/>
                <w:sz w:val="14"/>
              </w:rPr>
              <w:t>React client components, forms, charts, responsive navigation</w:t>
            </w:r>
          </w:p>
        </w:tc>
        <w:tc>
          <w:tcPr>
            <w:tcW w:type="dxa" w:w="1899"/>
            <w:shd w:fill="EEF2FF"/>
            <w:tcMar>
              <w:top w:w="130" w:type="dxa"/>
              <w:start w:w="100" w:type="dxa"/>
              <w:bottom w:w="130" w:type="dxa"/>
              <w:end w:w="100" w:type="dxa"/>
            </w:tcMar>
            <w:tcBorders>
              <w:top w:val="single" w:sz="7" w:color="6366F1"/>
              <w:left w:val="single" w:sz="7" w:color="6366F1"/>
              <w:bottom w:val="single" w:sz="7" w:color="6366F1"/>
              <w:right w:val="single" w:sz="7" w:color="6366F1"/>
            </w:tcBorders>
          </w:tcPr>
          <w:p>
            <w:pPr>
              <w:pStyle w:val="TableText"/>
              <w:jc w:val="center"/>
            </w:pPr>
            <w:r>
              <w:rPr>
                <w:b/>
                <w:color w:val="6366F1"/>
                <w:sz w:val="17"/>
              </w:rPr>
              <w:t>Next.js</w:t>
              <w:br/>
            </w:r>
            <w:r>
              <w:rPr>
                <w:color w:val="334155"/>
                <w:sz w:val="14"/>
              </w:rPr>
              <w:t>App Router pages, layouts, server components, server actions, API routes</w:t>
            </w:r>
          </w:p>
        </w:tc>
        <w:tc>
          <w:tcPr>
            <w:tcW w:type="dxa" w:w="1899"/>
            <w:shd w:fill="F0FDF4"/>
            <w:tcMar>
              <w:top w:w="130" w:type="dxa"/>
              <w:start w:w="100" w:type="dxa"/>
              <w:bottom w:w="130" w:type="dxa"/>
              <w:end w:w="100" w:type="dxa"/>
            </w:tcMar>
            <w:tcBorders>
              <w:top w:val="single" w:sz="7" w:color="047857"/>
              <w:left w:val="single" w:sz="7" w:color="047857"/>
              <w:bottom w:val="single" w:sz="7" w:color="047857"/>
              <w:right w:val="single" w:sz="7" w:color="047857"/>
            </w:tcBorders>
          </w:tcPr>
          <w:p>
            <w:pPr>
              <w:pStyle w:val="TableText"/>
              <w:jc w:val="center"/>
            </w:pPr>
            <w:r>
              <w:rPr>
                <w:b/>
                <w:color w:val="047857"/>
                <w:sz w:val="17"/>
              </w:rPr>
              <w:t>Domain layer</w:t>
              <w:br/>
            </w:r>
            <w:r>
              <w:rPr>
                <w:color w:val="334155"/>
                <w:sz w:val="14"/>
              </w:rPr>
              <w:t>Validation, balance calculation, forecasting, amortization, goals, insights</w:t>
            </w:r>
          </w:p>
        </w:tc>
        <w:tc>
          <w:tcPr>
            <w:tcW w:type="dxa" w:w="1899"/>
            <w:shd w:fill="FFF7ED"/>
            <w:tcMar>
              <w:top w:w="130" w:type="dxa"/>
              <w:start w:w="100" w:type="dxa"/>
              <w:bottom w:w="130" w:type="dxa"/>
              <w:end w:w="100" w:type="dxa"/>
            </w:tcMar>
            <w:tcBorders>
              <w:top w:val="single" w:sz="7" w:color="B45309"/>
              <w:left w:val="single" w:sz="7" w:color="B45309"/>
              <w:bottom w:val="single" w:sz="7" w:color="B45309"/>
              <w:right w:val="single" w:sz="7" w:color="B45309"/>
            </w:tcBorders>
          </w:tcPr>
          <w:p>
            <w:pPr>
              <w:pStyle w:val="TableText"/>
              <w:jc w:val="center"/>
            </w:pPr>
            <w:r>
              <w:rPr>
                <w:b/>
                <w:color w:val="B45309"/>
                <w:sz w:val="17"/>
              </w:rPr>
              <w:t>Supabase</w:t>
              <w:br/>
            </w:r>
            <w:r>
              <w:rPr>
                <w:color w:val="334155"/>
                <w:sz w:val="14"/>
              </w:rPr>
              <w:t>Authentication, Postgres persistence, user-scoped queries, cascade ownership</w:t>
            </w:r>
          </w:p>
        </w:tc>
        <w:tc>
          <w:tcPr>
            <w:tcW w:type="dxa" w:w="1899"/>
            <w:shd w:fill="FDF2F8"/>
            <w:tcMar>
              <w:top w:w="130" w:type="dxa"/>
              <w:start w:w="100" w:type="dxa"/>
              <w:bottom w:w="130" w:type="dxa"/>
              <w:end w:w="100" w:type="dxa"/>
            </w:tcMar>
            <w:tcBorders>
              <w:top w:val="single" w:sz="7" w:color="A21CAF"/>
              <w:left w:val="single" w:sz="7" w:color="A21CAF"/>
              <w:bottom w:val="single" w:sz="7" w:color="A21CAF"/>
              <w:right w:val="single" w:sz="7" w:color="A21CAF"/>
            </w:tcBorders>
          </w:tcPr>
          <w:p>
            <w:pPr>
              <w:pStyle w:val="TableText"/>
              <w:jc w:val="center"/>
            </w:pPr>
            <w:r>
              <w:rPr>
                <w:b/>
                <w:color w:val="A21CAF"/>
                <w:sz w:val="17"/>
              </w:rPr>
              <w:t>External services</w:t>
              <w:br/>
            </w:r>
            <w:r>
              <w:rPr>
                <w:color w:val="334155"/>
                <w:sz w:val="14"/>
              </w:rPr>
              <w:t>OpenAI for opted-in aggregate coaching; exchange-rate snapshot source</w:t>
            </w:r>
          </w:p>
        </w:tc>
      </w:tr>
    </w:tbl>
    <w:p>
      <w:pPr>
        <w:pStyle w:val="SmallNote"/>
        <w:jc w:val="center"/>
      </w:pPr>
      <w:r>
        <w:t>Typical request path: authenticated browser interaction -&gt; Next.js server boundary -&gt; Zod/domain validation -&gt; user-scoped Supabase operation -&gt; cache revalidation -&gt; refreshed UI.</w:t>
      </w:r>
    </w:p>
    <w:p>
      <w:pPr>
        <w:pStyle w:val="Heading2"/>
      </w:pPr>
      <w:r>
        <w:t>5.1 Architectural principles</w:t>
      </w:r>
    </w:p>
    <w:p>
      <w:pPr>
        <w:pStyle w:val="ListBullet"/>
        <w:spacing w:after="50"/>
      </w:pPr>
      <w:r>
        <w:t>Server-first data loading: protected pages and domain data are generally loaded through server boundaries.</w:t>
      </w:r>
    </w:p>
    <w:p>
      <w:pPr>
        <w:pStyle w:val="ListBullet"/>
        <w:spacing w:after="50"/>
      </w:pPr>
      <w:r>
        <w:t>User-scoped persistence: every sensitive query is expected to apply the authenticated user identifier.</w:t>
      </w:r>
    </w:p>
    <w:p>
      <w:pPr>
        <w:pStyle w:val="ListBullet"/>
        <w:spacing w:after="50"/>
      </w:pPr>
      <w:r>
        <w:t>Deterministic finance engines: calculations live in feature/domain modules, not in UI markup or AI prompts.</w:t>
      </w:r>
    </w:p>
    <w:p>
      <w:pPr>
        <w:pStyle w:val="ListBullet"/>
        <w:spacing w:after="50"/>
      </w:pPr>
      <w:r>
        <w:t>Progressive interaction: client components are used where scenarios, dialogs, charts, and forms require immediate feedback.</w:t>
      </w:r>
    </w:p>
    <w:p>
      <w:pPr>
        <w:pStyle w:val="ListBullet"/>
        <w:spacing w:after="50"/>
      </w:pPr>
      <w:r>
        <w:t>Shared validation: Zod schemas define acceptable IDs, forms, and route payloads.</w:t>
      </w:r>
    </w:p>
    <w:p>
      <w:pPr>
        <w:pStyle w:val="ListBullet"/>
        <w:spacing w:after="50"/>
      </w:pPr>
      <w:r>
        <w:t>Cache consistency: successful mutations revalidate every route that depends on the changed records.</w:t>
      </w:r>
    </w:p>
    <w:p>
      <w:pPr>
        <w:pStyle w:val="ListBullet"/>
        <w:spacing w:after="50"/>
      </w:pPr>
      <w:r>
        <w:t>Privacy separation: OpenAI receives an aggregate snapshot only when the user opts in and the server is configured.</w:t>
      </w:r>
    </w:p>
    <w:p>
      <w:pPr>
        <w:pStyle w:val="Heading2"/>
      </w:pPr>
      <w:r>
        <w:t>5.2 Typical authenticated read flow</w:t>
      </w:r>
    </w:p>
    <w:p>
      <w:pPr>
        <w:spacing w:after="50"/>
        <w:ind w:left="329" w:hanging="329"/>
      </w:pPr>
      <w:r>
        <w:rPr>
          <w:b/>
          <w:color w:val="0F2747"/>
        </w:rPr>
        <w:t xml:space="preserve">1.  </w:t>
      </w:r>
      <w:r>
        <w:t>The request enters a protected App Router page or layout.</w:t>
      </w:r>
    </w:p>
    <w:p>
      <w:pPr>
        <w:spacing w:after="50"/>
        <w:ind w:left="329" w:hanging="329"/>
      </w:pPr>
      <w:r>
        <w:rPr>
          <w:b/>
          <w:color w:val="0F2747"/>
        </w:rPr>
        <w:t xml:space="preserve">2.  </w:t>
      </w:r>
      <w:r>
        <w:t>The server-side Supabase client reads authentication claims.</w:t>
      </w:r>
    </w:p>
    <w:p>
      <w:pPr>
        <w:spacing w:after="50"/>
        <w:ind w:left="329" w:hanging="329"/>
      </w:pPr>
      <w:r>
        <w:rPr>
          <w:b/>
          <w:color w:val="0F2747"/>
        </w:rPr>
        <w:t xml:space="preserve">3.  </w:t>
      </w:r>
      <w:r>
        <w:t>Missing claims cause an immediate redirect to the login page.</w:t>
      </w:r>
    </w:p>
    <w:p>
      <w:pPr>
        <w:spacing w:after="50"/>
        <w:ind w:left="329" w:hanging="329"/>
      </w:pPr>
      <w:r>
        <w:rPr>
          <w:b/>
          <w:color w:val="0F2747"/>
        </w:rPr>
        <w:t xml:space="preserve">4.  </w:t>
      </w:r>
      <w:r>
        <w:t>Feature data loaders query only records owned by the authenticated user.</w:t>
      </w:r>
    </w:p>
    <w:p>
      <w:pPr>
        <w:spacing w:after="50"/>
        <w:ind w:left="329" w:hanging="329"/>
      </w:pPr>
      <w:r>
        <w:rPr>
          <w:b/>
          <w:color w:val="0F2747"/>
        </w:rPr>
        <w:t xml:space="preserve">5.  </w:t>
      </w:r>
      <w:r>
        <w:t>Finance utilities convert, aggregate, and evaluate the returned data.</w:t>
      </w:r>
    </w:p>
    <w:p>
      <w:pPr>
        <w:spacing w:after="50"/>
        <w:ind w:left="329" w:hanging="329"/>
      </w:pPr>
      <w:r>
        <w:rPr>
          <w:b/>
          <w:color w:val="0F2747"/>
        </w:rPr>
        <w:t xml:space="preserve">6.  </w:t>
      </w:r>
      <w:r>
        <w:t>The server renders an initial page; client components add scenario controls and interactions.</w:t>
      </w:r>
    </w:p>
    <w:p>
      <w:pPr>
        <w:pStyle w:val="Heading2"/>
      </w:pPr>
      <w:r>
        <w:t>5.3 Typical mutation flow</w:t>
      </w:r>
    </w:p>
    <w:p>
      <w:pPr>
        <w:spacing w:after="50"/>
        <w:ind w:left="329" w:hanging="329"/>
      </w:pPr>
      <w:r>
        <w:rPr>
          <w:b/>
          <w:color w:val="0F2747"/>
        </w:rPr>
        <w:t xml:space="preserve">1.  </w:t>
      </w:r>
      <w:r>
        <w:t>A user submits a dialog or settings form.</w:t>
      </w:r>
    </w:p>
    <w:p>
      <w:pPr>
        <w:spacing w:after="50"/>
        <w:ind w:left="329" w:hanging="329"/>
      </w:pPr>
      <w:r>
        <w:rPr>
          <w:b/>
          <w:color w:val="0F2747"/>
        </w:rPr>
        <w:t xml:space="preserve">2.  </w:t>
      </w:r>
      <w:r>
        <w:t>A Next.js server action parses FormData and validates it through Zod.</w:t>
      </w:r>
    </w:p>
    <w:p>
      <w:pPr>
        <w:spacing w:after="50"/>
        <w:ind w:left="329" w:hanging="329"/>
      </w:pPr>
      <w:r>
        <w:rPr>
          <w:b/>
          <w:color w:val="0F2747"/>
        </w:rPr>
        <w:t xml:space="preserve">3.  </w:t>
      </w:r>
      <w:r>
        <w:t>The action re-verifies authentication and referenced record ownership.</w:t>
      </w:r>
    </w:p>
    <w:p>
      <w:pPr>
        <w:spacing w:after="50"/>
        <w:ind w:left="329" w:hanging="329"/>
      </w:pPr>
      <w:r>
        <w:rPr>
          <w:b/>
          <w:color w:val="0F2747"/>
        </w:rPr>
        <w:t xml:space="preserve">4.  </w:t>
      </w:r>
      <w:r>
        <w:t>Business rules are checked before a Supabase insert, update, or delete.</w:t>
      </w:r>
    </w:p>
    <w:p>
      <w:pPr>
        <w:spacing w:after="50"/>
        <w:ind w:left="329" w:hanging="329"/>
      </w:pPr>
      <w:r>
        <w:rPr>
          <w:b/>
          <w:color w:val="0F2747"/>
        </w:rPr>
        <w:t xml:space="preserve">5.  </w:t>
      </w:r>
      <w:r>
        <w:t>The action returns structured success/error state or redirects with a safe error.</w:t>
      </w:r>
    </w:p>
    <w:p>
      <w:pPr>
        <w:spacing w:after="50"/>
        <w:ind w:left="329" w:hanging="329"/>
      </w:pPr>
      <w:r>
        <w:rPr>
          <w:b/>
          <w:color w:val="0F2747"/>
        </w:rPr>
        <w:t xml:space="preserve">6.  </w:t>
      </w:r>
      <w:r>
        <w:t>All dependent pages are revalidated so calculated values remain synchronized.</w:t>
      </w:r>
    </w:p>
    <w:p>
      <w:pPr>
        <w:pStyle w:val="Heading1"/>
      </w:pPr>
      <w:r>
        <w:t>6. Application Structure and Route Map</w:t>
      </w:r>
    </w:p>
    <w:p>
      <w:pPr>
        <w:pStyle w:val="Heading2"/>
      </w:pPr>
      <w:r>
        <w:t>6.1 Source organization</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835"/>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Path</w:t>
            </w:r>
          </w:p>
        </w:tc>
        <w:tc>
          <w:tcPr>
            <w:tcW w:type="dxa" w:w="6576"/>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Responsibility</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src/app</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Routes, layouts, server actions, API handlers, loading/error boundaries, global styles.</w:t>
            </w:r>
          </w:p>
        </w:tc>
      </w:tr>
      <w:tr>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src/app/(dashboard)</w:t>
            </w:r>
          </w:p>
        </w:tc>
        <w:tc>
          <w:tcPr>
            <w:tcW w:type="dxa" w:w="657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Protected product pages and page-level mutations.</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src/app/api</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JSON/CSV route handlers for AI, imports, exports, and account deletion.</w:t>
            </w:r>
          </w:p>
        </w:tc>
      </w:tr>
      <w:tr>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src/components/ui</w:t>
            </w:r>
          </w:p>
        </w:tc>
        <w:tc>
          <w:tcPr>
            <w:tcW w:type="dxa" w:w="657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Project-owned shadcn/Base UI primitives.</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src/components/dashboard</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Navigation, layout, and shared dashboard presentation.</w:t>
            </w:r>
          </w:p>
        </w:tc>
      </w:tr>
      <w:tr>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src/components/forms</w:t>
            </w:r>
          </w:p>
        </w:tc>
        <w:tc>
          <w:tcPr>
            <w:tcW w:type="dxa" w:w="657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Reusable action-state and form feedback components.</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src/features</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Domain modules for accounts, transactions, currency, projections, loans, goals, insights, and settings.</w:t>
            </w:r>
          </w:p>
        </w:tc>
      </w:tr>
      <w:tr>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src/lib/auth</w:t>
            </w:r>
          </w:p>
        </w:tc>
        <w:tc>
          <w:tcPr>
            <w:tcW w:type="dxa" w:w="657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Authentication helpers and required-user guards.</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src/lib/finance</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Currency conversion, exchange rates, formatting, and reusable finance logic.</w:t>
            </w:r>
          </w:p>
        </w:tc>
      </w:tr>
      <w:tr>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src/lib/supabase</w:t>
            </w:r>
          </w:p>
        </w:tc>
        <w:tc>
          <w:tcPr>
            <w:tcW w:type="dxa" w:w="657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Browser and server Supabase client configuration.</w:t>
            </w:r>
          </w:p>
        </w:tc>
      </w:tr>
    </w:tbl>
    <w:p>
      <w:pPr>
        <w:spacing w:after="0"/>
      </w:pPr>
    </w:p>
    <w:p>
      <w:pPr>
        <w:pStyle w:val="Heading2"/>
      </w:pPr>
      <w:r>
        <w:t>6.2 User-facing routes</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26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Route</w:t>
            </w:r>
          </w:p>
        </w:tc>
        <w:tc>
          <w:tcPr>
            <w:tcW w:type="dxa" w:w="7143"/>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Primary responsibility</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/overview</w:t>
            </w:r>
          </w:p>
        </w:tc>
        <w:tc>
          <w:tcPr>
            <w:tcW w:type="dxa" w:w="714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Consolidated financial position and summary metrics.</w:t>
            </w:r>
          </w:p>
        </w:tc>
      </w:tr>
      <w:tr>
        <w:tc>
          <w:tcPr>
            <w:tcW w:type="dxa" w:w="226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/accounts</w:t>
            </w:r>
          </w:p>
        </w:tc>
        <w:tc>
          <w:tcPr>
            <w:tcW w:type="dxa" w:w="714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Account creation, editing, balance display, activation, and deletion controls.</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/transactions</w:t>
            </w:r>
          </w:p>
        </w:tc>
        <w:tc>
          <w:tcPr>
            <w:tcW w:type="dxa" w:w="714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Transaction CRUD, categorization, recurrence, filtering, and CSV import.</w:t>
            </w:r>
          </w:p>
        </w:tc>
      </w:tr>
      <w:tr>
        <w:tc>
          <w:tcPr>
            <w:tcW w:type="dxa" w:w="226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/currency</w:t>
            </w:r>
          </w:p>
        </w:tc>
        <w:tc>
          <w:tcPr>
            <w:tcW w:type="dxa" w:w="714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Display currency selection and exchange-rate context.</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/projections</w:t>
            </w:r>
          </w:p>
        </w:tc>
        <w:tc>
          <w:tcPr>
            <w:tcW w:type="dxa" w:w="714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Recurring cash-flow forecasting and scenario controls.</w:t>
            </w:r>
          </w:p>
        </w:tc>
      </w:tr>
      <w:tr>
        <w:tc>
          <w:tcPr>
            <w:tcW w:type="dxa" w:w="226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/loans</w:t>
            </w:r>
          </w:p>
        </w:tc>
        <w:tc>
          <w:tcPr>
            <w:tcW w:type="dxa" w:w="714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Loan profile management, amortization, and accelerated payoff optimization.</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/goals</w:t>
            </w:r>
          </w:p>
        </w:tc>
        <w:tc>
          <w:tcPr>
            <w:tcW w:type="dxa" w:w="714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Goal portfolio, progress, affordability, archive, and editing.</w:t>
            </w:r>
          </w:p>
        </w:tc>
      </w:tr>
      <w:tr>
        <w:tc>
          <w:tcPr>
            <w:tcW w:type="dxa" w:w="226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/insights</w:t>
            </w:r>
          </w:p>
        </w:tc>
        <w:tc>
          <w:tcPr>
            <w:tcW w:type="dxa" w:w="714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Health score, deterministic recommendations, and optional AI coach.</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/settings</w:t>
            </w:r>
          </w:p>
        </w:tc>
        <w:tc>
          <w:tcPr>
            <w:tcW w:type="dxa" w:w="714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Profile, financial preferences, AI privacy, usage, export, reset, and account deletion.</w:t>
            </w:r>
          </w:p>
        </w:tc>
      </w:tr>
    </w:tbl>
    <w:p>
      <w:pPr>
        <w:spacing w:after="0"/>
      </w:pPr>
    </w:p>
    <w:p>
      <w:pPr>
        <w:pStyle w:val="Heading1"/>
      </w:pPr>
      <w:r>
        <w:t>7. Authentication and Authorization</w:t>
      </w:r>
    </w:p>
    <w:p>
      <w:pPr/>
      <w:r>
        <w:t>Supabase Auth is the identity provider and session layer. The protected dashboard layout creates a server Supabase client, reads authentication claims, and redirects invalid or unauthenticated requests to /login. The email claim is used to personalize the navigation and account card.</w:t>
      </w:r>
    </w:p>
    <w:p>
      <w:pPr>
        <w:pStyle w:val="Heading2"/>
      </w:pPr>
      <w:r>
        <w:t>7.1 Authorization model</w:t>
      </w:r>
    </w:p>
    <w:p>
      <w:pPr>
        <w:pStyle w:val="ListBullet"/>
        <w:spacing w:after="50"/>
      </w:pPr>
      <w:r>
        <w:t>Application reads and writes include the authenticated user ID in query filters or inserted ownership columns.</w:t>
      </w:r>
    </w:p>
    <w:p>
      <w:pPr>
        <w:pStyle w:val="ListBullet"/>
        <w:spacing w:after="50"/>
      </w:pPr>
      <w:r>
        <w:t>Referenced accounts, categories, loans, goals, and transactions are rechecked on the server rather than trusted from the browser.</w:t>
      </w:r>
    </w:p>
    <w:p>
      <w:pPr>
        <w:pStyle w:val="ListBullet"/>
        <w:spacing w:after="50"/>
      </w:pPr>
      <w:r>
        <w:t>Client-side disabled states improve usability but are not treated as authorization.</w:t>
      </w:r>
    </w:p>
    <w:p>
      <w:pPr>
        <w:pStyle w:val="ListBullet"/>
        <w:spacing w:after="50"/>
      </w:pPr>
      <w:r>
        <w:t>Permanent account deletion targets the authenticated Supabase user and expects related rows to be removed through cascading ownership.</w:t>
      </w:r>
    </w:p>
    <w:p>
      <w:pPr>
        <w:pStyle w:val="ListBullet"/>
        <w:spacing w:after="50"/>
      </w:pPr>
      <w:r>
        <w:t>Password-authenticated users must provide a current password for permanent account deletion; provider-aware behavior is used for other auth methods.</w:t>
      </w:r>
    </w:p>
    <w:tbl>
      <w:tblPr>
        <w:tblW w:type="auto" w:w="0"/>
        <w:jc w:val="center"/>
        <w:tblLook w:firstColumn="1" w:firstRow="1" w:lastColumn="0" w:lastRow="0" w:noHBand="0" w:noVBand="1" w:val="04A0"/>
      </w:tblPr>
      <w:tblGrid>
        <w:gridCol w:w="9978"/>
      </w:tblGrid>
      <w:tr>
        <w:trPr>
          <w:tblHeader w:val="true"/>
        </w:trPr>
        <w:tc>
          <w:tcPr>
            <w:tcW w:type="dxa" w:w="9978"/>
            <w:shd w:fill="FEF2F2"/>
            <w:tcMar>
              <w:top w:w="130" w:type="dxa"/>
              <w:start w:w="170" w:type="dxa"/>
              <w:bottom w:w="130" w:type="dxa"/>
              <w:end w:w="170" w:type="dxa"/>
            </w:tcMar>
            <w:tcBorders>
              <w:top w:val="single" w:sz="6" w:color="B91C1C"/>
              <w:left w:val="single" w:sz="18" w:color="B91C1C"/>
              <w:bottom w:val="single" w:sz="6" w:color="B91C1C"/>
              <w:right w:val="single" w:sz="6" w:color="B91C1C"/>
            </w:tcBorders>
          </w:tcPr>
          <w:p>
            <w:pPr>
              <w:pStyle w:val="TableText"/>
            </w:pPr>
            <w:r>
              <w:rPr>
                <w:b/>
                <w:color w:val="B91C1C"/>
                <w:sz w:val="18"/>
              </w:rPr>
              <w:t>RLS dependency</w:t>
              <w:br/>
            </w:r>
            <w:r>
              <w:rPr>
                <w:color w:val="334155"/>
                <w:sz w:val="17"/>
              </w:rPr>
              <w:t>Application-level user_id filters are visible in the reviewed code, but they do not replace database Row Level Security. A production release must prove that every table and function enforces owner isolation even when called outside the intended UI.</w:t>
            </w:r>
          </w:p>
        </w:tc>
      </w:tr>
    </w:tbl>
    <w:p>
      <w:pPr>
        <w:spacing w:after="0"/>
      </w:pPr>
    </w:p>
    <w:p>
      <w:pPr>
        <w:pStyle w:val="Heading1"/>
      </w:pPr>
      <w:r>
        <w:t>8. Core Product Features</w:t>
      </w:r>
    </w:p>
    <w:p>
      <w:pPr>
        <w:pStyle w:val="Heading2"/>
      </w:pPr>
      <w:r>
        <w:t>8.1 Overview dashboard</w:t>
      </w:r>
    </w:p>
    <w:p>
      <w:pPr/>
      <w:r>
        <w:t>The overview route acts as the high-level summary of the user’s current financial position. It combines account balances, monthly transaction activity, debt, and other downstream metrics into a concise dashboard. The reviewed implementation history shows dedicated loading, empty, and error treatment and shared metric-card presentation.</w:t>
      </w:r>
    </w:p>
    <w:p>
      <w:pPr>
        <w:pStyle w:val="Heading2"/>
      </w:pPr>
      <w:r>
        <w:t>8.2 Accounts</w:t>
      </w:r>
    </w:p>
    <w:p>
      <w:pPr>
        <w:pStyle w:val="ListBullet"/>
        <w:spacing w:after="50"/>
      </w:pPr>
      <w:r>
        <w:t>Create accounts with name, institution, account type, country, currency, opening balance, and opening-balance date.</w:t>
      </w:r>
    </w:p>
    <w:p>
      <w:pPr>
        <w:pStyle w:val="ListBullet"/>
        <w:spacing w:after="50"/>
      </w:pPr>
      <w:r>
        <w:t>Update metadata without directly editing a derived current balance.</w:t>
      </w:r>
    </w:p>
    <w:p>
      <w:pPr>
        <w:pStyle w:val="ListBullet"/>
        <w:spacing w:after="50"/>
      </w:pPr>
      <w:r>
        <w:t>Activate and deactivate accounts while preserving history.</w:t>
      </w:r>
    </w:p>
    <w:p>
      <w:pPr>
        <w:pStyle w:val="ListBullet"/>
        <w:spacing w:after="50"/>
      </w:pPr>
      <w:r>
        <w:t>Delete only accounts that are not referenced by source or destination transaction relationships.</w:t>
      </w:r>
    </w:p>
    <w:p>
      <w:pPr>
        <w:pStyle w:val="ListBullet"/>
        <w:spacing w:after="50"/>
      </w:pPr>
      <w:r>
        <w:t>Calculate current balances from opening balances and transaction effects.</w:t>
      </w:r>
    </w:p>
    <w:p>
      <w:pPr>
        <w:pStyle w:val="ListBullet"/>
        <w:spacing w:after="50"/>
      </w:pPr>
      <w:r>
        <w:t>Treat loan accounts as debt destinations and dedicated optimizer inputs.</w:t>
      </w:r>
    </w:p>
    <w:p>
      <w:pPr>
        <w:pStyle w:val="Heading3"/>
      </w:pPr>
      <w:r>
        <w:t>Account balance effects</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381"/>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Transaction kind</w:t>
            </w:r>
          </w:p>
        </w:tc>
        <w:tc>
          <w:tcPr>
            <w:tcW w:type="dxa" w:w="3515"/>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Source account effect</w:t>
            </w:r>
          </w:p>
        </w:tc>
        <w:tc>
          <w:tcPr>
            <w:tcW w:type="dxa" w:w="3515"/>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Destination effect</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Income</w:t>
            </w:r>
          </w:p>
        </w:tc>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Increase</w:t>
            </w:r>
          </w:p>
        </w:tc>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None</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Expense</w:t>
            </w:r>
          </w:p>
        </w:tc>
        <w:tc>
          <w:tcPr>
            <w:tcW w:type="dxa" w:w="351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Decrease</w:t>
            </w:r>
          </w:p>
        </w:tc>
        <w:tc>
          <w:tcPr>
            <w:tcW w:type="dxa" w:w="351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None</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Loan payment</w:t>
            </w:r>
          </w:p>
        </w:tc>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Decrease bank/cash source</w:t>
            </w:r>
          </w:p>
        </w:tc>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Decrease selected loan balance</w:t>
            </w:r>
          </w:p>
        </w:tc>
      </w:tr>
    </w:tbl>
    <w:p>
      <w:pPr>
        <w:spacing w:after="0"/>
      </w:pPr>
    </w:p>
    <w:p>
      <w:pPr>
        <w:pStyle w:val="Heading2"/>
      </w:pPr>
      <w:r>
        <w:t>8.3 Transactions</w:t>
      </w:r>
    </w:p>
    <w:p>
      <w:pPr/>
      <w:r>
        <w:t>Transactions are the operational record behind balances, monthly summaries, recurring forecasts, loan payment history, spending analysis, and exports. The form supports income, expense, and loan-payment modes and dynamically limits accounts and categories to valid choices.</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381"/>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Field group</w:t>
            </w:r>
          </w:p>
        </w:tc>
        <w:tc>
          <w:tcPr>
            <w:tcW w:type="dxa" w:w="7030"/>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Examples / behavior</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References</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Source account, optional destination loan, category.</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Financial</w:t>
            </w:r>
          </w:p>
        </w:tc>
        <w:tc>
          <w:tcPr>
            <w:tcW w:type="dxa" w:w="7030"/>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Positive amount, native account currency, transaction date.</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Descriptive</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Description, optional merchant/payer, optional notes.</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Recurring</w:t>
            </w:r>
          </w:p>
        </w:tc>
        <w:tc>
          <w:tcPr>
            <w:tcW w:type="dxa" w:w="7030"/>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Enabled flag, frequency, start date, optional end date.</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Import provenance</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Import source and SHA-256 source-row hash where applicable.</w:t>
            </w:r>
          </w:p>
        </w:tc>
      </w:tr>
    </w:tbl>
    <w:p>
      <w:pPr>
        <w:spacing w:after="0"/>
      </w:pPr>
    </w:p>
    <w:p>
      <w:pPr>
        <w:pStyle w:val="Heading3"/>
      </w:pPr>
      <w:r>
        <w:t>Transaction business rules</w:t>
      </w:r>
    </w:p>
    <w:p>
      <w:pPr>
        <w:pStyle w:val="ListBullet"/>
        <w:spacing w:after="50"/>
      </w:pPr>
      <w:r>
        <w:t>New transactions require an active source account that belongs to the user.</w:t>
      </w:r>
    </w:p>
    <w:p>
      <w:pPr>
        <w:pStyle w:val="ListBullet"/>
        <w:spacing w:after="50"/>
      </w:pPr>
      <w:r>
        <w:t>Loan accounts cannot be ordinary source accounts.</w:t>
      </w:r>
    </w:p>
    <w:p>
      <w:pPr>
        <w:pStyle w:val="ListBullet"/>
        <w:spacing w:after="50"/>
      </w:pPr>
      <w:r>
        <w:t>Income uses an income category; expense and loan payment use expense categories.</w:t>
      </w:r>
    </w:p>
    <w:p>
      <w:pPr>
        <w:pStyle w:val="ListBullet"/>
        <w:spacing w:after="50"/>
      </w:pPr>
      <w:r>
        <w:t>Loan payments require a destination account whose type is loan.</w:t>
      </w:r>
    </w:p>
    <w:p>
      <w:pPr>
        <w:pStyle w:val="ListBullet"/>
        <w:spacing w:after="50"/>
      </w:pPr>
      <w:r>
        <w:t>Source and loan destination currency must match.</w:t>
      </w:r>
    </w:p>
    <w:p>
      <w:pPr>
        <w:pStyle w:val="ListBullet"/>
        <w:spacing w:after="50"/>
      </w:pPr>
      <w:r>
        <w:t>Cross-currency loan payments are explicitly deferred to a future FX workflow.</w:t>
      </w:r>
    </w:p>
    <w:p>
      <w:pPr>
        <w:pStyle w:val="ListBullet"/>
        <w:spacing w:after="50"/>
      </w:pPr>
      <w:r>
        <w:t>Edits may preserve historical references to accounts that later become inactive.</w:t>
      </w:r>
    </w:p>
    <w:p>
      <w:pPr>
        <w:pStyle w:val="Heading2"/>
      </w:pPr>
      <w:r>
        <w:t>8.4 CSV transaction import</w:t>
      </w:r>
    </w:p>
    <w:p>
      <w:pPr/>
      <w:r>
        <w:t>CSV import is a two-stage preview-and-commit pipeline. Browser parsing improves usability, but the server repeats the critical validation and duplicate checks before any insertion.</w:t>
      </w:r>
    </w:p>
    <w:p>
      <w:pPr>
        <w:spacing w:after="50"/>
        <w:ind w:left="329" w:hanging="329"/>
      </w:pPr>
      <w:r>
        <w:rPr>
          <w:b/>
          <w:color w:val="0F2747"/>
        </w:rPr>
        <w:t xml:space="preserve">1.  </w:t>
      </w:r>
      <w:r>
        <w:t>Parse the file and normalize supported columns in the browser.</w:t>
      </w:r>
    </w:p>
    <w:p>
      <w:pPr>
        <w:spacing w:after="50"/>
        <w:ind w:left="329" w:hanging="329"/>
      </w:pPr>
      <w:r>
        <w:rPr>
          <w:b/>
          <w:color w:val="0F2747"/>
        </w:rPr>
        <w:t xml:space="preserve">2.  </w:t>
      </w:r>
      <w:r>
        <w:t>Choose an active non-loan destination account and fallback income/expense categories.</w:t>
      </w:r>
    </w:p>
    <w:p>
      <w:pPr>
        <w:spacing w:after="50"/>
        <w:ind w:left="329" w:hanging="329"/>
      </w:pPr>
      <w:r>
        <w:rPr>
          <w:b/>
          <w:color w:val="0F2747"/>
        </w:rPr>
        <w:t xml:space="preserve">3.  </w:t>
      </w:r>
      <w:r>
        <w:t>POST preview rows to the Node.js route handler.</w:t>
      </w:r>
    </w:p>
    <w:p>
      <w:pPr>
        <w:spacing w:after="50"/>
        <w:ind w:left="329" w:hanging="329"/>
      </w:pPr>
      <w:r>
        <w:rPr>
          <w:b/>
          <w:color w:val="0F2747"/>
        </w:rPr>
        <w:t xml:space="preserve">4.  </w:t>
      </w:r>
      <w:r>
        <w:t>Validate authentication, request schema, ownership, account eligibility, categories, dates, amounts, descriptions, and kinds.</w:t>
      </w:r>
    </w:p>
    <w:p>
      <w:pPr>
        <w:spacing w:after="50"/>
        <w:ind w:left="329" w:hanging="329"/>
      </w:pPr>
      <w:r>
        <w:rPr>
          <w:b/>
          <w:color w:val="0F2747"/>
        </w:rPr>
        <w:t xml:space="preserve">5.  </w:t>
      </w:r>
      <w:r>
        <w:t>Map known category names and warn when fallbacks are required.</w:t>
      </w:r>
    </w:p>
    <w:p>
      <w:pPr>
        <w:spacing w:after="50"/>
        <w:ind w:left="329" w:hanging="329"/>
      </w:pPr>
      <w:r>
        <w:rPr>
          <w:b/>
          <w:color w:val="0F2747"/>
        </w:rPr>
        <w:t xml:space="preserve">6.  </w:t>
      </w:r>
      <w:r>
        <w:t>Generate canonical SHA-256 hashes and compare existing and in-file duplicates.</w:t>
      </w:r>
    </w:p>
    <w:p>
      <w:pPr>
        <w:spacing w:after="50"/>
        <w:ind w:left="329" w:hanging="329"/>
      </w:pPr>
      <w:r>
        <w:rPr>
          <w:b/>
          <w:color w:val="0F2747"/>
        </w:rPr>
        <w:t xml:space="preserve">7.  </w:t>
      </w:r>
      <w:r>
        <w:t>Return ready, duplicate, and invalid preview rows with summaries.</w:t>
      </w:r>
    </w:p>
    <w:p>
      <w:pPr>
        <w:spacing w:after="50"/>
        <w:ind w:left="329" w:hanging="329"/>
      </w:pPr>
      <w:r>
        <w:rPr>
          <w:b/>
          <w:color w:val="0F2747"/>
        </w:rPr>
        <w:t xml:space="preserve">8.  </w:t>
      </w:r>
      <w:r>
        <w:t>Commit only ready rows, write import history, and revalidate affected pages.</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835"/>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Control</w:t>
            </w:r>
          </w:p>
        </w:tc>
        <w:tc>
          <w:tcPr>
            <w:tcW w:type="dxa" w:w="6576"/>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Current value / behavior</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Maximum file size</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5 MB</w:t>
            </w:r>
          </w:p>
        </w:tc>
      </w:tr>
      <w:tr>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Maximum rows</w:t>
            </w:r>
          </w:p>
        </w:tc>
        <w:tc>
          <w:tcPr>
            <w:tcW w:type="dxa" w:w="657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500 per request</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Eligible account</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Active, user-owned, non-loan account</w:t>
            </w:r>
          </w:p>
        </w:tc>
      </w:tr>
      <w:tr>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Imported transaction kinds</w:t>
            </w:r>
          </w:p>
        </w:tc>
        <w:tc>
          <w:tcPr>
            <w:tcW w:type="dxa" w:w="657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Income and expense</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Duplicate hash inputs</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Account, date, kind, rounded amount, normalized description, normalized merchant</w:t>
            </w:r>
          </w:p>
        </w:tc>
      </w:tr>
      <w:tr>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History</w:t>
            </w:r>
          </w:p>
        </w:tc>
        <w:tc>
          <w:tcPr>
            <w:tcW w:type="dxa" w:w="657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Filename, size, total/imported/duplicate/invalid counts, status, error</w:t>
            </w:r>
          </w:p>
        </w:tc>
      </w:tr>
    </w:tbl>
    <w:p>
      <w:pPr>
        <w:spacing w:after="0"/>
      </w:pPr>
    </w:p>
    <w:p>
      <w:pPr>
        <w:pStyle w:val="Heading2"/>
      </w:pPr>
      <w:r>
        <w:t>8.5 Currency and exchange rates</w:t>
      </w:r>
    </w:p>
    <w:p>
      <w:pPr>
        <w:pStyle w:val="ListBullet"/>
        <w:spacing w:after="50"/>
      </w:pPr>
      <w:r>
        <w:t>Native records retain their own currency.</w:t>
      </w:r>
    </w:p>
    <w:p>
      <w:pPr>
        <w:pStyle w:val="ListBullet"/>
        <w:spacing w:after="50"/>
      </w:pPr>
      <w:r>
        <w:t>The current application currency set is USD, EUR, and INR.</w:t>
      </w:r>
    </w:p>
    <w:p>
      <w:pPr>
        <w:pStyle w:val="ListBullet"/>
        <w:spacing w:after="50"/>
      </w:pPr>
      <w:r>
        <w:t>A user-selected default display currency controls unified totals.</w:t>
      </w:r>
    </w:p>
    <w:p>
      <w:pPr>
        <w:pStyle w:val="ListBullet"/>
        <w:spacing w:after="50"/>
      </w:pPr>
      <w:r>
        <w:t>Exchange-rate snapshots expose an effective date for transparency.</w:t>
      </w:r>
    </w:p>
    <w:p>
      <w:pPr>
        <w:pStyle w:val="ListBullet"/>
        <w:spacing w:after="50"/>
      </w:pPr>
      <w:r>
        <w:t>Conversion happens before cross-currency aggregation in projections, goals, loans, and insights.</w:t>
      </w:r>
    </w:p>
    <w:p>
      <w:pPr>
        <w:pStyle w:val="ListBullet"/>
        <w:spacing w:after="50"/>
      </w:pPr>
      <w:r>
        <w:t>Future FX changes are not predicted; the latest reference snapshot is held constant for forecasts.</w:t>
      </w:r>
    </w:p>
    <w:p>
      <w:pPr>
        <w:pStyle w:val="Heading2"/>
      </w:pPr>
      <w:r>
        <w:t>8.6 Recurring projections</w:t>
      </w:r>
    </w:p>
    <w:p>
      <w:pPr/>
      <w:r>
        <w:t>Recurring income, expenses, and loan payments are transformed into month-level events. The projection engine combines these events with the current liquid opening balance and a set of adjustable scenario assumptions.</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94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Assumption</w:t>
            </w:r>
          </w:p>
        </w:tc>
        <w:tc>
          <w:tcPr>
            <w:tcW w:type="dxa" w:w="6463"/>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Effect</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Forecast months</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Controls the projection horizon.</w:t>
            </w:r>
          </w:p>
        </w:tc>
      </w:tr>
      <w:tr>
        <w:tc>
          <w:tcPr>
            <w:tcW w:type="dxa" w:w="294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Additional monthly income</w:t>
            </w:r>
          </w:p>
        </w:tc>
        <w:tc>
          <w:tcPr>
            <w:tcW w:type="dxa" w:w="646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Adds non-scheduled income to every forecast month.</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Additional monthly expenses</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Adds non-scheduled spending to every forecast month.</w:t>
            </w:r>
          </w:p>
        </w:tc>
      </w:tr>
      <w:tr>
        <w:tc>
          <w:tcPr>
            <w:tcW w:type="dxa" w:w="294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Annual income growth</w:t>
            </w:r>
          </w:p>
        </w:tc>
        <w:tc>
          <w:tcPr>
            <w:tcW w:type="dxa" w:w="646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Escalates income across the horizon.</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Annual expense inflation</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Escalates expenses across the horizon.</w:t>
            </w:r>
          </w:p>
        </w:tc>
      </w:tr>
    </w:tbl>
    <w:p>
      <w:pPr>
        <w:spacing w:after="0"/>
      </w:pP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94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Monthly output</w:t>
            </w:r>
          </w:p>
        </w:tc>
        <w:tc>
          <w:tcPr>
            <w:tcW w:type="dxa" w:w="6463"/>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Meaning</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Opening balance</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Prior month closing balance or current liquid balance for month one.</w:t>
            </w:r>
          </w:p>
        </w:tc>
      </w:tr>
      <w:tr>
        <w:tc>
          <w:tcPr>
            <w:tcW w:type="dxa" w:w="294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Income</w:t>
            </w:r>
          </w:p>
        </w:tc>
        <w:tc>
          <w:tcPr>
            <w:tcW w:type="dxa" w:w="646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Recurring and assumed income in display currency.</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Expenses</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Recurring and assumed non-loan expenses.</w:t>
            </w:r>
          </w:p>
        </w:tc>
      </w:tr>
      <w:tr>
        <w:tc>
          <w:tcPr>
            <w:tcW w:type="dxa" w:w="294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Loan payments</w:t>
            </w:r>
          </w:p>
        </w:tc>
        <w:tc>
          <w:tcPr>
            <w:tcW w:type="dxa" w:w="646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Recurring loan-payment outflow.</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Net cash flow</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Income minus total outflow.</w:t>
            </w:r>
          </w:p>
        </w:tc>
      </w:tr>
      <w:tr>
        <w:tc>
          <w:tcPr>
            <w:tcW w:type="dxa" w:w="294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Closing balance</w:t>
            </w:r>
          </w:p>
        </w:tc>
        <w:tc>
          <w:tcPr>
            <w:tcW w:type="dxa" w:w="646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Opening balance plus net cash flow.</w:t>
            </w:r>
          </w:p>
        </w:tc>
      </w:tr>
    </w:tbl>
    <w:p>
      <w:pPr>
        <w:spacing w:after="0"/>
      </w:pPr>
    </w:p>
    <w:p>
      <w:pPr>
        <w:pStyle w:val="Heading2"/>
      </w:pPr>
      <w:r>
        <w:t>8.7 Student-loan optimizer</w:t>
      </w:r>
    </w:p>
    <w:p>
      <w:pPr/>
      <w:r>
        <w:t>A loan account can be configured with lender and repayment assumptions. FinSight then compares the required-payment baseline with an accelerated scenario containing an extra monthly payment and/or one-time payment.</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94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Loan profile field</w:t>
            </w:r>
          </w:p>
        </w:tc>
        <w:tc>
          <w:tcPr>
            <w:tcW w:type="dxa" w:w="6463"/>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Purpose</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Lender</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Optional institution label.</w:t>
            </w:r>
          </w:p>
        </w:tc>
      </w:tr>
      <w:tr>
        <w:tc>
          <w:tcPr>
            <w:tcW w:type="dxa" w:w="294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Original principal</w:t>
            </w:r>
          </w:p>
        </w:tc>
        <w:tc>
          <w:tcPr>
            <w:tcW w:type="dxa" w:w="646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Original borrowed amount for context.</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Annual interest rate</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Input to monthly interest calculation.</w:t>
            </w:r>
          </w:p>
        </w:tc>
      </w:tr>
      <w:tr>
        <w:tc>
          <w:tcPr>
            <w:tcW w:type="dxa" w:w="294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Required monthly payment</w:t>
            </w:r>
          </w:p>
        </w:tc>
        <w:tc>
          <w:tcPr>
            <w:tcW w:type="dxa" w:w="646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Baseline scheduled payment.</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Next payment date</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Starting point for the future schedule.</w:t>
            </w:r>
          </w:p>
        </w:tc>
      </w:tr>
      <w:tr>
        <w:tc>
          <w:tcPr>
            <w:tcW w:type="dxa" w:w="294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Original term months</w:t>
            </w:r>
          </w:p>
        </w:tc>
        <w:tc>
          <w:tcPr>
            <w:tcW w:type="dxa" w:w="646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Optional original repayment term.</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Rate type</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Fixed or variable label.</w:t>
            </w:r>
          </w:p>
        </w:tc>
      </w:tr>
    </w:tbl>
    <w:p>
      <w:pPr>
        <w:spacing w:after="0"/>
      </w:pP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94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Scenario result</w:t>
            </w:r>
          </w:p>
        </w:tc>
        <w:tc>
          <w:tcPr>
            <w:tcW w:type="dxa" w:w="6463"/>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Description</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Payoff status</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Already paid, paid off within the model, or not paid off within the safety horizon.</w:t>
            </w:r>
          </w:p>
        </w:tc>
      </w:tr>
      <w:tr>
        <w:tc>
          <w:tcPr>
            <w:tcW w:type="dxa" w:w="294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Payoff date / months</w:t>
            </w:r>
          </w:p>
        </w:tc>
        <w:tc>
          <w:tcPr>
            <w:tcW w:type="dxa" w:w="646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Estimated final payment timing.</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Total interest</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Future interest generated by the scenario.</w:t>
            </w:r>
          </w:p>
        </w:tc>
      </w:tr>
      <w:tr>
        <w:tc>
          <w:tcPr>
            <w:tcW w:type="dxa" w:w="294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Total paid / principal</w:t>
            </w:r>
          </w:p>
        </w:tc>
        <w:tc>
          <w:tcPr>
            <w:tcW w:type="dxa" w:w="646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Total cash paid and principal retired.</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Interest saved</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Baseline interest minus accelerated interest.</w:t>
            </w:r>
          </w:p>
        </w:tc>
      </w:tr>
      <w:tr>
        <w:tc>
          <w:tcPr>
            <w:tcW w:type="dxa" w:w="294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Months saved</w:t>
            </w:r>
          </w:p>
        </w:tc>
        <w:tc>
          <w:tcPr>
            <w:tcW w:type="dxa" w:w="646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Baseline remaining term minus accelerated term.</w:t>
            </w:r>
          </w:p>
        </w:tc>
      </w:tr>
      <w:tr>
        <w:tc>
          <w:tcPr>
            <w:tcW w:type="dxa" w:w="294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Amortization rows</w:t>
            </w:r>
          </w:p>
        </w:tc>
        <w:tc>
          <w:tcPr>
            <w:tcW w:type="dxa" w:w="646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Opening, interest, scheduled, extra, principal, total, and closing balance by period.</w:t>
            </w:r>
          </w:p>
        </w:tc>
      </w:tr>
    </w:tbl>
    <w:p>
      <w:pPr>
        <w:spacing w:after="0"/>
      </w:pPr>
    </w:p>
    <w:tbl>
      <w:tblPr>
        <w:tblW w:type="auto" w:w="0"/>
        <w:jc w:val="center"/>
        <w:tblLook w:firstColumn="1" w:firstRow="1" w:lastColumn="0" w:lastRow="0" w:noHBand="0" w:noVBand="1" w:val="04A0"/>
      </w:tblPr>
      <w:tblGrid>
        <w:gridCol w:w="9978"/>
      </w:tblGrid>
      <w:tr>
        <w:trPr>
          <w:tblHeader w:val="true"/>
        </w:trPr>
        <w:tc>
          <w:tcPr>
            <w:tcW w:type="dxa" w:w="9978"/>
            <w:shd w:fill="FFF7ED"/>
            <w:tcMar>
              <w:top w:w="130" w:type="dxa"/>
              <w:start w:w="170" w:type="dxa"/>
              <w:bottom w:w="130" w:type="dxa"/>
              <w:end w:w="170" w:type="dxa"/>
            </w:tcMar>
            <w:tcBorders>
              <w:top w:val="single" w:sz="6" w:color="B45309"/>
              <w:left w:val="single" w:sz="18" w:color="B45309"/>
              <w:bottom w:val="single" w:sz="6" w:color="B45309"/>
              <w:right w:val="single" w:sz="6" w:color="B45309"/>
            </w:tcBorders>
          </w:tcPr>
          <w:p>
            <w:pPr>
              <w:pStyle w:val="TableText"/>
            </w:pPr>
            <w:r>
              <w:rPr>
                <w:b/>
                <w:color w:val="B45309"/>
                <w:sz w:val="18"/>
              </w:rPr>
              <w:t>Loan-model limitation</w:t>
              <w:br/>
            </w:r>
            <w:r>
              <w:rPr>
                <w:color w:val="334155"/>
                <w:sz w:val="17"/>
              </w:rPr>
              <w:t>The optimizer is an estimate based on monthly interest at the entered annual rate. Actual lender results can differ because of daily-interest conventions, variable-rate changes, capitalization, fees, payment timing, prepayment rules, and rounding.</w:t>
            </w:r>
          </w:p>
        </w:tc>
      </w:tr>
    </w:tbl>
    <w:p>
      <w:pPr>
        <w:spacing w:after="0"/>
      </w:pPr>
    </w:p>
    <w:p>
      <w:pPr>
        <w:pStyle w:val="Heading2"/>
      </w:pPr>
      <w:r>
        <w:t>8.8 Financial goals</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494"/>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Dimension</w:t>
            </w:r>
          </w:p>
        </w:tc>
        <w:tc>
          <w:tcPr>
            <w:tcW w:type="dxa" w:w="6917"/>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Supported values / behavior</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Goal type</w:t>
            </w:r>
          </w:p>
        </w:tc>
        <w:tc>
          <w:tcPr>
            <w:tcW w:type="dxa" w:w="691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Savings, emergency fund, loan payoff, custom.</w:t>
            </w:r>
          </w:p>
        </w:tc>
      </w:tr>
      <w:tr>
        <w:tc>
          <w:tcPr>
            <w:tcW w:type="dxa" w:w="249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Progress source</w:t>
            </w:r>
          </w:p>
        </w:tc>
        <w:tc>
          <w:tcPr>
            <w:tcW w:type="dxa" w:w="691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Manual value or linked account.</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Planning fields</w:t>
            </w:r>
          </w:p>
        </w:tc>
        <w:tc>
          <w:tcPr>
            <w:tcW w:type="dxa" w:w="691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Target, date, planned monthly contribution, priority, notes.</w:t>
            </w:r>
          </w:p>
        </w:tc>
      </w:tr>
      <w:tr>
        <w:tc>
          <w:tcPr>
            <w:tcW w:type="dxa" w:w="249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Special fields</w:t>
            </w:r>
          </w:p>
        </w:tc>
        <w:tc>
          <w:tcPr>
            <w:tcW w:type="dxa" w:w="691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Emergency-fund months or linked loan account.</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Lifecycle</w:t>
            </w:r>
          </w:p>
        </w:tc>
        <w:tc>
          <w:tcPr>
            <w:tcW w:type="dxa" w:w="691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Active, archived, reactivated, deleted.</w:t>
            </w:r>
          </w:p>
        </w:tc>
      </w:tr>
      <w:tr>
        <w:tc>
          <w:tcPr>
            <w:tcW w:type="dxa" w:w="249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Evaluation</w:t>
            </w:r>
          </w:p>
        </w:tc>
        <w:tc>
          <w:tcPr>
            <w:tcW w:type="dxa" w:w="691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Effective target/current, remaining, percent, required contribution, completion date, tracking status.</w:t>
            </w:r>
          </w:p>
        </w:tc>
      </w:tr>
    </w:tbl>
    <w:p>
      <w:pPr>
        <w:spacing w:after="0"/>
      </w:pPr>
    </w:p>
    <w:p>
      <w:pPr/>
      <w:r>
        <w:t>The goal portfolio compares planned monthly allocations with projected monthly savings and warns when allocations exceed the amount available after ordinary cash-flow obligations.</w:t>
      </w:r>
    </w:p>
    <w:p>
      <w:pPr>
        <w:pStyle w:val="Heading2"/>
      </w:pPr>
      <w:r>
        <w:t>8.9 Insights and health score</w:t>
      </w:r>
    </w:p>
    <w:p>
      <w:pPr/>
      <w:r>
        <w:t>The insights dashboard combines a 0-100 health score, financial metrics, deterministic action cards, spending trend analysis, expense anomaly detection, and a calculated loan opportunity.</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835"/>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Health component</w:t>
            </w:r>
          </w:p>
        </w:tc>
        <w:tc>
          <w:tcPr>
            <w:tcW w:type="dxa" w:w="6576"/>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Interpretation</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Savings rate</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Expected monthly savings relative to expected monthly income.</w:t>
            </w:r>
          </w:p>
        </w:tc>
      </w:tr>
      <w:tr>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Emergency fund</w:t>
            </w:r>
          </w:p>
        </w:tc>
        <w:tc>
          <w:tcPr>
            <w:tcW w:type="dxa" w:w="657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Liquid balance divided by expected monthly outflow.</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Debt burden</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Expected monthly loan payments relative to income.</w:t>
            </w:r>
          </w:p>
        </w:tc>
      </w:tr>
      <w:tr>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Goal health</w:t>
            </w:r>
          </w:p>
        </w:tc>
        <w:tc>
          <w:tcPr>
            <w:tcW w:type="dxa" w:w="657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Active/completed/on-track goal performance.</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Cash-flow risk</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Projected balance risk, including a negative-balance month.</w:t>
            </w:r>
          </w:p>
        </w:tc>
      </w:tr>
    </w:tbl>
    <w:p>
      <w:pPr>
        <w:spacing w:after="0"/>
      </w:pPr>
    </w:p>
    <w:p>
      <w:pPr>
        <w:pStyle w:val="Heading3"/>
      </w:pPr>
      <w:r>
        <w:t>Spending trend</w:t>
      </w:r>
    </w:p>
    <w:p>
      <w:pPr/>
      <w:r>
        <w:t>The implementation compares the last completed month with the average of the preceding three completed months and identifies the last month’s top spending category.</w:t>
      </w:r>
    </w:p>
    <w:p>
      <w:pPr>
        <w:pStyle w:val="Heading3"/>
      </w:pPr>
      <w:r>
        <w:t>Anomaly detection</w:t>
      </w:r>
    </w:p>
    <w:p>
      <w:pPr/>
      <w:r>
        <w:t>Recent expenses are converted into the display currency. With at least five usable observations, FinSight calculates the median and median absolute deviation and flags unusually large expenses using a robust z-score threshold. If the median absolute deviation is zero, a multiple-of-median fallback is used.</w:t>
      </w:r>
    </w:p>
    <w:p>
      <w:pPr>
        <w:pStyle w:val="Heading3"/>
      </w:pPr>
      <w:r>
        <w:t>Loan opportunity</w:t>
      </w:r>
    </w:p>
    <w:p>
      <w:pPr/>
      <w:r>
        <w:t>For each configured loan, FinSight models an additional payment derived from the required payment, converts savings to the display currency, and surfaces the strongest positive interest-saving opportunity.</w:t>
      </w:r>
    </w:p>
    <w:p>
      <w:pPr>
        <w:pStyle w:val="Heading2"/>
      </w:pPr>
      <w:r>
        <w:t>8.10 Ask FinSight AI coach</w:t>
      </w:r>
    </w:p>
    <w:p>
      <w:pPr/>
      <w:r>
        <w:t>Ask FinSight is an optional conversational layer. It is enabled only when the user preference is on, context mode is aggregated, and both OPENAI_API_KEY and OPENAI_MODEL are available in the server environment.</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4706"/>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May be sent to OpenAI</w:t>
            </w:r>
          </w:p>
        </w:tc>
        <w:tc>
          <w:tcPr>
            <w:tcW w:type="dxa" w:w="4706"/>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Excluded by the current product contract</w:t>
            </w:r>
          </w:p>
        </w:tc>
      </w:tr>
      <w:tr>
        <w:tc>
          <w:tcPr>
            <w:tcW w:type="dxa" w:w="470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Aggregated balances</w:t>
            </w:r>
          </w:p>
        </w:tc>
        <w:tc>
          <w:tcPr>
            <w:tcW w:type="dxa" w:w="470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Passwords and API keys</w:t>
            </w:r>
          </w:p>
        </w:tc>
      </w:tr>
      <w:tr>
        <w:tc>
          <w:tcPr>
            <w:tcW w:type="dxa" w:w="470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Monthly income and outflow</w:t>
            </w:r>
          </w:p>
        </w:tc>
        <w:tc>
          <w:tcPr>
            <w:tcW w:type="dxa" w:w="470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Bank credentials</w:t>
            </w:r>
          </w:p>
        </w:tc>
      </w:tr>
      <w:tr>
        <w:tc>
          <w:tcPr>
            <w:tcW w:type="dxa" w:w="470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Savings and debt ratios</w:t>
            </w:r>
          </w:p>
        </w:tc>
        <w:tc>
          <w:tcPr>
            <w:tcW w:type="dxa" w:w="470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Full account numbers</w:t>
            </w:r>
          </w:p>
        </w:tc>
      </w:tr>
      <w:tr>
        <w:tc>
          <w:tcPr>
            <w:tcW w:type="dxa" w:w="470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Goal and projection summaries</w:t>
            </w:r>
          </w:p>
        </w:tc>
        <w:tc>
          <w:tcPr>
            <w:tcW w:type="dxa" w:w="470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Transaction notes</w:t>
            </w:r>
          </w:p>
        </w:tc>
      </w:tr>
      <w:tr>
        <w:tc>
          <w:tcPr>
            <w:tcW w:type="dxa" w:w="470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Calculated loan opportunity</w:t>
            </w:r>
          </w:p>
        </w:tc>
        <w:tc>
          <w:tcPr>
            <w:tcW w:type="dxa" w:w="470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Merchant names</w:t>
            </w:r>
          </w:p>
        </w:tc>
      </w:tr>
    </w:tbl>
    <w:p>
      <w:pPr>
        <w:spacing w:after="0"/>
      </w:pPr>
    </w:p>
    <w:p>
      <w:pPr>
        <w:pStyle w:val="ListBullet"/>
        <w:spacing w:after="50"/>
      </w:pPr>
      <w:r>
        <w:t>The browser calls /api/insights/chat with a rolling conversation window.</w:t>
      </w:r>
    </w:p>
    <w:p>
      <w:pPr>
        <w:pStyle w:val="ListBullet"/>
        <w:spacing w:after="50"/>
      </w:pPr>
      <w:r>
        <w:t>The current UI retains up to 12 recent messages and limits questions to 2,000 characters.</w:t>
      </w:r>
    </w:p>
    <w:p>
      <w:pPr>
        <w:pStyle w:val="ListBullet"/>
        <w:spacing w:after="50"/>
      </w:pPr>
      <w:r>
        <w:t>The response can report requests remaining under the application limit.</w:t>
      </w:r>
    </w:p>
    <w:p>
      <w:pPr>
        <w:pStyle w:val="ListBullet"/>
        <w:spacing w:after="50"/>
      </w:pPr>
      <w:r>
        <w:t>The coach is read-only and does not call account, transaction, goal, or loan mutation actions.</w:t>
      </w:r>
    </w:p>
    <w:p>
      <w:pPr>
        <w:pStyle w:val="ListBullet"/>
        <w:spacing w:after="50"/>
      </w:pPr>
      <w:r>
        <w:t>Usage metadata can include model, status, token counts, character counts, error code, and timestamp.</w:t>
      </w:r>
    </w:p>
    <w:p>
      <w:pPr>
        <w:pStyle w:val="Heading2"/>
      </w:pPr>
      <w:r>
        <w:t>8.11 Settings and data management</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60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Area</w:t>
            </w:r>
          </w:p>
        </w:tc>
        <w:tc>
          <w:tcPr>
            <w:tcW w:type="dxa" w:w="6803"/>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Capabilities</w:t>
            </w:r>
          </w:p>
        </w:tc>
      </w:tr>
      <w:tr>
        <w:tc>
          <w:tcPr>
            <w:tcW w:type="dxa" w:w="260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Profile</w:t>
            </w:r>
          </w:p>
        </w:tc>
        <w:tc>
          <w:tcPr>
            <w:tcW w:type="dxa" w:w="680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Full name and identity/account metadata display.</w:t>
            </w:r>
          </w:p>
        </w:tc>
      </w:tr>
      <w:tr>
        <w:tc>
          <w:tcPr>
            <w:tcW w:type="dxa" w:w="260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Financial preferences</w:t>
            </w:r>
          </w:p>
        </w:tc>
        <w:tc>
          <w:tcPr>
            <w:tcW w:type="dxa" w:w="680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Default currency, timezone, date format.</w:t>
            </w:r>
          </w:p>
        </w:tc>
      </w:tr>
      <w:tr>
        <w:tc>
          <w:tcPr>
            <w:tcW w:type="dxa" w:w="260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AI privacy</w:t>
            </w:r>
          </w:p>
        </w:tc>
        <w:tc>
          <w:tcPr>
            <w:tcW w:type="dxa" w:w="680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Enable/disable, aggregated/disabled context, daily usage visibility.</w:t>
            </w:r>
          </w:p>
        </w:tc>
      </w:tr>
      <w:tr>
        <w:tc>
          <w:tcPr>
            <w:tcW w:type="dxa" w:w="260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AI history</w:t>
            </w:r>
          </w:p>
        </w:tc>
        <w:tc>
          <w:tcPr>
            <w:tcW w:type="dxa" w:w="680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Recent request status, model, token and character metadata.</w:t>
            </w:r>
          </w:p>
        </w:tc>
      </w:tr>
      <w:tr>
        <w:tc>
          <w:tcPr>
            <w:tcW w:type="dxa" w:w="260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Exports</w:t>
            </w:r>
          </w:p>
        </w:tc>
        <w:tc>
          <w:tcPr>
            <w:tcW w:type="dxa" w:w="680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Complete JSON and transaction CSV.</w:t>
            </w:r>
          </w:p>
        </w:tc>
      </w:tr>
      <w:tr>
        <w:tc>
          <w:tcPr>
            <w:tcW w:type="dxa" w:w="260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Danger zone</w:t>
            </w:r>
          </w:p>
        </w:tc>
        <w:tc>
          <w:tcPr>
            <w:tcW w:type="dxa" w:w="680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Delete all transactions, reset financial data, permanently delete account.</w:t>
            </w:r>
          </w:p>
        </w:tc>
      </w:tr>
    </w:tbl>
    <w:p>
      <w:pPr>
        <w:spacing w:after="0"/>
      </w:pPr>
    </w:p>
    <w:p>
      <w:pPr/>
      <w:r>
        <w:t>The current timezone list includes UTC, Asia/Kolkata, Europe/Dublin, and major continental United States time zones. Date-format choices include named-month, day-first, month-first, and ISO variants.</w:t>
      </w:r>
    </w:p>
    <w:p>
      <w:pPr>
        <w:pStyle w:val="Heading1"/>
      </w:pPr>
      <w:r>
        <w:t>9. Financial Calculation Engines</w:t>
      </w:r>
    </w:p>
    <w:p>
      <w:pPr>
        <w:pStyle w:val="Heading2"/>
      </w:pPr>
      <w:r>
        <w:t>9.1 Derived balances</w:t>
      </w:r>
    </w:p>
    <w:p>
      <w:pPr/>
      <w:r>
        <w:t>Current account balances are derived from an opening balance and transaction effects. This avoids maintaining a separately editable current-balance field that could drift from transaction history.</w:t>
      </w:r>
    </w:p>
    <w:p>
      <w:pPr>
        <w:pStyle w:val="Heading2"/>
      </w:pPr>
      <w:r>
        <w:t>9.2 Currency conversion</w:t>
      </w:r>
    </w:p>
    <w:p>
      <w:pPr/>
      <w:r>
        <w:t>The finance layer converts native currency amounts through a rate snapshot into the user’s display currency. Totals are aggregated after conversion. The effective rate date is displayed so users can distinguish bookkeeping values from real-time market prices.</w:t>
      </w:r>
    </w:p>
    <w:p>
      <w:pPr>
        <w:pStyle w:val="Heading2"/>
      </w:pPr>
      <w:r>
        <w:t>9.3 Projection engine</w:t>
      </w:r>
    </w:p>
    <w:p>
      <w:pPr/>
      <w:r>
        <w:t>The projection engine builds a sequence of monthly periods, determines which recurring schedules occur in each period, applies growth and inflation assumptions, and rolls each closing balance into the next month’s opening balance. It exposes both month-level rows and aggregate summary statistics.</w:t>
      </w:r>
    </w:p>
    <w:p>
      <w:pPr>
        <w:pStyle w:val="Heading2"/>
      </w:pPr>
      <w:r>
        <w:t>9.4 Amortization engine</w:t>
      </w:r>
    </w:p>
    <w:p>
      <w:pPr/>
      <w:r>
        <w:t>The loan engine calculates monthly interest from the outstanding balance and annual rate, applies the required and extra payments, allocates the remainder to principal, and repeats until the balance is paid or the 600-month safety limit is reached. Baseline and accelerated outputs are compared to produce interest and time savings.</w:t>
      </w:r>
    </w:p>
    <w:p>
      <w:pPr>
        <w:pStyle w:val="Heading2"/>
      </w:pPr>
      <w:r>
        <w:t>9.5 Goal evaluation</w:t>
      </w:r>
    </w:p>
    <w:p>
      <w:pPr/>
      <w:r>
        <w:t>Goal progress is either a manual current amount or a linked-account delta relative to a stored baseline. Target amount, target date, and planned contribution drive the remaining amount, required contribution, projected completion date, and status classification.</w:t>
      </w:r>
    </w:p>
    <w:p>
      <w:pPr>
        <w:pStyle w:val="Heading2"/>
      </w:pPr>
      <w:r>
        <w:t>9.6 Health and anomaly logic</w:t>
      </w:r>
    </w:p>
    <w:p>
      <w:pPr/>
      <w:r>
        <w:t>Health scoring and recommendations use fixed rules so the same data yields the same result. The anomaly detector uses robust statistics rather than a language model. The AI coach receives the resulting snapshot for explanation only.</w:t>
      </w:r>
    </w:p>
    <w:p>
      <w:r>
        <w:br w:type="page"/>
      </w:r>
    </w:p>
    <w:p>
      <w:pPr>
        <w:pStyle w:val="Heading1"/>
      </w:pPr>
      <w:r>
        <w:t>10. Data Model and Persistence</w:t>
      </w:r>
    </w:p>
    <w:tbl>
      <w:tblPr>
        <w:tblW w:type="auto" w:w="0"/>
        <w:jc w:val="center"/>
        <w:tblLook w:firstColumn="1" w:firstRow="1" w:lastColumn="0" w:lastRow="0" w:noHBand="0" w:noVBand="1" w:val="04A0"/>
      </w:tblPr>
      <w:tblGrid>
        <w:gridCol w:w="9978"/>
      </w:tblGrid>
      <w:tr>
        <w:trPr>
          <w:tblHeader w:val="true"/>
        </w:trPr>
        <w:tc>
          <w:tcPr>
            <w:tcW w:type="dxa" w:w="9978"/>
            <w:shd w:fill="E6F7FB"/>
            <w:tcMar>
              <w:top w:w="130" w:type="dxa"/>
              <w:start w:w="170" w:type="dxa"/>
              <w:bottom w:w="130" w:type="dxa"/>
              <w:end w:w="170" w:type="dxa"/>
            </w:tcMar>
            <w:tcBorders>
              <w:top w:val="single" w:sz="6" w:color="0E7490"/>
              <w:left w:val="single" w:sz="18" w:color="0E7490"/>
              <w:bottom w:val="single" w:sz="6" w:color="0E7490"/>
              <w:right w:val="single" w:sz="6" w:color="0E7490"/>
            </w:tcBorders>
          </w:tcPr>
          <w:p>
            <w:pPr>
              <w:pStyle w:val="TableText"/>
            </w:pPr>
            <w:r>
              <w:rPr>
                <w:b/>
                <w:color w:val="0E7490"/>
                <w:sz w:val="18"/>
              </w:rPr>
              <w:t>Evidence boundary</w:t>
              <w:br/>
            </w:r>
            <w:r>
              <w:rPr>
                <w:color w:val="334155"/>
                <w:sz w:val="17"/>
              </w:rPr>
              <w:t>The table names and fields below are observed in application queries and TypeScript models. Exact PostgreSQL types, indexes, triggers, RLS policies, functions, and migration order were not part of the reviewed attachment set and must be verified against the actual Supabase migrations.</w:t>
            </w:r>
          </w:p>
        </w:tc>
      </w:tr>
    </w:tbl>
    <w:p>
      <w:pPr>
        <w:spacing w:after="0"/>
      </w:pP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041"/>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Table / entity</w:t>
            </w:r>
          </w:p>
        </w:tc>
        <w:tc>
          <w:tcPr>
            <w:tcW w:type="dxa" w:w="2721"/>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Purpose</w:t>
            </w:r>
          </w:p>
        </w:tc>
        <w:tc>
          <w:tcPr>
            <w:tcW w:type="dxa" w:w="4649"/>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Observed key data</w:t>
            </w:r>
          </w:p>
        </w:tc>
      </w:tr>
      <w:tr>
        <w:tc>
          <w:tcPr>
            <w:tcW w:type="dxa" w:w="204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accounts</w:t>
            </w:r>
          </w:p>
        </w:tc>
        <w:tc>
          <w:tcPr>
            <w:tcW w:type="dxa" w:w="272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Financial account master</w:t>
            </w:r>
          </w:p>
        </w:tc>
        <w:tc>
          <w:tcPr>
            <w:tcW w:type="dxa" w:w="4649"/>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user_id, name, institution, account_type, country, currency, opening balance/date, active state.</w:t>
            </w:r>
          </w:p>
        </w:tc>
      </w:tr>
      <w:tr>
        <w:tc>
          <w:tcPr>
            <w:tcW w:type="dxa" w:w="204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transactions</w:t>
            </w:r>
          </w:p>
        </w:tc>
        <w:tc>
          <w:tcPr>
            <w:tcW w:type="dxa" w:w="272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Income, expense, loan payment, recurring and imported records</w:t>
            </w:r>
          </w:p>
        </w:tc>
        <w:tc>
          <w:tcPr>
            <w:tcW w:type="dxa" w:w="4649"/>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source/destination accounts, category, kind, amount, currency, date, description, merchant, notes, recurrence, import source/hash.</w:t>
            </w:r>
          </w:p>
        </w:tc>
      </w:tr>
      <w:tr>
        <w:tc>
          <w:tcPr>
            <w:tcW w:type="dxa" w:w="204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categories</w:t>
            </w:r>
          </w:p>
        </w:tc>
        <w:tc>
          <w:tcPr>
            <w:tcW w:type="dxa" w:w="272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User-owned categorization</w:t>
            </w:r>
          </w:p>
        </w:tc>
        <w:tc>
          <w:tcPr>
            <w:tcW w:type="dxa" w:w="4649"/>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user_id, name, income/expense kind.</w:t>
            </w:r>
          </w:p>
        </w:tc>
      </w:tr>
      <w:tr>
        <w:tc>
          <w:tcPr>
            <w:tcW w:type="dxa" w:w="204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loan_profiles</w:t>
            </w:r>
          </w:p>
        </w:tc>
        <w:tc>
          <w:tcPr>
            <w:tcW w:type="dxa" w:w="272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Loan optimizer assumptions</w:t>
            </w:r>
          </w:p>
        </w:tc>
        <w:tc>
          <w:tcPr>
            <w:tcW w:type="dxa" w:w="4649"/>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account, lender, principal, rate, required payment, due date, term, rate type.</w:t>
            </w:r>
          </w:p>
        </w:tc>
      </w:tr>
      <w:tr>
        <w:tc>
          <w:tcPr>
            <w:tcW w:type="dxa" w:w="204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financial_goal_plans</w:t>
            </w:r>
          </w:p>
        </w:tc>
        <w:tc>
          <w:tcPr>
            <w:tcW w:type="dxa" w:w="272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Goal configuration and tracking</w:t>
            </w:r>
          </w:p>
        </w:tc>
        <w:tc>
          <w:tcPr>
            <w:tcW w:type="dxa" w:w="4649"/>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type, progress source, target/current, currency, date, linked account/baseline, contribution, priority, status, notes.</w:t>
            </w:r>
          </w:p>
        </w:tc>
      </w:tr>
      <w:tr>
        <w:tc>
          <w:tcPr>
            <w:tcW w:type="dxa" w:w="204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user_preferences</w:t>
            </w:r>
          </w:p>
        </w:tc>
        <w:tc>
          <w:tcPr>
            <w:tcW w:type="dxa" w:w="272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Profile and application settings</w:t>
            </w:r>
          </w:p>
        </w:tc>
        <w:tc>
          <w:tcPr>
            <w:tcW w:type="dxa" w:w="4649"/>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full name, default currency, timezone, date format, AI enabled/context mode.</w:t>
            </w:r>
          </w:p>
        </w:tc>
      </w:tr>
      <w:tr>
        <w:tc>
          <w:tcPr>
            <w:tcW w:type="dxa" w:w="204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csv_imports</w:t>
            </w:r>
          </w:p>
        </w:tc>
        <w:tc>
          <w:tcPr>
            <w:tcW w:type="dxa" w:w="272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Import audit history</w:t>
            </w:r>
          </w:p>
        </w:tc>
        <w:tc>
          <w:tcPr>
            <w:tcW w:type="dxa" w:w="4649"/>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account, filename/size, row counts, status, error.</w:t>
            </w:r>
          </w:p>
        </w:tc>
      </w:tr>
      <w:tr>
        <w:tc>
          <w:tcPr>
            <w:tcW w:type="dxa" w:w="204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AI usage records</w:t>
            </w:r>
          </w:p>
        </w:tc>
        <w:tc>
          <w:tcPr>
            <w:tcW w:type="dxa" w:w="272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AI request metadata</w:t>
            </w:r>
          </w:p>
        </w:tc>
        <w:tc>
          <w:tcPr>
            <w:tcW w:type="dxa" w:w="4649"/>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model, lifecycle status, token counts, character counts, error code, created time.</w:t>
            </w:r>
          </w:p>
        </w:tc>
      </w:tr>
      <w:tr>
        <w:tc>
          <w:tcPr>
            <w:tcW w:type="dxa" w:w="204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Exchange-rate snapshot data</w:t>
            </w:r>
          </w:p>
        </w:tc>
        <w:tc>
          <w:tcPr>
            <w:tcW w:type="dxa" w:w="272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Currency conversion reference</w:t>
            </w:r>
          </w:p>
        </w:tc>
        <w:tc>
          <w:tcPr>
            <w:tcW w:type="dxa" w:w="4649"/>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Provider/storage implementation not fully visible; effective date is exposed by domain data.</w:t>
            </w:r>
          </w:p>
        </w:tc>
      </w:tr>
    </w:tbl>
    <w:p>
      <w:pPr>
        <w:spacing w:after="0"/>
      </w:pPr>
    </w:p>
    <w:p>
      <w:pPr>
        <w:pStyle w:val="Heading2"/>
      </w:pPr>
      <w:r>
        <w:t>10.1 Relationship summary</w:t>
      </w:r>
    </w:p>
    <w:p>
      <w:pPr>
        <w:pStyle w:val="ListBullet"/>
        <w:spacing w:after="50"/>
      </w:pPr>
      <w:r>
        <w:t>An account belongs to one authenticated user.</w:t>
      </w:r>
    </w:p>
    <w:p>
      <w:pPr>
        <w:pStyle w:val="ListBullet"/>
        <w:spacing w:after="50"/>
      </w:pPr>
      <w:r>
        <w:t>A transaction belongs to one user and references one source account; a loan payment also references a destination loan account.</w:t>
      </w:r>
    </w:p>
    <w:p>
      <w:pPr>
        <w:pStyle w:val="ListBullet"/>
        <w:spacing w:after="50"/>
      </w:pPr>
      <w:r>
        <w:t>A transaction may reference one category.</w:t>
      </w:r>
    </w:p>
    <w:p>
      <w:pPr>
        <w:pStyle w:val="ListBullet"/>
        <w:spacing w:after="50"/>
      </w:pPr>
      <w:r>
        <w:t>A loan profile belongs to one user and one loan account, with upsert-on-account behavior.</w:t>
      </w:r>
    </w:p>
    <w:p>
      <w:pPr>
        <w:pStyle w:val="ListBullet"/>
        <w:spacing w:after="50"/>
      </w:pPr>
      <w:r>
        <w:t>A financial goal belongs to one user and may reference an account.</w:t>
      </w:r>
    </w:p>
    <w:p>
      <w:pPr>
        <w:pStyle w:val="ListBullet"/>
        <w:spacing w:after="50"/>
      </w:pPr>
      <w:r>
        <w:t>User preferences form a one-record-per-user configuration through upsert on user_id.</w:t>
      </w:r>
    </w:p>
    <w:p>
      <w:pPr>
        <w:pStyle w:val="ListBullet"/>
        <w:spacing w:after="50"/>
      </w:pPr>
      <w:r>
        <w:t>CSV imports belong to a user and an account and summarize batch outcomes.</w:t>
      </w:r>
    </w:p>
    <w:p>
      <w:pPr>
        <w:pStyle w:val="ListBullet"/>
        <w:spacing w:after="50"/>
      </w:pPr>
      <w:r>
        <w:t>Permanent user deletion expects child rows to cascade.</w:t>
      </w:r>
    </w:p>
    <w:p>
      <w:pPr>
        <w:pStyle w:val="Heading2"/>
      </w:pPr>
      <w:r>
        <w:t>10.2 Data ownership</w:t>
      </w:r>
    </w:p>
    <w:p>
      <w:pPr/>
      <w:r>
        <w:t>Application queries consistently include user_id filters, and inserts write user_id explicitly. This is a sound application pattern, but production isolation ultimately depends on the database policies and grants.</w:t>
      </w:r>
    </w:p>
    <w:p>
      <w:pPr>
        <w:pStyle w:val="Heading1"/>
      </w:pPr>
      <w:r>
        <w:t>11. Server Actions and API Routes</w:t>
      </w:r>
    </w:p>
    <w:p>
      <w:pPr>
        <w:pStyle w:val="Heading2"/>
      </w:pPr>
      <w:r>
        <w:t>11.1 Server actions</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494"/>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Domain</w:t>
            </w:r>
          </w:p>
        </w:tc>
        <w:tc>
          <w:tcPr>
            <w:tcW w:type="dxa" w:w="6917"/>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Observed actions</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Session</w:t>
            </w:r>
          </w:p>
        </w:tc>
        <w:tc>
          <w:tcPr>
            <w:tcW w:type="dxa" w:w="691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Sign out.</w:t>
            </w:r>
          </w:p>
        </w:tc>
      </w:tr>
      <w:tr>
        <w:tc>
          <w:tcPr>
            <w:tcW w:type="dxa" w:w="249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Accounts</w:t>
            </w:r>
          </w:p>
        </w:tc>
        <w:tc>
          <w:tcPr>
            <w:tcW w:type="dxa" w:w="691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Create, update, activate/deactivate, delete.</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Transactions</w:t>
            </w:r>
          </w:p>
        </w:tc>
        <w:tc>
          <w:tcPr>
            <w:tcW w:type="dxa" w:w="691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Create, update, delete.</w:t>
            </w:r>
          </w:p>
        </w:tc>
      </w:tr>
      <w:tr>
        <w:tc>
          <w:tcPr>
            <w:tcW w:type="dxa" w:w="249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Loans</w:t>
            </w:r>
          </w:p>
        </w:tc>
        <w:tc>
          <w:tcPr>
            <w:tcW w:type="dxa" w:w="691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Upsert repayment profile.</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Goals</w:t>
            </w:r>
          </w:p>
        </w:tc>
        <w:tc>
          <w:tcPr>
            <w:tcW w:type="dxa" w:w="691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Create, update, archive, reactivate, delete.</w:t>
            </w:r>
          </w:p>
        </w:tc>
      </w:tr>
      <w:tr>
        <w:tc>
          <w:tcPr>
            <w:tcW w:type="dxa" w:w="2494"/>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Settings</w:t>
            </w:r>
          </w:p>
        </w:tc>
        <w:tc>
          <w:tcPr>
            <w:tcW w:type="dxa" w:w="691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Update profile, financial preferences, AI preferences, default currency.</w:t>
            </w:r>
          </w:p>
        </w:tc>
      </w:tr>
      <w:tr>
        <w:tc>
          <w:tcPr>
            <w:tcW w:type="dxa" w:w="2494"/>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Data management</w:t>
            </w:r>
          </w:p>
        </w:tc>
        <w:tc>
          <w:tcPr>
            <w:tcW w:type="dxa" w:w="691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Delete all transactions, reset financial data.</w:t>
            </w:r>
          </w:p>
        </w:tc>
      </w:tr>
    </w:tbl>
    <w:p>
      <w:pPr>
        <w:spacing w:after="0"/>
      </w:pPr>
    </w:p>
    <w:p>
      <w:pPr>
        <w:pStyle w:val="Heading2"/>
      </w:pPr>
      <w:r>
        <w:t>11.2 Route handlers</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trPr>
        <w:tc>
          <w:tcPr>
            <w:tcW w:type="dxa" w:w="2551"/>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Route</w:t>
            </w:r>
          </w:p>
        </w:tc>
        <w:tc>
          <w:tcPr>
            <w:tcW w:type="dxa" w:w="907"/>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Method</w:t>
            </w:r>
          </w:p>
        </w:tc>
        <w:tc>
          <w:tcPr>
            <w:tcW w:type="dxa" w:w="2835"/>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Purpose</w:t>
            </w:r>
          </w:p>
        </w:tc>
        <w:tc>
          <w:tcPr>
            <w:tcW w:type="dxa" w:w="311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Important controls</w:t>
            </w:r>
          </w:p>
        </w:tc>
      </w:tr>
      <w:tr>
        <w:tc>
          <w:tcPr>
            <w:tcW w:type="dxa" w:w="255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/api/imports/csv-transactions</w:t>
            </w:r>
          </w:p>
        </w:tc>
        <w:tc>
          <w:tcPr>
            <w:tcW w:type="dxa" w:w="90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POST</w:t>
            </w:r>
          </w:p>
        </w:tc>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Preview or commit CSV imports.</w:t>
            </w:r>
          </w:p>
        </w:tc>
        <w:tc>
          <w:tcPr>
            <w:tcW w:type="dxa" w:w="311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Auth, Zod payload, 5 MB/500 rows, ownership, duplicate hash.</w:t>
            </w:r>
          </w:p>
        </w:tc>
      </w:tr>
      <w:tr>
        <w:tc>
          <w:tcPr>
            <w:tcW w:type="dxa" w:w="255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/api/insights/chat</w:t>
            </w:r>
          </w:p>
        </w:tc>
        <w:tc>
          <w:tcPr>
            <w:tcW w:type="dxa" w:w="90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POST</w:t>
            </w:r>
          </w:p>
        </w:tc>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AI coach question/answer.</w:t>
            </w:r>
          </w:p>
        </w:tc>
        <w:tc>
          <w:tcPr>
            <w:tcW w:type="dxa" w:w="311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Opt-in, aggregate context, model config, usage limit.</w:t>
            </w:r>
          </w:p>
        </w:tc>
      </w:tr>
      <w:tr>
        <w:tc>
          <w:tcPr>
            <w:tcW w:type="dxa" w:w="255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/api/data-export</w:t>
            </w:r>
          </w:p>
        </w:tc>
        <w:tc>
          <w:tcPr>
            <w:tcW w:type="dxa" w:w="90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GET</w:t>
            </w:r>
          </w:p>
        </w:tc>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Complete JSON export.</w:t>
            </w:r>
          </w:p>
        </w:tc>
        <w:tc>
          <w:tcPr>
            <w:tcW w:type="dxa" w:w="311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Authenticated data ownership.</w:t>
            </w:r>
          </w:p>
        </w:tc>
      </w:tr>
      <w:tr>
        <w:tc>
          <w:tcPr>
            <w:tcW w:type="dxa" w:w="255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/api/data-export/transactions</w:t>
            </w:r>
          </w:p>
        </w:tc>
        <w:tc>
          <w:tcPr>
            <w:tcW w:type="dxa" w:w="907"/>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GET</w:t>
            </w:r>
          </w:p>
        </w:tc>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Transaction CSV export.</w:t>
            </w:r>
          </w:p>
        </w:tc>
        <w:tc>
          <w:tcPr>
            <w:tcW w:type="dxa" w:w="311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Authenticated data ownership.</w:t>
            </w:r>
          </w:p>
        </w:tc>
      </w:tr>
      <w:tr>
        <w:tc>
          <w:tcPr>
            <w:tcW w:type="dxa" w:w="255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/api/account/delete</w:t>
            </w:r>
          </w:p>
        </w:tc>
        <w:tc>
          <w:tcPr>
            <w:tcW w:type="dxa" w:w="907"/>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DELETE</w:t>
            </w:r>
          </w:p>
        </w:tc>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Permanent account deletion.</w:t>
            </w:r>
          </w:p>
        </w:tc>
        <w:tc>
          <w:tcPr>
            <w:tcW w:type="dxa" w:w="311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Confirmation, password when applicable, authenticated user.</w:t>
            </w:r>
          </w:p>
        </w:tc>
      </w:tr>
    </w:tbl>
    <w:p>
      <w:pPr>
        <w:spacing w:after="0"/>
      </w:pPr>
    </w:p>
    <w:p>
      <w:pPr>
        <w:pStyle w:val="Heading2"/>
      </w:pPr>
      <w:r>
        <w:t>11.3 Cache revalidation</w:t>
      </w:r>
    </w:p>
    <w:p>
      <w:pPr/>
      <w:r>
        <w:t>Mutations revalidate not only their source page but also every downstream page whose figures depend on the changed records. For example, transaction changes revalidate transactions, accounts, overview, loans, projections, goals, and insights. This avoids stale cross-feature calculations after a successful server mutation.</w:t>
      </w:r>
    </w:p>
    <w:p>
      <w:pPr>
        <w:pStyle w:val="Heading1"/>
      </w:pPr>
      <w:r>
        <w:t>12. Validation, Error Handling, and Cache Consistency</w:t>
      </w:r>
    </w:p>
    <w:p>
      <w:pPr>
        <w:pStyle w:val="Heading2"/>
      </w:pPr>
      <w:r>
        <w:t>12.1 Validation strategy</w:t>
      </w:r>
    </w:p>
    <w:p>
      <w:pPr>
        <w:pStyle w:val="ListBullet"/>
        <w:spacing w:after="50"/>
      </w:pPr>
      <w:r>
        <w:t>Zod schemas validate UUIDs, form values, route payloads, dates, amounts, finite numbers, string lengths, and allowed enums.</w:t>
      </w:r>
    </w:p>
    <w:p>
      <w:pPr>
        <w:pStyle w:val="ListBullet"/>
        <w:spacing w:after="50"/>
      </w:pPr>
      <w:r>
        <w:t>Dynamic client forms limit invalid choices, but the server repeats the reference and ownership checks.</w:t>
      </w:r>
    </w:p>
    <w:p>
      <w:pPr>
        <w:pStyle w:val="ListBullet"/>
        <w:spacing w:after="50"/>
      </w:pPr>
      <w:r>
        <w:t>Category kind must agree with transaction kind.</w:t>
      </w:r>
    </w:p>
    <w:p>
      <w:pPr>
        <w:pStyle w:val="ListBullet"/>
        <w:spacing w:after="50"/>
      </w:pPr>
      <w:r>
        <w:t>CSV preview and commit share server-side preparation logic to minimize mismatch.</w:t>
      </w:r>
    </w:p>
    <w:p>
      <w:pPr>
        <w:pStyle w:val="ListBullet"/>
        <w:spacing w:after="50"/>
      </w:pPr>
      <w:r>
        <w:t>Destructive actions require exact confirmation phrases.</w:t>
      </w:r>
    </w:p>
    <w:p>
      <w:pPr>
        <w:pStyle w:val="ListBullet"/>
        <w:spacing w:after="50"/>
      </w:pPr>
      <w:r>
        <w:t>Inactive-account rules are enforced on new transaction/import workflows.</w:t>
      </w:r>
    </w:p>
    <w:p>
      <w:pPr>
        <w:pStyle w:val="Heading2"/>
      </w:pPr>
      <w:r>
        <w:t>12.2 Error communication</w:t>
      </w:r>
    </w:p>
    <w:p>
      <w:pPr>
        <w:pStyle w:val="ListBullet"/>
        <w:spacing w:after="50"/>
      </w:pPr>
      <w:r>
        <w:t>Server actions return structured states containing status, message, and field errors.</w:t>
      </w:r>
    </w:p>
    <w:p>
      <w:pPr>
        <w:pStyle w:val="ListBullet"/>
        <w:spacing w:after="50"/>
      </w:pPr>
      <w:r>
        <w:t>Dialogs show inline error summaries and field-level feedback.</w:t>
      </w:r>
    </w:p>
    <w:p>
      <w:pPr>
        <w:pStyle w:val="ListBullet"/>
        <w:spacing w:after="50"/>
      </w:pPr>
      <w:r>
        <w:t>Pending submit buttons prevent duplicate submission and communicate progress.</w:t>
      </w:r>
    </w:p>
    <w:p>
      <w:pPr>
        <w:pStyle w:val="ListBullet"/>
        <w:spacing w:after="50"/>
      </w:pPr>
      <w:r>
        <w:t>Route handlers use JSON error bodies and suitable HTTP statuses.</w:t>
      </w:r>
    </w:p>
    <w:p>
      <w:pPr>
        <w:pStyle w:val="ListBullet"/>
        <w:spacing w:after="50"/>
      </w:pPr>
      <w:r>
        <w:t>Database uniqueness, foreign-key, and check errors are mapped into understandable messages where implemented.</w:t>
      </w:r>
    </w:p>
    <w:p>
      <w:pPr>
        <w:pStyle w:val="ListBullet"/>
        <w:spacing w:after="50"/>
      </w:pPr>
      <w:r>
        <w:t>Empty, loading, and page-level error states prevent blank or misleading screens.</w:t>
      </w:r>
    </w:p>
    <w:p>
      <w:pPr>
        <w:pStyle w:val="Heading2"/>
      </w:pPr>
      <w:r>
        <w:t>12.3 Consistency risks</w:t>
      </w:r>
    </w:p>
    <w:p>
      <w:pPr/>
      <w:r>
        <w:t>The financial-data reset currently deletes several tables sequentially. A failure in the middle can leave a partial reset. This should be replaced by a transaction-safe database function or another atomic server-side mechanism before production.</w:t>
      </w:r>
    </w:p>
    <w:p>
      <w:pPr>
        <w:pStyle w:val="Heading1"/>
      </w:pPr>
      <w:r>
        <w:t>13. Security and Privacy</w:t>
      </w:r>
    </w:p>
    <w:p>
      <w:pPr>
        <w:pStyle w:val="Heading2"/>
      </w:pPr>
      <w:r>
        <w:t>13.1 Existing controls</w:t>
      </w:r>
    </w:p>
    <w:p>
      <w:pPr>
        <w:pStyle w:val="ListBullet"/>
        <w:spacing w:after="50"/>
      </w:pPr>
      <w:r>
        <w:t>Protected server layout checks Supabase claims.</w:t>
      </w:r>
    </w:p>
    <w:p>
      <w:pPr>
        <w:pStyle w:val="ListBullet"/>
        <w:spacing w:after="50"/>
      </w:pPr>
      <w:r>
        <w:t>Sensitive mutations require a current authenticated user.</w:t>
      </w:r>
    </w:p>
    <w:p>
      <w:pPr>
        <w:pStyle w:val="ListBullet"/>
        <w:spacing w:after="50"/>
      </w:pPr>
      <w:r>
        <w:t>Queries and writes are scoped by user_id.</w:t>
      </w:r>
    </w:p>
    <w:p>
      <w:pPr>
        <w:pStyle w:val="ListBullet"/>
        <w:spacing w:after="50"/>
      </w:pPr>
      <w:r>
        <w:t>OpenAI keys are server environment values.</w:t>
      </w:r>
    </w:p>
    <w:p>
      <w:pPr>
        <w:pStyle w:val="ListBullet"/>
        <w:spacing w:after="50"/>
      </w:pPr>
      <w:r>
        <w:t>The user can disable AI entirely.</w:t>
      </w:r>
    </w:p>
    <w:p>
      <w:pPr>
        <w:pStyle w:val="ListBullet"/>
        <w:spacing w:after="50"/>
      </w:pPr>
      <w:r>
        <w:t>AI context is restricted to aggregate, read-only metrics by product design.</w:t>
      </w:r>
    </w:p>
    <w:p>
      <w:pPr>
        <w:pStyle w:val="ListBullet"/>
        <w:spacing w:after="50"/>
      </w:pPr>
      <w:r>
        <w:t>Passwords, API keys, bank credentials, full account numbers, transaction notes, and merchant names are excluded from the stated AI context.</w:t>
      </w:r>
    </w:p>
    <w:p>
      <w:pPr>
        <w:pStyle w:val="ListBullet"/>
        <w:spacing w:after="50"/>
      </w:pPr>
      <w:r>
        <w:t>Input and route payload validation reduces injection and malformed-request risk.</w:t>
      </w:r>
    </w:p>
    <w:p>
      <w:pPr>
        <w:pStyle w:val="ListBullet"/>
        <w:spacing w:after="50"/>
      </w:pPr>
      <w:r>
        <w:t>High-risk deletion operations use explicit confirmation, and password users require reauthentication.</w:t>
      </w:r>
    </w:p>
    <w:p>
      <w:pPr>
        <w:pStyle w:val="ListBullet"/>
        <w:spacing w:after="50"/>
      </w:pPr>
      <w:r>
        <w:t>Data export and deletion capabilities support user control and portability.</w:t>
      </w:r>
    </w:p>
    <w:p>
      <w:pPr>
        <w:pStyle w:val="Heading2"/>
      </w:pPr>
      <w:r>
        <w:t>13.2 Security assumptions requiring proof</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26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Area</w:t>
            </w:r>
          </w:p>
        </w:tc>
        <w:tc>
          <w:tcPr>
            <w:tcW w:type="dxa" w:w="7143"/>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Required verification</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RLS and grants</w:t>
            </w:r>
          </w:p>
        </w:tc>
        <w:tc>
          <w:tcPr>
            <w:tcW w:type="dxa" w:w="714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Every user-owned table denies cross-user access, including direct REST calls and database functions.</w:t>
            </w:r>
          </w:p>
        </w:tc>
      </w:tr>
      <w:tr>
        <w:tc>
          <w:tcPr>
            <w:tcW w:type="dxa" w:w="226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Secrets</w:t>
            </w:r>
          </w:p>
        </w:tc>
        <w:tc>
          <w:tcPr>
            <w:tcW w:type="dxa" w:w="714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Service-role and OpenAI keys never enter browser bundles, logs, screenshots, or client environment variables.</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Rate limiting</w:t>
            </w:r>
          </w:p>
        </w:tc>
        <w:tc>
          <w:tcPr>
            <w:tcW w:type="dxa" w:w="714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AI, auth-sensitive, import, export, and deletion routes resist abuse and accidental storms.</w:t>
            </w:r>
          </w:p>
        </w:tc>
      </w:tr>
      <w:tr>
        <w:tc>
          <w:tcPr>
            <w:tcW w:type="dxa" w:w="226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CSRF/origin</w:t>
            </w:r>
          </w:p>
        </w:tc>
        <w:tc>
          <w:tcPr>
            <w:tcW w:type="dxa" w:w="714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Sensitive state-changing routes validate the expected browser/origin behavior.</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Security headers</w:t>
            </w:r>
          </w:p>
        </w:tc>
        <w:tc>
          <w:tcPr>
            <w:tcW w:type="dxa" w:w="714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CSP, HSTS, frame protection, MIME protection, referrer and permissions policies.</w:t>
            </w:r>
          </w:p>
        </w:tc>
      </w:tr>
      <w:tr>
        <w:tc>
          <w:tcPr>
            <w:tcW w:type="dxa" w:w="226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Logging</w:t>
            </w:r>
          </w:p>
        </w:tc>
        <w:tc>
          <w:tcPr>
            <w:tcW w:type="dxa" w:w="714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No sensitive financial payloads, prompts, credentials, or export contents are logged.</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Dependencies</w:t>
            </w:r>
          </w:p>
        </w:tc>
        <w:tc>
          <w:tcPr>
            <w:tcW w:type="dxa" w:w="714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Automated vulnerability, license, secret, and supply-chain scanning.</w:t>
            </w:r>
          </w:p>
        </w:tc>
      </w:tr>
      <w:tr>
        <w:tc>
          <w:tcPr>
            <w:tcW w:type="dxa" w:w="226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Backups/deletion</w:t>
            </w:r>
          </w:p>
        </w:tc>
        <w:tc>
          <w:tcPr>
            <w:tcW w:type="dxa" w:w="714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Retention, backup restore, and user-deletion behavior meet the intended privacy policy.</w:t>
            </w:r>
          </w:p>
        </w:tc>
      </w:tr>
    </w:tbl>
    <w:p>
      <w:pPr>
        <w:spacing w:after="0"/>
      </w:pPr>
    </w:p>
    <w:tbl>
      <w:tblPr>
        <w:tblW w:type="auto" w:w="0"/>
        <w:jc w:val="center"/>
        <w:tblLook w:firstColumn="1" w:firstRow="1" w:lastColumn="0" w:lastRow="0" w:noHBand="0" w:noVBand="1" w:val="04A0"/>
      </w:tblPr>
      <w:tblGrid>
        <w:gridCol w:w="9978"/>
      </w:tblGrid>
      <w:tr>
        <w:trPr>
          <w:tblHeader w:val="true"/>
        </w:trPr>
        <w:tc>
          <w:tcPr>
            <w:tcW w:type="dxa" w:w="9978"/>
            <w:shd w:fill="FEF2F2"/>
            <w:tcMar>
              <w:top w:w="130" w:type="dxa"/>
              <w:start w:w="170" w:type="dxa"/>
              <w:bottom w:w="130" w:type="dxa"/>
              <w:end w:w="170" w:type="dxa"/>
            </w:tcMar>
            <w:tcBorders>
              <w:top w:val="single" w:sz="6" w:color="B91C1C"/>
              <w:left w:val="single" w:sz="18" w:color="B91C1C"/>
              <w:bottom w:val="single" w:sz="6" w:color="B91C1C"/>
              <w:right w:val="single" w:sz="6" w:color="B91C1C"/>
            </w:tcBorders>
          </w:tcPr>
          <w:p>
            <w:pPr>
              <w:pStyle w:val="TableText"/>
            </w:pPr>
            <w:r>
              <w:rPr>
                <w:b/>
                <w:color w:val="B91C1C"/>
                <w:sz w:val="18"/>
              </w:rPr>
              <w:t>Credential hygiene</w:t>
              <w:br/>
            </w:r>
            <w:r>
              <w:rPr>
                <w:color w:val="334155"/>
                <w:sz w:val="17"/>
              </w:rPr>
              <w:t>Any secret that has been pasted into chat, source code, issue trackers, screenshots, or logs should be treated as exposed and rotated. SUPABASE_SECRET_KEY must remain server-only and must never use a NEXT_PUBLIC_* prefix.</w:t>
            </w:r>
          </w:p>
        </w:tc>
      </w:tr>
    </w:tbl>
    <w:p>
      <w:pPr>
        <w:spacing w:after="0"/>
      </w:pPr>
    </w:p>
    <w:p>
      <w:pPr>
        <w:pStyle w:val="Heading2"/>
      </w:pPr>
      <w:r>
        <w:t>13.3 AI privacy model</w:t>
      </w:r>
    </w:p>
    <w:p>
      <w:pPr/>
      <w:r>
        <w:t>AI is opt-in, configuration-dependent, and separate from deterministic analytics. Disabling AI blocks OpenAI requests while preserving locally calculated insights. Usage metadata is visible to the user, and the coach is presented as explanatory rather than authoritative.</w:t>
      </w:r>
    </w:p>
    <w:p>
      <w:pPr>
        <w:pStyle w:val="Heading1"/>
      </w:pPr>
      <w:r>
        <w:t>14. UI, Responsive Design, and Accessibility</w:t>
      </w:r>
    </w:p>
    <w:p>
      <w:pPr>
        <w:pStyle w:val="Heading2"/>
      </w:pPr>
      <w:r>
        <w:t>14.1 Visual system</w:t>
      </w:r>
    </w:p>
    <w:p>
      <w:pPr>
        <w:pStyle w:val="ListBullet"/>
        <w:spacing w:after="50"/>
      </w:pPr>
      <w:r>
        <w:t>Dark dashboard foundation with subtle elevated surfaces.</w:t>
      </w:r>
    </w:p>
    <w:p>
      <w:pPr>
        <w:pStyle w:val="ListBullet"/>
        <w:spacing w:after="50"/>
      </w:pPr>
      <w:r>
        <w:t>Cyan primary accent and semantic violet, emerald, amber, and red states.</w:t>
      </w:r>
    </w:p>
    <w:p>
      <w:pPr>
        <w:pStyle w:val="ListBullet"/>
        <w:spacing w:after="50"/>
      </w:pPr>
      <w:r>
        <w:t>Apple/system font stack and tabular financial-number treatment.</w:t>
      </w:r>
    </w:p>
    <w:p>
      <w:pPr>
        <w:pStyle w:val="ListBullet"/>
        <w:spacing w:after="50"/>
      </w:pPr>
      <w:r>
        <w:t>Shared spacing, border, radius, shadow, and state conventions.</w:t>
      </w:r>
    </w:p>
    <w:p>
      <w:pPr>
        <w:pStyle w:val="ListBullet"/>
        <w:spacing w:after="50"/>
      </w:pPr>
      <w:r>
        <w:t>Consistent icon language through Lucide.</w:t>
      </w:r>
    </w:p>
    <w:p>
      <w:pPr>
        <w:pStyle w:val="ListBullet"/>
        <w:spacing w:after="50"/>
      </w:pPr>
      <w:r>
        <w:t>Chart colors driven through shared chart configuration rather than one-off styling.</w:t>
      </w:r>
    </w:p>
    <w:p>
      <w:pPr>
        <w:pStyle w:val="Heading2"/>
      </w:pPr>
      <w:r>
        <w:t>14.2 Shared components</w:t>
      </w:r>
    </w:p>
    <w:p>
      <w:pPr/>
      <w:r>
        <w:t>The project owns reusable Button, Input, Textarea, Label, Card, Dialog, Alert Dialog, Sheet, Select, Table, Badge, Progress, Tabs, Chart, Skeleton, Tooltip, Popover, Calendar, and toast components. Feature screens build on these primitives rather than recreating interaction patterns.</w:t>
      </w:r>
    </w:p>
    <w:p>
      <w:pPr>
        <w:pStyle w:val="Heading2"/>
      </w:pPr>
      <w:r>
        <w:t>14.3 Responsive behavior</w:t>
      </w:r>
    </w:p>
    <w:p>
      <w:pPr>
        <w:pStyle w:val="ListBullet"/>
        <w:spacing w:after="50"/>
      </w:pPr>
      <w:r>
        <w:t>Fixed desktop sidebar with protected workspace navigation.</w:t>
      </w:r>
    </w:p>
    <w:p>
      <w:pPr>
        <w:pStyle w:val="ListBullet"/>
        <w:spacing w:after="50"/>
      </w:pPr>
      <w:r>
        <w:t>Mobile sheet navigation with a labeled trigger and close-on-navigation behavior.</w:t>
      </w:r>
    </w:p>
    <w:p>
      <w:pPr>
        <w:pStyle w:val="ListBullet"/>
        <w:spacing w:after="50"/>
      </w:pPr>
      <w:r>
        <w:t>Responsive summary-card grids.</w:t>
      </w:r>
    </w:p>
    <w:p>
      <w:pPr>
        <w:pStyle w:val="ListBullet"/>
        <w:spacing w:after="50"/>
      </w:pPr>
      <w:r>
        <w:t>Mobile transaction cards paired with a semantic desktop table.</w:t>
      </w:r>
    </w:p>
    <w:p>
      <w:pPr>
        <w:pStyle w:val="ListBullet"/>
        <w:spacing w:after="50"/>
      </w:pPr>
      <w:r>
        <w:t>Horizontal overflow handling for dense projection and amortization tables.</w:t>
      </w:r>
    </w:p>
    <w:p>
      <w:pPr>
        <w:pStyle w:val="ListBullet"/>
        <w:spacing w:after="50"/>
      </w:pPr>
      <w:r>
        <w:t>Viewport-constrained dialogs and touch-friendly controls.</w:t>
      </w:r>
    </w:p>
    <w:p>
      <w:pPr>
        <w:pStyle w:val="ListBullet"/>
        <w:spacing w:after="50"/>
      </w:pPr>
      <w:r>
        <w:t>Charts sized within responsive containers and accompanied by textual metrics and tables.</w:t>
      </w:r>
    </w:p>
    <w:p>
      <w:pPr>
        <w:pStyle w:val="Heading2"/>
      </w:pPr>
      <w:r>
        <w:t>14.4 Accessibility measures present</w:t>
      </w:r>
    </w:p>
    <w:p>
      <w:pPr>
        <w:pStyle w:val="ListBullet"/>
        <w:spacing w:after="50"/>
      </w:pPr>
      <w:r>
        <w:t>Semantic main, navigation, section, article, header, footer, table, and form structures.</w:t>
      </w:r>
    </w:p>
    <w:p>
      <w:pPr>
        <w:pStyle w:val="ListBullet"/>
        <w:spacing w:after="50"/>
      </w:pPr>
      <w:r>
        <w:t>aria-current on active navigation.</w:t>
      </w:r>
    </w:p>
    <w:p>
      <w:pPr>
        <w:pStyle w:val="ListBullet"/>
        <w:spacing w:after="50"/>
      </w:pPr>
      <w:r>
        <w:t>Accessible names for icon-only buttons and mobile menu triggers.</w:t>
      </w:r>
    </w:p>
    <w:p>
      <w:pPr>
        <w:pStyle w:val="ListBullet"/>
        <w:spacing w:after="50"/>
      </w:pPr>
      <w:r>
        <w:t>Explicit form labels, error messaging, and pending states.</w:t>
      </w:r>
    </w:p>
    <w:p>
      <w:pPr>
        <w:pStyle w:val="ListBullet"/>
        <w:spacing w:after="50"/>
      </w:pPr>
      <w:r>
        <w:t>Alert semantics for negative balances, invalid amortization, and other urgent conditions.</w:t>
      </w:r>
    </w:p>
    <w:p>
      <w:pPr>
        <w:pStyle w:val="ListBullet"/>
        <w:spacing w:after="50"/>
      </w:pPr>
      <w:r>
        <w:t>Keyboard-operable Base UI dialogs, sheets, selects, and overlays.</w:t>
      </w:r>
    </w:p>
    <w:p>
      <w:pPr>
        <w:pStyle w:val="ListBullet"/>
        <w:spacing w:after="50"/>
      </w:pPr>
      <w:r>
        <w:t>Visible focus treatment and larger interaction targets.</w:t>
      </w:r>
    </w:p>
    <w:p>
      <w:pPr>
        <w:pStyle w:val="ListBullet"/>
        <w:spacing w:after="50"/>
      </w:pPr>
      <w:r>
        <w:t>Recharts accessibility layer and non-chart equivalents.</w:t>
      </w:r>
    </w:p>
    <w:p>
      <w:pPr>
        <w:pStyle w:val="ListBullet"/>
        <w:spacing w:after="50"/>
      </w:pPr>
      <w:r>
        <w:t>Color supported by text labels and symbols for material statuses.</w:t>
      </w:r>
    </w:p>
    <w:tbl>
      <w:tblPr>
        <w:tblW w:type="auto" w:w="0"/>
        <w:jc w:val="center"/>
        <w:tblLook w:firstColumn="1" w:firstRow="1" w:lastColumn="0" w:lastRow="0" w:noHBand="0" w:noVBand="1" w:val="04A0"/>
      </w:tblPr>
      <w:tblGrid>
        <w:gridCol w:w="9978"/>
      </w:tblGrid>
      <w:tr>
        <w:trPr>
          <w:tblHeader w:val="true"/>
        </w:trPr>
        <w:tc>
          <w:tcPr>
            <w:tcW w:type="dxa" w:w="9978"/>
            <w:shd w:fill="FFF7ED"/>
            <w:tcMar>
              <w:top w:w="130" w:type="dxa"/>
              <w:start w:w="170" w:type="dxa"/>
              <w:bottom w:w="130" w:type="dxa"/>
              <w:end w:w="170" w:type="dxa"/>
            </w:tcMar>
            <w:tcBorders>
              <w:top w:val="single" w:sz="6" w:color="B45309"/>
              <w:left w:val="single" w:sz="18" w:color="B45309"/>
              <w:bottom w:val="single" w:sz="6" w:color="B45309"/>
              <w:right w:val="single" w:sz="6" w:color="B45309"/>
            </w:tcBorders>
          </w:tcPr>
          <w:p>
            <w:pPr>
              <w:pStyle w:val="TableText"/>
            </w:pPr>
            <w:r>
              <w:rPr>
                <w:b/>
                <w:color w:val="B45309"/>
                <w:sz w:val="18"/>
              </w:rPr>
              <w:t>Accessibility status</w:t>
              <w:br/>
            </w:r>
            <w:r>
              <w:rPr>
                <w:color w:val="334155"/>
                <w:sz w:val="17"/>
              </w:rPr>
              <w:t>The implementation contains strong foundations, but no formal WCAG 2.2 AA certification or complete screen-reader, keyboard, zoom, reduced-motion, and contrast test report has been produced.</w:t>
            </w:r>
          </w:p>
        </w:tc>
      </w:tr>
    </w:tbl>
    <w:p>
      <w:pPr>
        <w:spacing w:after="0"/>
      </w:pPr>
    </w:p>
    <w:p>
      <w:pPr>
        <w:pStyle w:val="Heading1"/>
      </w:pPr>
      <w:r>
        <w:t>15. Developer Setup, Configuration, and Operations</w:t>
      </w:r>
    </w:p>
    <w:p>
      <w:pPr>
        <w:pStyle w:val="Heading2"/>
      </w:pPr>
      <w:r>
        <w:t>15.1 Standard commands</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835"/>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Command</w:t>
            </w:r>
          </w:p>
        </w:tc>
        <w:tc>
          <w:tcPr>
            <w:tcW w:type="dxa" w:w="6576"/>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Purpose</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npm install</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Install project dependencies.</w:t>
            </w:r>
          </w:p>
        </w:tc>
      </w:tr>
      <w:tr>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npm run dev</w:t>
            </w:r>
          </w:p>
        </w:tc>
        <w:tc>
          <w:tcPr>
            <w:tcW w:type="dxa" w:w="657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Start the Next.js development server.</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npm run lint</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Run ESLint across the application.</w:t>
            </w:r>
          </w:p>
        </w:tc>
      </w:tr>
      <w:tr>
        <w:tc>
          <w:tcPr>
            <w:tcW w:type="dxa" w:w="283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npm run build</w:t>
            </w:r>
          </w:p>
        </w:tc>
        <w:tc>
          <w:tcPr>
            <w:tcW w:type="dxa" w:w="657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Create and type-check the production build.</w:t>
            </w:r>
          </w:p>
        </w:tc>
      </w:tr>
      <w:tr>
        <w:tc>
          <w:tcPr>
            <w:tcW w:type="dxa" w:w="283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npm run start</w:t>
            </w:r>
          </w:p>
        </w:tc>
        <w:tc>
          <w:tcPr>
            <w:tcW w:type="dxa" w:w="657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Run the generated production server.</w:t>
            </w:r>
          </w:p>
        </w:tc>
      </w:tr>
    </w:tbl>
    <w:p>
      <w:pPr>
        <w:spacing w:after="0"/>
      </w:pPr>
    </w:p>
    <w:p>
      <w:pPr>
        <w:pStyle w:val="Heading2"/>
      </w:pPr>
      <w:r>
        <w:t>15.2 Environment configuration</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60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Configuration</w:t>
            </w:r>
          </w:p>
        </w:tc>
        <w:tc>
          <w:tcPr>
            <w:tcW w:type="dxa" w:w="1701"/>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Visibility</w:t>
            </w:r>
          </w:p>
        </w:tc>
        <w:tc>
          <w:tcPr>
            <w:tcW w:type="dxa" w:w="5102"/>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Purpose / note</w:t>
            </w:r>
          </w:p>
        </w:tc>
      </w:tr>
      <w:tr>
        <w:tc>
          <w:tcPr>
            <w:tcW w:type="dxa" w:w="260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Supabase project URL</w:t>
            </w:r>
          </w:p>
        </w:tc>
        <w:tc>
          <w:tcPr>
            <w:tcW w:type="dxa" w:w="170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Browser-safe</w:t>
            </w:r>
          </w:p>
        </w:tc>
        <w:tc>
          <w:tcPr>
            <w:tcW w:type="dxa" w:w="51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Used by browser and server Supabase helpers; use the exact variable name in the project .env example.</w:t>
            </w:r>
          </w:p>
        </w:tc>
      </w:tr>
      <w:tr>
        <w:tc>
          <w:tcPr>
            <w:tcW w:type="dxa" w:w="260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Supabase public/publishable key</w:t>
            </w:r>
          </w:p>
        </w:tc>
        <w:tc>
          <w:tcPr>
            <w:tcW w:type="dxa" w:w="170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Browser-safe</w:t>
            </w:r>
          </w:p>
        </w:tc>
        <w:tc>
          <w:tcPr>
            <w:tcW w:type="dxa" w:w="510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Must be RLS-limited; use the exact variable name already referenced by the helpers.</w:t>
            </w:r>
          </w:p>
        </w:tc>
      </w:tr>
      <w:tr>
        <w:tc>
          <w:tcPr>
            <w:tcW w:type="dxa" w:w="260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SUPABASE_SECRET_KEY</w:t>
            </w:r>
          </w:p>
        </w:tc>
        <w:tc>
          <w:tcPr>
            <w:tcW w:type="dxa" w:w="170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Server only</w:t>
            </w:r>
          </w:p>
        </w:tc>
        <w:tc>
          <w:tcPr>
            <w:tcW w:type="dxa" w:w="51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Administrative/service operations; never expose to the client.</w:t>
            </w:r>
          </w:p>
        </w:tc>
      </w:tr>
      <w:tr>
        <w:tc>
          <w:tcPr>
            <w:tcW w:type="dxa" w:w="260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OPENAI_API_KEY</w:t>
            </w:r>
          </w:p>
        </w:tc>
        <w:tc>
          <w:tcPr>
            <w:tcW w:type="dxa" w:w="170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Server only</w:t>
            </w:r>
          </w:p>
        </w:tc>
        <w:tc>
          <w:tcPr>
            <w:tcW w:type="dxa" w:w="5102"/>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Required to enable Ask FinSight.</w:t>
            </w:r>
          </w:p>
        </w:tc>
      </w:tr>
      <w:tr>
        <w:tc>
          <w:tcPr>
            <w:tcW w:type="dxa" w:w="260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OPENAI_MODEL</w:t>
            </w:r>
          </w:p>
        </w:tc>
        <w:tc>
          <w:tcPr>
            <w:tcW w:type="dxa" w:w="170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Server only/config</w:t>
            </w:r>
          </w:p>
        </w:tc>
        <w:tc>
          <w:tcPr>
            <w:tcW w:type="dxa" w:w="5102"/>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Model used by the AI route.</w:t>
            </w:r>
          </w:p>
        </w:tc>
      </w:tr>
    </w:tbl>
    <w:p>
      <w:pPr>
        <w:spacing w:after="0"/>
      </w:pPr>
    </w:p>
    <w:p>
      <w:pPr>
        <w:pStyle w:val="Heading2"/>
      </w:pPr>
      <w:r>
        <w:t>15.3 Pre-merge verification</w:t>
      </w:r>
    </w:p>
    <w:p>
      <w:pPr>
        <w:spacing w:after="50"/>
        <w:ind w:left="329" w:hanging="329"/>
      </w:pPr>
      <w:r>
        <w:rPr>
          <w:b/>
          <w:color w:val="0F2747"/>
        </w:rPr>
        <w:t xml:space="preserve">1.  </w:t>
      </w:r>
      <w:r>
        <w:t>Run npm run lint and resolve every error and warning.</w:t>
      </w:r>
    </w:p>
    <w:p>
      <w:pPr>
        <w:spacing w:after="50"/>
        <w:ind w:left="329" w:hanging="329"/>
      </w:pPr>
      <w:r>
        <w:rPr>
          <w:b/>
          <w:color w:val="0F2747"/>
        </w:rPr>
        <w:t xml:space="preserve">2.  </w:t>
      </w:r>
      <w:r>
        <w:t>Run npm run build and resolve TypeScript, server/client boundary, and route compilation failures.</w:t>
      </w:r>
    </w:p>
    <w:p>
      <w:pPr>
        <w:spacing w:after="50"/>
        <w:ind w:left="329" w:hanging="329"/>
      </w:pPr>
      <w:r>
        <w:rPr>
          <w:b/>
          <w:color w:val="0F2747"/>
        </w:rPr>
        <w:t xml:space="preserve">3.  </w:t>
      </w:r>
      <w:r>
        <w:t>Start the production build locally and exercise critical routes.</w:t>
      </w:r>
    </w:p>
    <w:p>
      <w:pPr>
        <w:spacing w:after="50"/>
        <w:ind w:left="329" w:hanging="329"/>
      </w:pPr>
      <w:r>
        <w:rPr>
          <w:b/>
          <w:color w:val="0F2747"/>
        </w:rPr>
        <w:t xml:space="preserve">4.  </w:t>
      </w:r>
      <w:r>
        <w:t>Review changed database operations for user_id scope and revalidation coverage.</w:t>
      </w:r>
    </w:p>
    <w:p>
      <w:pPr>
        <w:spacing w:after="50"/>
        <w:ind w:left="329" w:hanging="329"/>
      </w:pPr>
      <w:r>
        <w:rPr>
          <w:b/>
          <w:color w:val="0F2747"/>
        </w:rPr>
        <w:t xml:space="preserve">5.  </w:t>
      </w:r>
      <w:r>
        <w:t>Verify mobile, desktop, keyboard, loading, success, error, and empty states.</w:t>
      </w:r>
    </w:p>
    <w:p>
      <w:pPr>
        <w:spacing w:after="50"/>
        <w:ind w:left="329" w:hanging="329"/>
      </w:pPr>
      <w:r>
        <w:rPr>
          <w:b/>
          <w:color w:val="0F2747"/>
        </w:rPr>
        <w:t xml:space="preserve">6.  </w:t>
      </w:r>
      <w:r>
        <w:t>Confirm no secret or financial data was added to commits or logs.</w:t>
      </w:r>
    </w:p>
    <w:p>
      <w:pPr>
        <w:pStyle w:val="Heading2"/>
      </w:pPr>
      <w:r>
        <w:t>15.4 Recommended environment model</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26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Environment</w:t>
            </w:r>
          </w:p>
        </w:tc>
        <w:tc>
          <w:tcPr>
            <w:tcW w:type="dxa" w:w="7143"/>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Purpose</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Local</w:t>
            </w:r>
          </w:p>
        </w:tc>
        <w:tc>
          <w:tcPr>
            <w:tcW w:type="dxa" w:w="714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Developer Supabase project or safe local stack; non-production AI key/limits.</w:t>
            </w:r>
          </w:p>
        </w:tc>
      </w:tr>
      <w:tr>
        <w:tc>
          <w:tcPr>
            <w:tcW w:type="dxa" w:w="226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Staging</w:t>
            </w:r>
          </w:p>
        </w:tc>
        <w:tc>
          <w:tcPr>
            <w:tcW w:type="dxa" w:w="714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Production-like auth, schema, migrations, monitoring, and smoke tests with synthetic data.</w:t>
            </w:r>
          </w:p>
        </w:tc>
      </w:tr>
      <w:tr>
        <w:tc>
          <w:tcPr>
            <w:tcW w:type="dxa" w:w="226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Production</w:t>
            </w:r>
          </w:p>
        </w:tc>
        <w:tc>
          <w:tcPr>
            <w:tcW w:type="dxa" w:w="714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Locked secrets, approved migrations, RLS verification, backups, monitoring, incident response.</w:t>
            </w:r>
          </w:p>
        </w:tc>
      </w:tr>
    </w:tbl>
    <w:p>
      <w:pPr>
        <w:spacing w:after="0"/>
      </w:pPr>
    </w:p>
    <w:p>
      <w:pPr>
        <w:pStyle w:val="Heading1"/>
      </w:pPr>
      <w:r>
        <w:t>16. Known Limitations and Risk Register</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665"/>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Limitation / risk</w:t>
            </w:r>
          </w:p>
        </w:tc>
        <w:tc>
          <w:tcPr>
            <w:tcW w:type="dxa" w:w="3061"/>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Impact</w:t>
            </w:r>
          </w:p>
        </w:tc>
        <w:tc>
          <w:tcPr>
            <w:tcW w:type="dxa" w:w="3685"/>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Current mitigation</w:t>
            </w:r>
          </w:p>
        </w:tc>
      </w:tr>
      <w:tr>
        <w:tc>
          <w:tcPr>
            <w:tcW w:type="dxa" w:w="266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No automatic bank synchronization</w:t>
            </w:r>
          </w:p>
        </w:tc>
        <w:tc>
          <w:tcPr>
            <w:tcW w:type="dxa" w:w="306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Manual entry/import required.</w:t>
            </w:r>
          </w:p>
        </w:tc>
        <w:tc>
          <w:tcPr>
            <w:tcW w:type="dxa" w:w="368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CSV import and direct transaction entry.</w:t>
            </w:r>
          </w:p>
        </w:tc>
      </w:tr>
      <w:tr>
        <w:tc>
          <w:tcPr>
            <w:tcW w:type="dxa" w:w="266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No cross-currency loan payment</w:t>
            </w:r>
          </w:p>
        </w:tc>
        <w:tc>
          <w:tcPr>
            <w:tcW w:type="dxa" w:w="306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Cannot model payment from one currency into a different-currency loan.</w:t>
            </w:r>
          </w:p>
        </w:tc>
        <w:tc>
          <w:tcPr>
            <w:tcW w:type="dxa" w:w="368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Server rejects mismatched currencies.</w:t>
            </w:r>
          </w:p>
        </w:tc>
      </w:tr>
      <w:tr>
        <w:tc>
          <w:tcPr>
            <w:tcW w:type="dxa" w:w="266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Static FX assumption in projections</w:t>
            </w:r>
          </w:p>
        </w:tc>
        <w:tc>
          <w:tcPr>
            <w:tcW w:type="dxa" w:w="306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Future balances may differ materially when FX moves.</w:t>
            </w:r>
          </w:p>
        </w:tc>
        <w:tc>
          <w:tcPr>
            <w:tcW w:type="dxa" w:w="368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Effective rate date and warning are displayed.</w:t>
            </w:r>
          </w:p>
        </w:tc>
      </w:tr>
      <w:tr>
        <w:tc>
          <w:tcPr>
            <w:tcW w:type="dxa" w:w="266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CSV request caps</w:t>
            </w:r>
          </w:p>
        </w:tc>
        <w:tc>
          <w:tcPr>
            <w:tcW w:type="dxa" w:w="306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Large histories require multiple batches.</w:t>
            </w:r>
          </w:p>
        </w:tc>
        <w:tc>
          <w:tcPr>
            <w:tcW w:type="dxa" w:w="368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5 MB/500-row validation prevents oversized synchronous work.</w:t>
            </w:r>
          </w:p>
        </w:tc>
      </w:tr>
      <w:tr>
        <w:tc>
          <w:tcPr>
            <w:tcW w:type="dxa" w:w="266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CSV excludes loan-payment kind</w:t>
            </w:r>
          </w:p>
        </w:tc>
        <w:tc>
          <w:tcPr>
            <w:tcW w:type="dxa" w:w="306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Loan history cannot be bulk imported through the current route.</w:t>
            </w:r>
          </w:p>
        </w:tc>
        <w:tc>
          <w:tcPr>
            <w:tcW w:type="dxa" w:w="368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Manual loan-payment entry remains available.</w:t>
            </w:r>
          </w:p>
        </w:tc>
      </w:tr>
      <w:tr>
        <w:tc>
          <w:tcPr>
            <w:tcW w:type="dxa" w:w="266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Loan model is generalized</w:t>
            </w:r>
          </w:p>
        </w:tc>
        <w:tc>
          <w:tcPr>
            <w:tcW w:type="dxa" w:w="306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May not match lender statements exactly.</w:t>
            </w:r>
          </w:p>
        </w:tc>
        <w:tc>
          <w:tcPr>
            <w:tcW w:type="dxa" w:w="368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Explicit estimate disclaimer and editable assumptions.</w:t>
            </w:r>
          </w:p>
        </w:tc>
      </w:tr>
      <w:tr>
        <w:tc>
          <w:tcPr>
            <w:tcW w:type="dxa" w:w="266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AI can be wrong</w:t>
            </w:r>
          </w:p>
        </w:tc>
        <w:tc>
          <w:tcPr>
            <w:tcW w:type="dxa" w:w="306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Explanation may be incomplete or misleading.</w:t>
            </w:r>
          </w:p>
        </w:tc>
        <w:tc>
          <w:tcPr>
            <w:tcW w:type="dxa" w:w="368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Deterministic calculations remain authoritative; disclaimer shown.</w:t>
            </w:r>
          </w:p>
        </w:tc>
      </w:tr>
      <w:tr>
        <w:tc>
          <w:tcPr>
            <w:tcW w:type="dxa" w:w="266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No automated test suite</w:t>
            </w:r>
          </w:p>
        </w:tc>
        <w:tc>
          <w:tcPr>
            <w:tcW w:type="dxa" w:w="306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Regression risk across tightly coupled calculations.</w:t>
            </w:r>
          </w:p>
        </w:tc>
        <w:tc>
          <w:tcPr>
            <w:tcW w:type="dxa" w:w="368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Manual verification only until tests are added.</w:t>
            </w:r>
          </w:p>
        </w:tc>
      </w:tr>
      <w:tr>
        <w:tc>
          <w:tcPr>
            <w:tcW w:type="dxa" w:w="266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Sequential financial reset</w:t>
            </w:r>
          </w:p>
        </w:tc>
        <w:tc>
          <w:tcPr>
            <w:tcW w:type="dxa" w:w="306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Partial deletion possible on mid-operation failure.</w:t>
            </w:r>
          </w:p>
        </w:tc>
        <w:tc>
          <w:tcPr>
            <w:tcW w:type="dxa" w:w="368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Deletion order reduces FK conflicts but is not atomic.</w:t>
            </w:r>
          </w:p>
        </w:tc>
      </w:tr>
      <w:tr>
        <w:tc>
          <w:tcPr>
            <w:tcW w:type="dxa" w:w="266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Production operations unverified</w:t>
            </w:r>
          </w:p>
        </w:tc>
        <w:tc>
          <w:tcPr>
            <w:tcW w:type="dxa" w:w="306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Unknown monitoring, backup, rollback, and incident readiness.</w:t>
            </w:r>
          </w:p>
        </w:tc>
        <w:tc>
          <w:tcPr>
            <w:tcW w:type="dxa" w:w="368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Listed as a release blocker.</w:t>
            </w:r>
          </w:p>
        </w:tc>
      </w:tr>
    </w:tbl>
    <w:p>
      <w:pPr>
        <w:spacing w:after="0"/>
      </w:pPr>
    </w:p>
    <w:p>
      <w:pPr>
        <w:pStyle w:val="Heading1"/>
      </w:pPr>
      <w:r>
        <w:t>17. Release and Verification Checklist</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381"/>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Area</w:t>
            </w:r>
          </w:p>
        </w:tc>
        <w:tc>
          <w:tcPr>
            <w:tcW w:type="dxa" w:w="7030"/>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5"/>
              </w:rPr>
              <w:t>Release evidence required</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Code quality</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Zero lint errors/warnings; successful production build; reviewed dependency lockfile.</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Authentication</w:t>
            </w:r>
          </w:p>
        </w:tc>
        <w:tc>
          <w:tcPr>
            <w:tcW w:type="dxa" w:w="7030"/>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Login/logout/session expiry/provider flows verified; protected routes reject unauthenticated access.</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Authorization</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RLS tests prove one user cannot read or mutate another user’s records.</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Accounts/transactions</w:t>
            </w:r>
          </w:p>
        </w:tc>
        <w:tc>
          <w:tcPr>
            <w:tcW w:type="dxa" w:w="7030"/>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CRUD, inactive rules, deletion guards, balance effects, categories, recurrence verified.</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CSV import</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Preview/commit parity, duplicates, invalid rows, fallbacks, limits, history, retry behavior verified.</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Currency</w:t>
            </w:r>
          </w:p>
        </w:tc>
        <w:tc>
          <w:tcPr>
            <w:tcW w:type="dxa" w:w="7030"/>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USD/EUR/INR conversions, effective date, rounding, missing-rate failure verified.</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Projections</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Frequency cases, dates, growth/inflation, negative balance, chart/table totals verified.</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Loans</w:t>
            </w:r>
          </w:p>
        </w:tc>
        <w:tc>
          <w:tcPr>
            <w:tcW w:type="dxa" w:w="7030"/>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Zero/low/high rate, extra payments, one-time payments, non-amortization, payoff date verified.</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Goals</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Manual/linked progress, baseline, target dates, archive/reactivate, affordability warning verified.</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Insights/AI</w:t>
            </w:r>
          </w:p>
        </w:tc>
        <w:tc>
          <w:tcPr>
            <w:tcW w:type="dxa" w:w="7030"/>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Score reproducibility, anomaly thresholds, opt-in, excluded fields, rate limit, failures verified.</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Settings/data</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Preferences, exports, deletion confirmations, password reauth, cascade and reset verified.</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Accessibility</w:t>
            </w:r>
          </w:p>
        </w:tc>
        <w:tc>
          <w:tcPr>
            <w:tcW w:type="dxa" w:w="7030"/>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Keyboard, screen reader, 200-400% zoom, contrast, errors, reduced motion, chart alternatives verified.</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Operations</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5"/>
              </w:rPr>
              <w:t>Migrations, backup/restore, rollback, monitoring, alerts, runbooks, privacy/terms/support ready.</w:t>
            </w:r>
          </w:p>
        </w:tc>
      </w:tr>
    </w:tbl>
    <w:p>
      <w:pPr>
        <w:spacing w:after="0"/>
      </w:pPr>
    </w:p>
    <w:p>
      <w:pPr>
        <w:pStyle w:val="Heading1"/>
      </w:pPr>
      <w:r>
        <w:t>18. Work Yet to Be Done</w:t>
      </w:r>
    </w:p>
    <w:p>
      <w:pPr/>
      <w:r>
        <w:t>This final section separates launch-critical work from longer-term product opportunities. Items are ordered by risk and dependency rather than by visual prominence.</w:t>
      </w:r>
    </w:p>
    <w:p>
      <w:pPr>
        <w:pStyle w:val="Heading2"/>
      </w:pPr>
      <w:r>
        <w:t>18.1 Priority 0 - Release blockers</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551"/>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4"/>
              </w:rPr>
              <w:t>Work item</w:t>
            </w:r>
          </w:p>
        </w:tc>
        <w:tc>
          <w:tcPr>
            <w:tcW w:type="dxa" w:w="3515"/>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4"/>
              </w:rPr>
              <w:t>Why it matters</w:t>
            </w:r>
          </w:p>
        </w:tc>
        <w:tc>
          <w:tcPr>
            <w:tcW w:type="dxa" w:w="3345"/>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4"/>
              </w:rPr>
              <w:t>Completion evidence</w:t>
            </w:r>
          </w:p>
        </w:tc>
      </w:tr>
      <w:tr>
        <w:tc>
          <w:tcPr>
            <w:tcW w:type="dxa" w:w="255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Establish a clean lint/build baseline</w:t>
            </w:r>
          </w:p>
        </w:tc>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The last shared lint run contained errors and warnings. Fixes were supplied for several files, but a clean rerun has not been demonstrated.</w:t>
            </w:r>
          </w:p>
        </w:tc>
        <w:tc>
          <w:tcPr>
            <w:tcW w:type="dxa" w:w="334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npm run lint and npm run build pass on the final commit with no warnings or errors.</w:t>
            </w:r>
          </w:p>
        </w:tc>
      </w:tr>
      <w:tr>
        <w:tc>
          <w:tcPr>
            <w:tcW w:type="dxa" w:w="255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Complete full regression testing</w:t>
            </w:r>
          </w:p>
        </w:tc>
        <w:tc>
          <w:tcPr>
            <w:tcW w:type="dxa" w:w="351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Features share balances, transactions, FX, recurring schedules, loans, goals, and insights; a change can affect multiple routes.</w:t>
            </w:r>
          </w:p>
        </w:tc>
        <w:tc>
          <w:tcPr>
            <w:tcW w:type="dxa" w:w="334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Documented desktop/mobile test run covering empty, normal, invalid, large, and multi-currency cases.</w:t>
            </w:r>
          </w:p>
        </w:tc>
      </w:tr>
      <w:tr>
        <w:tc>
          <w:tcPr>
            <w:tcW w:type="dxa" w:w="255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Rotate and validate secrets</w:t>
            </w:r>
          </w:p>
        </w:tc>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Any key exposed outside the secret store must be assumed compromised.</w:t>
            </w:r>
          </w:p>
        </w:tc>
        <w:tc>
          <w:tcPr>
            <w:tcW w:type="dxa" w:w="334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New keys issued, old keys revoked, secret scan clean, browser bundle contains no server secret.</w:t>
            </w:r>
          </w:p>
        </w:tc>
      </w:tr>
      <w:tr>
        <w:tc>
          <w:tcPr>
            <w:tcW w:type="dxa" w:w="255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Audit Supabase RLS and schema integrity</w:t>
            </w:r>
          </w:p>
        </w:tc>
        <w:tc>
          <w:tcPr>
            <w:tcW w:type="dxa" w:w="351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Application user_id filters are insufficient if database policies allow bypass.</w:t>
            </w:r>
          </w:p>
        </w:tc>
        <w:tc>
          <w:tcPr>
            <w:tcW w:type="dxa" w:w="334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Policy matrix and automated cross-user tests for every table/function; FK/index/check review complete.</w:t>
            </w:r>
          </w:p>
        </w:tc>
      </w:tr>
      <w:tr>
        <w:tc>
          <w:tcPr>
            <w:tcW w:type="dxa" w:w="255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Create staging and production delivery path</w:t>
            </w:r>
          </w:p>
        </w:tc>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A feature-complete local app is not an operable product.</w:t>
            </w:r>
          </w:p>
        </w:tc>
        <w:tc>
          <w:tcPr>
            <w:tcW w:type="dxa" w:w="334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4"/>
              </w:rPr>
              <w:t>Documented environments, migrations, callbacks, TLS/domain, smoke tests, rollback, and approval process.</w:t>
            </w:r>
          </w:p>
        </w:tc>
      </w:tr>
    </w:tbl>
    <w:p>
      <w:pPr>
        <w:spacing w:after="0"/>
      </w:pPr>
    </w:p>
    <w:p>
      <w:pPr>
        <w:pStyle w:val="Heading2"/>
      </w:pPr>
      <w:r>
        <w:t>18.2 Priority 1 - Engineering quality and resilience</w:t>
      </w:r>
    </w:p>
    <w:p>
      <w:pPr>
        <w:spacing w:after="50"/>
        <w:ind w:left="329" w:hanging="329"/>
      </w:pPr>
      <w:r>
        <w:rPr>
          <w:b/>
          <w:color w:val="0F2747"/>
        </w:rPr>
        <w:t xml:space="preserve">1.  </w:t>
      </w:r>
      <w:r>
        <w:t>Add unit tests for currency conversion, account balance math, recurring projection generation, growth and inflation assumptions, amortization, goal evaluation, health scoring, anomaly detection, CSV normalization and hashing, and all Zod validation schemas.</w:t>
      </w:r>
    </w:p>
    <w:p>
      <w:pPr>
        <w:spacing w:after="50"/>
        <w:ind w:left="329" w:hanging="329"/>
      </w:pPr>
      <w:r>
        <w:rPr>
          <w:b/>
          <w:color w:val="0F2747"/>
        </w:rPr>
        <w:t xml:space="preserve">2.  </w:t>
      </w:r>
      <w:r>
        <w:t>Add integration tests for Supabase repositories, server actions, route authentication, ownership failures, import preview/commit parity, exports, AI usage limits, and account deletion.</w:t>
      </w:r>
    </w:p>
    <w:p>
      <w:pPr>
        <w:spacing w:after="50"/>
        <w:ind w:left="329" w:hanging="329"/>
      </w:pPr>
      <w:r>
        <w:rPr>
          <w:b/>
          <w:color w:val="0F2747"/>
        </w:rPr>
        <w:t xml:space="preserve">3.  </w:t>
      </w:r>
      <w:r>
        <w:t>Add Playwright end-to-end coverage for sign-in, account creation, transaction entry, CSV import, recurrence, projections, loans, goals, AI privacy, export, and destructive confirmation flows.</w:t>
      </w:r>
    </w:p>
    <w:p>
      <w:pPr>
        <w:spacing w:after="50"/>
        <w:ind w:left="329" w:hanging="329"/>
      </w:pPr>
      <w:r>
        <w:rPr>
          <w:b/>
          <w:color w:val="0F2747"/>
        </w:rPr>
        <w:t xml:space="preserve">4.  </w:t>
      </w:r>
      <w:r>
        <w:t>Move multi-table reset and complex deletion operations into atomic database transactions or audited database functions.</w:t>
      </w:r>
    </w:p>
    <w:p>
      <w:pPr>
        <w:spacing w:after="50"/>
        <w:ind w:left="329" w:hanging="329"/>
      </w:pPr>
      <w:r>
        <w:rPr>
          <w:b/>
          <w:color w:val="0F2747"/>
        </w:rPr>
        <w:t xml:space="preserve">5.  </w:t>
      </w:r>
      <w:r>
        <w:t>Add structured privacy-safe logs, error tracking, performance metrics, request correlation, uptime checks, and alerting.</w:t>
      </w:r>
    </w:p>
    <w:p>
      <w:pPr>
        <w:spacing w:after="50"/>
        <w:ind w:left="329" w:hanging="329"/>
      </w:pPr>
      <w:r>
        <w:rPr>
          <w:b/>
          <w:color w:val="0F2747"/>
        </w:rPr>
        <w:t xml:space="preserve">6.  </w:t>
      </w:r>
      <w:r>
        <w:t>Create migration, rollback, seed, backup, restore, retention, and disaster-recovery documentation and tests.</w:t>
      </w:r>
    </w:p>
    <w:p>
      <w:pPr>
        <w:spacing w:after="50"/>
        <w:ind w:left="329" w:hanging="329"/>
      </w:pPr>
      <w:r>
        <w:rPr>
          <w:b/>
          <w:color w:val="0F2747"/>
        </w:rPr>
        <w:t xml:space="preserve">7.  </w:t>
      </w:r>
      <w:r>
        <w:t>Add dependency, vulnerability, license, secret, and supply-chain scanning to CI.</w:t>
      </w:r>
    </w:p>
    <w:p>
      <w:pPr>
        <w:spacing w:after="50"/>
        <w:ind w:left="329" w:hanging="329"/>
      </w:pPr>
      <w:r>
        <w:rPr>
          <w:b/>
          <w:color w:val="0F2747"/>
        </w:rPr>
        <w:t xml:space="preserve">8.  </w:t>
      </w:r>
      <w:r>
        <w:t>Add security headers, CSP, origin/CSRF controls, rate limiting, abuse controls, and a penetration test.</w:t>
      </w:r>
    </w:p>
    <w:p>
      <w:pPr>
        <w:spacing w:after="50"/>
        <w:ind w:left="329" w:hanging="329"/>
      </w:pPr>
      <w:r>
        <w:rPr>
          <w:b/>
          <w:color w:val="0F2747"/>
        </w:rPr>
        <w:t xml:space="preserve">9.  </w:t>
      </w:r>
      <w:r>
        <w:t>Complete a WCAG 2.2 AA audit with keyboard, screen reader, contrast, zoom, reduced motion, form error, and chart-alternative testing.</w:t>
      </w:r>
    </w:p>
    <w:p>
      <w:pPr>
        <w:spacing w:after="50"/>
        <w:ind w:left="329" w:hanging="329"/>
      </w:pPr>
      <w:r>
        <w:rPr>
          <w:b/>
          <w:color w:val="0F2747"/>
        </w:rPr>
        <w:t xml:space="preserve">10.  </w:t>
      </w:r>
      <w:r>
        <w:t>Profile server queries, client hydration, chart bundles, dialogs, and large tables; add pagination, lazy loading, or virtualization where measurements justify it.</w:t>
      </w:r>
    </w:p>
    <w:p>
      <w:pPr>
        <w:pStyle w:val="Heading2"/>
      </w:pPr>
      <w:r>
        <w:t>18.3 Priority 2 - Product completeness</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3515"/>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Enhancement</w:t>
            </w:r>
          </w:p>
        </w:tc>
        <w:tc>
          <w:tcPr>
            <w:tcW w:type="dxa" w:w="5896"/>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Expected value</w:t>
            </w:r>
          </w:p>
        </w:tc>
      </w:tr>
      <w:tr>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First-run onboarding and demo data</w:t>
            </w:r>
          </w:p>
        </w:tc>
        <w:tc>
          <w:tcPr>
            <w:tcW w:type="dxa" w:w="589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Helps new users understand account setup, currencies, recurrence, loans, and goals.</w:t>
            </w:r>
          </w:p>
        </w:tc>
      </w:tr>
      <w:tr>
        <w:tc>
          <w:tcPr>
            <w:tcW w:type="dxa" w:w="351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Dedicated recurring schedule manager</w:t>
            </w:r>
          </w:p>
        </w:tc>
        <w:tc>
          <w:tcPr>
            <w:tcW w:type="dxa" w:w="589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Makes recurring obligations discoverable without opening individual transactions.</w:t>
            </w:r>
          </w:p>
        </w:tc>
      </w:tr>
      <w:tr>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Saved projection and loan scenarios</w:t>
            </w:r>
          </w:p>
        </w:tc>
        <w:tc>
          <w:tcPr>
            <w:tcW w:type="dxa" w:w="589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Allows named comparisons and future review instead of transient controls.</w:t>
            </w:r>
          </w:p>
        </w:tc>
      </w:tr>
      <w:tr>
        <w:tc>
          <w:tcPr>
            <w:tcW w:type="dxa" w:w="351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Goal contribution history and milestones</w:t>
            </w:r>
          </w:p>
        </w:tc>
        <w:tc>
          <w:tcPr>
            <w:tcW w:type="dxa" w:w="589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Explains progress over time and supports auditability.</w:t>
            </w:r>
          </w:p>
        </w:tc>
      </w:tr>
      <w:tr>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Configurable CSV mapping and bank templates</w:t>
            </w:r>
          </w:p>
        </w:tc>
        <w:tc>
          <w:tcPr>
            <w:tcW w:type="dxa" w:w="589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Supports more source formats and reduces import friction.</w:t>
            </w:r>
          </w:p>
        </w:tc>
      </w:tr>
      <w:tr>
        <w:tc>
          <w:tcPr>
            <w:tcW w:type="dxa" w:w="351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Asynchronous large imports and downloadable error reports</w:t>
            </w:r>
          </w:p>
        </w:tc>
        <w:tc>
          <w:tcPr>
            <w:tcW w:type="dxa" w:w="589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Improves scale and recoverability beyond the 500-row synchronous limit.</w:t>
            </w:r>
          </w:p>
        </w:tc>
      </w:tr>
      <w:tr>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Categorization and merchant rules</w:t>
            </w:r>
          </w:p>
        </w:tc>
        <w:tc>
          <w:tcPr>
            <w:tcW w:type="dxa" w:w="589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Reduces repetitive manual cleanup.</w:t>
            </w:r>
          </w:p>
        </w:tc>
      </w:tr>
      <w:tr>
        <w:tc>
          <w:tcPr>
            <w:tcW w:type="dxa" w:w="351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Notifications</w:t>
            </w:r>
          </w:p>
        </w:tc>
        <w:tc>
          <w:tcPr>
            <w:tcW w:type="dxa" w:w="589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Surfaces upcoming payments, low balances, goal drift, and anomalies at the right time.</w:t>
            </w:r>
          </w:p>
        </w:tc>
      </w:tr>
      <w:tr>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Account security settings</w:t>
            </w:r>
          </w:p>
        </w:tc>
        <w:tc>
          <w:tcPr>
            <w:tcW w:type="dxa" w:w="589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Password/email changes, provider linking, session management, and login history.</w:t>
            </w:r>
          </w:p>
        </w:tc>
      </w:tr>
      <w:tr>
        <w:tc>
          <w:tcPr>
            <w:tcW w:type="dxa" w:w="3515"/>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Expanded AI controls</w:t>
            </w:r>
          </w:p>
        </w:tc>
        <w:tc>
          <w:tcPr>
            <w:tcW w:type="dxa" w:w="5896"/>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Granular context consent, metric citations, feedback, retention options, and explainability.</w:t>
            </w:r>
          </w:p>
        </w:tc>
      </w:tr>
      <w:tr>
        <w:tc>
          <w:tcPr>
            <w:tcW w:type="dxa" w:w="3515"/>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Localization and themes</w:t>
            </w:r>
          </w:p>
        </w:tc>
        <w:tc>
          <w:tcPr>
            <w:tcW w:type="dxa" w:w="5896"/>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More currencies/locales, locale-aware formatting, light/system appearance, and broader timezone support.</w:t>
            </w:r>
          </w:p>
        </w:tc>
      </w:tr>
    </w:tbl>
    <w:p>
      <w:pPr>
        <w:spacing w:after="0"/>
      </w:pPr>
    </w:p>
    <w:p>
      <w:pPr>
        <w:pStyle w:val="Heading2"/>
      </w:pPr>
      <w:r>
        <w:t>18.4 Priority 3 - Strategic extensions</w:t>
      </w:r>
    </w:p>
    <w:p>
      <w:pPr>
        <w:pStyle w:val="ListBullet"/>
        <w:spacing w:after="50"/>
      </w:pPr>
      <w:r>
        <w:t>Open-banking or bank-aggregation integrations.</w:t>
      </w:r>
    </w:p>
    <w:p>
      <w:pPr>
        <w:pStyle w:val="ListBullet"/>
        <w:spacing w:after="50"/>
      </w:pPr>
      <w:r>
        <w:t>Investment, retirement, and complete net-worth tracking.</w:t>
      </w:r>
    </w:p>
    <w:p>
      <w:pPr>
        <w:pStyle w:val="ListBullet"/>
        <w:spacing w:after="50"/>
      </w:pPr>
      <w:r>
        <w:t>Shared household workspaces and role-based permissions.</w:t>
      </w:r>
    </w:p>
    <w:p>
      <w:pPr>
        <w:pStyle w:val="ListBullet"/>
        <w:spacing w:after="50"/>
      </w:pPr>
      <w:r>
        <w:t>Installable PWA or native mobile client.</w:t>
      </w:r>
    </w:p>
    <w:p>
      <w:pPr>
        <w:pStyle w:val="ListBullet"/>
        <w:spacing w:after="50"/>
      </w:pPr>
      <w:r>
        <w:t>Budget envelopes and forward spending plans.</w:t>
      </w:r>
    </w:p>
    <w:p>
      <w:pPr>
        <w:pStyle w:val="ListBullet"/>
        <w:spacing w:after="50"/>
      </w:pPr>
      <w:r>
        <w:t>Financial statement and document ingestion.</w:t>
      </w:r>
    </w:p>
    <w:p>
      <w:pPr>
        <w:pStyle w:val="ListBullet"/>
        <w:spacing w:after="50"/>
      </w:pPr>
      <w:r>
        <w:t>Advisor-ready reports, scheduled exports, and automated summaries.</w:t>
      </w:r>
    </w:p>
    <w:p>
      <w:pPr>
        <w:pStyle w:val="ListBullet"/>
        <w:spacing w:after="50"/>
      </w:pPr>
      <w:r>
        <w:t>Probabilistic forecasting, income uncertainty, Monte Carlo scenarios, and FX sensitivity analysis.</w:t>
      </w:r>
    </w:p>
    <w:p>
      <w:pPr>
        <w:pStyle w:val="Heading2"/>
      </w:pPr>
      <w:r>
        <w:t>18.5 Definition of production-ready</w:t>
      </w:r>
    </w:p>
    <w:tbl>
      <w:tblPr>
        <w:tblW w:type="auto" w:w="0"/>
        <w:jc w:val="center"/>
        <w:tblLook w:firstColumn="1" w:firstRow="1" w:lastColumn="0" w:lastRow="0" w:noHBand="0" w:noVBand="1" w:val="04A0"/>
      </w:tblPr>
      <w:tblGrid>
        <w:gridCol w:w="9978"/>
      </w:tblGrid>
      <w:tr>
        <w:trPr>
          <w:tblHeader w:val="true"/>
        </w:trPr>
        <w:tc>
          <w:tcPr>
            <w:tcW w:type="dxa" w:w="9978"/>
            <w:shd w:fill="ECFDF5"/>
            <w:tcMar>
              <w:top w:w="130" w:type="dxa"/>
              <w:start w:w="170" w:type="dxa"/>
              <w:bottom w:w="130" w:type="dxa"/>
              <w:end w:w="170" w:type="dxa"/>
            </w:tcMar>
            <w:tcBorders>
              <w:top w:val="single" w:sz="6" w:color="047857"/>
              <w:left w:val="single" w:sz="18" w:color="047857"/>
              <w:bottom w:val="single" w:sz="6" w:color="047857"/>
              <w:right w:val="single" w:sz="6" w:color="047857"/>
            </w:tcBorders>
          </w:tcPr>
          <w:p>
            <w:pPr>
              <w:pStyle w:val="TableText"/>
            </w:pPr>
            <w:r>
              <w:rPr>
                <w:b/>
                <w:color w:val="047857"/>
                <w:sz w:val="18"/>
              </w:rPr>
              <w:t>Production-ready exit criteria</w:t>
              <w:br/>
            </w:r>
            <w:r>
              <w:rPr>
                <w:color w:val="334155"/>
                <w:sz w:val="17"/>
              </w:rPr>
              <w:t>FinSight should not be labeled production-ready until release blockers are closed; lint and build are clean; critical paths have automated and manual coverage; RLS, secrets, and destructive operations are audited; backups and restore are tested; staging and production deployments are reproducible; monitoring and incident response are active; and privacy, terms, support, and data-retention policies are published.</w:t>
            </w:r>
          </w:p>
        </w:tc>
      </w:tr>
    </w:tbl>
    <w:p>
      <w:pPr>
        <w:spacing w:after="0"/>
      </w:pPr>
    </w:p>
    <w:p>
      <w:r>
        <w:br w:type="page"/>
      </w:r>
    </w:p>
    <w:p>
      <w:pPr>
        <w:pStyle w:val="Heading1"/>
      </w:pPr>
      <w:r>
        <w:t>19. Appendices</w:t>
      </w:r>
    </w:p>
    <w:p>
      <w:pPr>
        <w:pStyle w:val="Heading2"/>
      </w:pPr>
      <w:r>
        <w:t>Appendix A - Route reference</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381"/>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Route</w:t>
            </w:r>
          </w:p>
        </w:tc>
        <w:tc>
          <w:tcPr>
            <w:tcW w:type="dxa" w:w="7030"/>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Feature</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/overview</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Consolidated financial overview.</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/accounts</w:t>
            </w:r>
          </w:p>
        </w:tc>
        <w:tc>
          <w:tcPr>
            <w:tcW w:type="dxa" w:w="7030"/>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Accounts and calculated balances.</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/transactions</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Transactions, recurrence, categories, and CSV import.</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/currency</w:t>
            </w:r>
          </w:p>
        </w:tc>
        <w:tc>
          <w:tcPr>
            <w:tcW w:type="dxa" w:w="7030"/>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Display currency and FX context.</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/projections</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Recurring cash-flow forecasting.</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/loans</w:t>
            </w:r>
          </w:p>
        </w:tc>
        <w:tc>
          <w:tcPr>
            <w:tcW w:type="dxa" w:w="7030"/>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Student-loan configuration and payoff optimizer.</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/goals</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Goal planning and progress tracking.</w:t>
            </w:r>
          </w:p>
        </w:tc>
      </w:tr>
      <w:tr>
        <w:tc>
          <w:tcPr>
            <w:tcW w:type="dxa" w:w="2381"/>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/insights</w:t>
            </w:r>
          </w:p>
        </w:tc>
        <w:tc>
          <w:tcPr>
            <w:tcW w:type="dxa" w:w="7030"/>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Health score, deterministic recommendations, and AI coach.</w:t>
            </w:r>
          </w:p>
        </w:tc>
      </w:tr>
      <w:tr>
        <w:tc>
          <w:tcPr>
            <w:tcW w:type="dxa" w:w="2381"/>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/settings</w:t>
            </w:r>
          </w:p>
        </w:tc>
        <w:tc>
          <w:tcPr>
            <w:tcW w:type="dxa" w:w="7030"/>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Preferences, AI privacy, exports, reset, and deletion.</w:t>
            </w:r>
          </w:p>
        </w:tc>
      </w:tr>
    </w:tbl>
    <w:p>
      <w:pPr>
        <w:spacing w:after="0"/>
      </w:pPr>
    </w:p>
    <w:p>
      <w:pPr>
        <w:pStyle w:val="Heading2"/>
      </w:pPr>
      <w:r>
        <w:t>Appendix B - Dependency inventory</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5783"/>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Package</w:t>
            </w:r>
          </w:p>
        </w:tc>
        <w:tc>
          <w:tcPr>
            <w:tcW w:type="dxa" w:w="362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Version</w:t>
            </w:r>
          </w:p>
        </w:tc>
      </w:tr>
      <w:tr>
        <w:tc>
          <w:tcPr>
            <w:tcW w:type="dxa" w:w="578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@base-ui/react</w:t>
            </w:r>
          </w:p>
        </w:tc>
        <w:tc>
          <w:tcPr>
            <w:tcW w:type="dxa" w:w="362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^1.6.0</w:t>
            </w:r>
          </w:p>
        </w:tc>
      </w:tr>
      <w:tr>
        <w:tc>
          <w:tcPr>
            <w:tcW w:type="dxa" w:w="578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@hookform/resolvers</w:t>
            </w:r>
          </w:p>
        </w:tc>
        <w:tc>
          <w:tcPr>
            <w:tcW w:type="dxa" w:w="362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^5.4.0</w:t>
            </w:r>
          </w:p>
        </w:tc>
      </w:tr>
      <w:tr>
        <w:tc>
          <w:tcPr>
            <w:tcW w:type="dxa" w:w="578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@supabase/ssr</w:t>
            </w:r>
          </w:p>
        </w:tc>
        <w:tc>
          <w:tcPr>
            <w:tcW w:type="dxa" w:w="362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^0.12.3</w:t>
            </w:r>
          </w:p>
        </w:tc>
      </w:tr>
      <w:tr>
        <w:tc>
          <w:tcPr>
            <w:tcW w:type="dxa" w:w="578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@supabase/supabase-js</w:t>
            </w:r>
          </w:p>
        </w:tc>
        <w:tc>
          <w:tcPr>
            <w:tcW w:type="dxa" w:w="362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^2.110.7</w:t>
            </w:r>
          </w:p>
        </w:tc>
      </w:tr>
      <w:tr>
        <w:tc>
          <w:tcPr>
            <w:tcW w:type="dxa" w:w="578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class-variance-authority</w:t>
            </w:r>
          </w:p>
        </w:tc>
        <w:tc>
          <w:tcPr>
            <w:tcW w:type="dxa" w:w="362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^0.7.1</w:t>
            </w:r>
          </w:p>
        </w:tc>
      </w:tr>
      <w:tr>
        <w:tc>
          <w:tcPr>
            <w:tcW w:type="dxa" w:w="578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clsx</w:t>
            </w:r>
          </w:p>
        </w:tc>
        <w:tc>
          <w:tcPr>
            <w:tcW w:type="dxa" w:w="362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^2.1.1</w:t>
            </w:r>
          </w:p>
        </w:tc>
      </w:tr>
      <w:tr>
        <w:tc>
          <w:tcPr>
            <w:tcW w:type="dxa" w:w="578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cmdk</w:t>
            </w:r>
          </w:p>
        </w:tc>
        <w:tc>
          <w:tcPr>
            <w:tcW w:type="dxa" w:w="362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^1.1.1</w:t>
            </w:r>
          </w:p>
        </w:tc>
      </w:tr>
      <w:tr>
        <w:tc>
          <w:tcPr>
            <w:tcW w:type="dxa" w:w="578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date-fns</w:t>
            </w:r>
          </w:p>
        </w:tc>
        <w:tc>
          <w:tcPr>
            <w:tcW w:type="dxa" w:w="362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^4.4.0</w:t>
            </w:r>
          </w:p>
        </w:tc>
      </w:tr>
      <w:tr>
        <w:tc>
          <w:tcPr>
            <w:tcW w:type="dxa" w:w="578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lucide-react</w:t>
            </w:r>
          </w:p>
        </w:tc>
        <w:tc>
          <w:tcPr>
            <w:tcW w:type="dxa" w:w="362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^1.25.0</w:t>
            </w:r>
          </w:p>
        </w:tc>
      </w:tr>
      <w:tr>
        <w:tc>
          <w:tcPr>
            <w:tcW w:type="dxa" w:w="578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next</w:t>
            </w:r>
          </w:p>
        </w:tc>
        <w:tc>
          <w:tcPr>
            <w:tcW w:type="dxa" w:w="362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16.2.10</w:t>
            </w:r>
          </w:p>
        </w:tc>
      </w:tr>
      <w:tr>
        <w:tc>
          <w:tcPr>
            <w:tcW w:type="dxa" w:w="578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openai</w:t>
            </w:r>
          </w:p>
        </w:tc>
        <w:tc>
          <w:tcPr>
            <w:tcW w:type="dxa" w:w="362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^6.48.0</w:t>
            </w:r>
          </w:p>
        </w:tc>
      </w:tr>
      <w:tr>
        <w:tc>
          <w:tcPr>
            <w:tcW w:type="dxa" w:w="578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papaparse</w:t>
            </w:r>
          </w:p>
        </w:tc>
        <w:tc>
          <w:tcPr>
            <w:tcW w:type="dxa" w:w="362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^5.5.4</w:t>
            </w:r>
          </w:p>
        </w:tc>
      </w:tr>
      <w:tr>
        <w:tc>
          <w:tcPr>
            <w:tcW w:type="dxa" w:w="578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react / react-dom</w:t>
            </w:r>
          </w:p>
        </w:tc>
        <w:tc>
          <w:tcPr>
            <w:tcW w:type="dxa" w:w="362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19.2.4</w:t>
            </w:r>
          </w:p>
        </w:tc>
      </w:tr>
      <w:tr>
        <w:tc>
          <w:tcPr>
            <w:tcW w:type="dxa" w:w="578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react-day-picker</w:t>
            </w:r>
          </w:p>
        </w:tc>
        <w:tc>
          <w:tcPr>
            <w:tcW w:type="dxa" w:w="362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^10.0.1</w:t>
            </w:r>
          </w:p>
        </w:tc>
      </w:tr>
      <w:tr>
        <w:tc>
          <w:tcPr>
            <w:tcW w:type="dxa" w:w="578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react-hook-form</w:t>
            </w:r>
          </w:p>
        </w:tc>
        <w:tc>
          <w:tcPr>
            <w:tcW w:type="dxa" w:w="362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^7.81.0</w:t>
            </w:r>
          </w:p>
        </w:tc>
      </w:tr>
      <w:tr>
        <w:tc>
          <w:tcPr>
            <w:tcW w:type="dxa" w:w="578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recharts</w:t>
            </w:r>
          </w:p>
        </w:tc>
        <w:tc>
          <w:tcPr>
            <w:tcW w:type="dxa" w:w="362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^3.8.0</w:t>
            </w:r>
          </w:p>
        </w:tc>
      </w:tr>
      <w:tr>
        <w:tc>
          <w:tcPr>
            <w:tcW w:type="dxa" w:w="578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shadcn</w:t>
            </w:r>
          </w:p>
        </w:tc>
        <w:tc>
          <w:tcPr>
            <w:tcW w:type="dxa" w:w="362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^4.13.1</w:t>
            </w:r>
          </w:p>
        </w:tc>
      </w:tr>
      <w:tr>
        <w:tc>
          <w:tcPr>
            <w:tcW w:type="dxa" w:w="578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tailwind-merge</w:t>
            </w:r>
          </w:p>
        </w:tc>
        <w:tc>
          <w:tcPr>
            <w:tcW w:type="dxa" w:w="362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^3.6.0</w:t>
            </w:r>
          </w:p>
        </w:tc>
      </w:tr>
      <w:tr>
        <w:tc>
          <w:tcPr>
            <w:tcW w:type="dxa" w:w="578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tw-animate-css</w:t>
            </w:r>
          </w:p>
        </w:tc>
        <w:tc>
          <w:tcPr>
            <w:tcW w:type="dxa" w:w="362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^1.4.0</w:t>
            </w:r>
          </w:p>
        </w:tc>
      </w:tr>
      <w:tr>
        <w:tc>
          <w:tcPr>
            <w:tcW w:type="dxa" w:w="578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zod</w:t>
            </w:r>
          </w:p>
        </w:tc>
        <w:tc>
          <w:tcPr>
            <w:tcW w:type="dxa" w:w="362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^4.4.3</w:t>
            </w:r>
          </w:p>
        </w:tc>
      </w:tr>
      <w:tr>
        <w:tc>
          <w:tcPr>
            <w:tcW w:type="dxa" w:w="578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Tailwind CSS / PostCSS</w:t>
            </w:r>
          </w:p>
        </w:tc>
        <w:tc>
          <w:tcPr>
            <w:tcW w:type="dxa" w:w="362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^4</w:t>
            </w:r>
          </w:p>
        </w:tc>
      </w:tr>
      <w:tr>
        <w:tc>
          <w:tcPr>
            <w:tcW w:type="dxa" w:w="578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ESLint</w:t>
            </w:r>
          </w:p>
        </w:tc>
        <w:tc>
          <w:tcPr>
            <w:tcW w:type="dxa" w:w="362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^9</w:t>
            </w:r>
          </w:p>
        </w:tc>
      </w:tr>
      <w:tr>
        <w:tc>
          <w:tcPr>
            <w:tcW w:type="dxa" w:w="578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TypeScript</w:t>
            </w:r>
          </w:p>
        </w:tc>
        <w:tc>
          <w:tcPr>
            <w:tcW w:type="dxa" w:w="362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^5</w:t>
            </w:r>
          </w:p>
        </w:tc>
      </w:tr>
    </w:tbl>
    <w:p>
      <w:pPr>
        <w:spacing w:after="0"/>
      </w:pPr>
    </w:p>
    <w:p>
      <w:pPr>
        <w:pStyle w:val="Heading2"/>
      </w:pPr>
      <w:r>
        <w:t>Appendix C - Glossary</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438"/>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Term</w:t>
            </w:r>
          </w:p>
        </w:tc>
        <w:tc>
          <w:tcPr>
            <w:tcW w:type="dxa" w:w="6973"/>
            <w:shd w:fill="0F2747"/>
            <w:tcMar>
              <w:top w:w="105" w:type="dxa"/>
              <w:start w:w="90" w:type="dxa"/>
              <w:bottom w:w="105" w:type="dxa"/>
              <w:end w:w="90" w:type="dxa"/>
            </w:tcMar>
            <w:tcBorders>
              <w:top w:val="single" w:sz="4" w:color="0F2747"/>
              <w:left w:val="single" w:sz="4" w:color="FFFFFF"/>
              <w:bottom w:val="single" w:sz="4" w:color="0F2747"/>
              <w:right w:val="single" w:sz="4" w:color="FFFFFF"/>
            </w:tcBorders>
          </w:tcPr>
          <w:p>
            <w:pPr>
              <w:pStyle w:val="TableText"/>
              <w:jc w:val="left"/>
            </w:pPr>
            <w:r>
              <w:rPr>
                <w:b/>
                <w:color w:val="FFFFFF"/>
                <w:sz w:val="16"/>
              </w:rPr>
              <w:t>Definition</w:t>
            </w:r>
          </w:p>
        </w:tc>
      </w:tr>
      <w:tr>
        <w:tc>
          <w:tcPr>
            <w:tcW w:type="dxa" w:w="243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Display currency</w:t>
            </w:r>
          </w:p>
        </w:tc>
        <w:tc>
          <w:tcPr>
            <w:tcW w:type="dxa" w:w="697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Currency used to present unified totals while native records retain their own currency.</w:t>
            </w:r>
          </w:p>
        </w:tc>
      </w:tr>
      <w:tr>
        <w:tc>
          <w:tcPr>
            <w:tcW w:type="dxa" w:w="243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FX snapshot</w:t>
            </w:r>
          </w:p>
        </w:tc>
        <w:tc>
          <w:tcPr>
            <w:tcW w:type="dxa" w:w="697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Effective set of exchange rates used for conversion at a known date.</w:t>
            </w:r>
          </w:p>
        </w:tc>
      </w:tr>
      <w:tr>
        <w:tc>
          <w:tcPr>
            <w:tcW w:type="dxa" w:w="243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Recurring item</w:t>
            </w:r>
          </w:p>
        </w:tc>
        <w:tc>
          <w:tcPr>
            <w:tcW w:type="dxa" w:w="697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Transaction schedule used by the projection engine.</w:t>
            </w:r>
          </w:p>
        </w:tc>
      </w:tr>
      <w:tr>
        <w:tc>
          <w:tcPr>
            <w:tcW w:type="dxa" w:w="243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Baseline scenario</w:t>
            </w:r>
          </w:p>
        </w:tc>
        <w:tc>
          <w:tcPr>
            <w:tcW w:type="dxa" w:w="697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Loan repayment using the required payment only.</w:t>
            </w:r>
          </w:p>
        </w:tc>
      </w:tr>
      <w:tr>
        <w:tc>
          <w:tcPr>
            <w:tcW w:type="dxa" w:w="243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Accelerated scenario</w:t>
            </w:r>
          </w:p>
        </w:tc>
        <w:tc>
          <w:tcPr>
            <w:tcW w:type="dxa" w:w="697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Loan repayment including additional monthly and/or one-time payment.</w:t>
            </w:r>
          </w:p>
        </w:tc>
      </w:tr>
      <w:tr>
        <w:tc>
          <w:tcPr>
            <w:tcW w:type="dxa" w:w="243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Linked goal</w:t>
            </w:r>
          </w:p>
        </w:tc>
        <w:tc>
          <w:tcPr>
            <w:tcW w:type="dxa" w:w="697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Goal whose progress is derived from an account and stored baseline.</w:t>
            </w:r>
          </w:p>
        </w:tc>
      </w:tr>
      <w:tr>
        <w:tc>
          <w:tcPr>
            <w:tcW w:type="dxa" w:w="243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Deterministic insight</w:t>
            </w:r>
          </w:p>
        </w:tc>
        <w:tc>
          <w:tcPr>
            <w:tcW w:type="dxa" w:w="697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Result generated by fixed application logic, not by an LLM.</w:t>
            </w:r>
          </w:p>
        </w:tc>
      </w:tr>
      <w:tr>
        <w:tc>
          <w:tcPr>
            <w:tcW w:type="dxa" w:w="243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Aggregated AI context</w:t>
            </w:r>
          </w:p>
        </w:tc>
        <w:tc>
          <w:tcPr>
            <w:tcW w:type="dxa" w:w="697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Summary metrics that intentionally exclude credentials, account numbers, merchant names, and notes.</w:t>
            </w:r>
          </w:p>
        </w:tc>
      </w:tr>
      <w:tr>
        <w:tc>
          <w:tcPr>
            <w:tcW w:type="dxa" w:w="2438"/>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RLS</w:t>
            </w:r>
          </w:p>
        </w:tc>
        <w:tc>
          <w:tcPr>
            <w:tcW w:type="dxa" w:w="6973"/>
            <w:shd w:fill="FFFFFF"/>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Postgres Row Level Security used to enforce ownership at the database layer.</w:t>
            </w:r>
          </w:p>
        </w:tc>
      </w:tr>
      <w:tr>
        <w:tc>
          <w:tcPr>
            <w:tcW w:type="dxa" w:w="2438"/>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Revalidation</w:t>
            </w:r>
          </w:p>
        </w:tc>
        <w:tc>
          <w:tcPr>
            <w:tcW w:type="dxa" w:w="6973"/>
            <w:shd w:fill="F8FAFC"/>
            <w:tcMar>
              <w:top w:w="90" w:type="dxa"/>
              <w:start w:w="90" w:type="dxa"/>
              <w:bottom w:w="90" w:type="dxa"/>
              <w:end w:w="90" w:type="dxa"/>
            </w:tcMar>
            <w:tcBorders>
              <w:top w:val="single" w:sz="3" w:color="E2E8F0"/>
              <w:left w:val="single" w:sz="3" w:color="E2E8F0"/>
              <w:bottom w:val="single" w:sz="3" w:color="E2E8F0"/>
              <w:right w:val="single" w:sz="3" w:color="E2E8F0"/>
            </w:tcBorders>
            <w:vAlign w:val="top"/>
          </w:tcPr>
          <w:p>
            <w:pPr>
              <w:pStyle w:val="TableText"/>
            </w:pPr>
            <w:r>
              <w:rPr>
                <w:color w:val="334155"/>
                <w:sz w:val="16"/>
              </w:rPr>
              <w:t>Next.js cache invalidation that refreshes pages affected by a mutation.</w:t>
            </w:r>
          </w:p>
        </w:tc>
      </w:tr>
    </w:tbl>
    <w:p>
      <w:pPr>
        <w:spacing w:after="0"/>
      </w:pPr>
    </w:p>
    <w:p>
      <w:pPr>
        <w:pStyle w:val="Heading2"/>
      </w:pPr>
      <w:r>
        <w:t>Appendix D - Documentation evidence and maintenance</w:t>
      </w:r>
    </w:p>
    <w:p>
      <w:pPr/>
      <w:r>
        <w:t>This documentation was assembled from the supplied July 2026 application snapshot, including package configuration, protected layout, navigation, account and transaction server actions, CSV import route, projection/loan/goal/insight domain models and components, AI privacy and coach components, settings actions, export UI, and destructive data controls.</w:t>
      </w:r>
    </w:p>
    <w:p>
      <w:pPr/>
      <w:r>
        <w:t>Update this document whenever a route, schema, calculation rule, supported currency, AI context policy, environment variable, data-retention behavior, or release process changes. Treat the actual migrations and code as the source of truth where this document and implementation diverge.</w:t>
      </w:r>
    </w:p>
    <w:sectPr w:rsidR="00FC693F" w:rsidRPr="0006063C" w:rsidSect="00034616">
      <w:headerReference w:type="default" r:id="rId9"/>
      <w:footerReference w:type="default" r:id="rId10"/>
      <w:pgSz w:w="11906" w:h="16838"/>
      <w:pgMar w:top="935" w:right="964" w:bottom="879"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E2E8F0"/>
      </w:pBdr>
    </w:pPr>
    <w:r>
      <w:rPr>
        <w:rFonts w:ascii="Aptos" w:hAnsi="Aptos"/>
        <w:color w:val="64748B"/>
        <w:sz w:val="16"/>
      </w:rPr>
      <w:t>FinSight Platform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F2747"/>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E749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F27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918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i/>
      <w:iCs/>
      <w:color w:val="0E749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Aptos" w:hAnsi="Aptos"/>
      <w:color w:val="64748B"/>
      <w:sz w:val="16"/>
    </w:rPr>
  </w:style>
  <w:style w:type="character" w:customStyle="1" w:styleId="CodeInline">
    <w:name w:val="Code Inline"/>
    <w:rPr>
      <w:rFonts w:ascii="Aptos Mono" w:hAnsi="Aptos Mono"/>
      <w:color w:val="09182B"/>
      <w:sz w:val="17"/>
    </w:rPr>
  </w:style>
  <w:style w:type="paragraph" w:customStyle="1" w:styleId="TableText">
    <w:name w:val="Table Text"/>
    <w:pPr>
      <w:spacing w:after="0" w:line="240" w:lineRule="auto"/>
    </w:pPr>
    <w:rPr>
      <w:rFonts w:ascii="Aptos" w:hAnsi="Aptos"/>
      <w:color w:val="3341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Platform Documentation</dc:title>
  <dc:subject>Architecture, capabilities, technology stack, security, operations, and roadmap</dc:subject>
  <dc:creator>FinSight Project</dc:creator>
  <cp:keywords>FinSight, personal finance, Next.js, Supabase, OpenAI, projections, loan optimizer, goals</cp:keywords>
  <dc:description>Generated from the reviewed July 2026 FinSight implementation snapshot.</dc:description>
  <cp:lastModifiedBy/>
  <cp:revision>1</cp:revision>
  <dcterms:created xsi:type="dcterms:W3CDTF">2013-12-23T23:15:00Z</dcterms:created>
  <dcterms:modified xsi:type="dcterms:W3CDTF">2013-12-23T23:15:00Z</dcterms:modified>
  <cp:category/>
</cp:coreProperties>
</file>