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69" w:rsidRPr="000C73E3" w:rsidRDefault="00785688" w:rsidP="00785688">
      <w:pPr>
        <w:pStyle w:val="Heading3"/>
        <w:rPr>
          <w:u w:val="single"/>
        </w:rPr>
      </w:pPr>
      <w:r w:rsidRPr="000C73E3">
        <w:rPr>
          <w:u w:val="single"/>
        </w:rPr>
        <w:t>Agency Examples</w:t>
      </w:r>
      <w:r w:rsidR="004B2C97" w:rsidRPr="004B2C97">
        <w:t xml:space="preserve"> </w:t>
      </w:r>
    </w:p>
    <w:p w:rsidR="00CB2369" w:rsidRPr="005924AD" w:rsidRDefault="00CB2369" w:rsidP="00CB2369">
      <w:pPr>
        <w:pStyle w:val="Heading4"/>
      </w:pPr>
      <w:r>
        <w:rPr>
          <w:shd w:val="clear" w:color="auto" w:fill="FFFFFF"/>
        </w:rPr>
        <w:t>General Services Administration</w:t>
      </w:r>
      <w:r w:rsidR="00825265">
        <w:rPr>
          <w:shd w:val="clear" w:color="auto" w:fill="FFFFFF"/>
        </w:rPr>
        <w:t xml:space="preserve"> </w:t>
      </w:r>
    </w:p>
    <w:p w:rsidR="00A054E3" w:rsidRDefault="00B97621" w:rsidP="00CB2369">
      <w:pPr>
        <w:pStyle w:val="ListParagraph"/>
        <w:numPr>
          <w:ilvl w:val="0"/>
          <w:numId w:val="1"/>
        </w:numPr>
      </w:pPr>
      <w:r>
        <w:rPr>
          <w:rStyle w:val="Heading5Char"/>
        </w:rPr>
        <w:t xml:space="preserve">Program </w:t>
      </w:r>
      <w:r w:rsidR="00E44E84" w:rsidRPr="00E44E84">
        <w:rPr>
          <w:rStyle w:val="Heading5Char"/>
        </w:rPr>
        <w:t>Start-up</w:t>
      </w:r>
      <w:r w:rsidR="00A12A40" w:rsidRPr="00E44E84">
        <w:rPr>
          <w:rStyle w:val="Heading5Char"/>
        </w:rPr>
        <w:t>:</w:t>
      </w:r>
      <w:r w:rsidR="00A12A40">
        <w:t xml:space="preserve"> </w:t>
      </w:r>
      <w:r w:rsidR="00A054E3">
        <w:t>P</w:t>
      </w:r>
      <w:r w:rsidR="00A054E3" w:rsidRPr="00CA6FB6">
        <w:t xml:space="preserve">rior to launching </w:t>
      </w:r>
      <w:r w:rsidR="00A054E3">
        <w:t>their</w:t>
      </w:r>
      <w:r w:rsidR="00A054E3" w:rsidRPr="00CA6FB6">
        <w:t xml:space="preserve"> automation effort, </w:t>
      </w:r>
      <w:r w:rsidR="00CB2369" w:rsidRPr="00CA6FB6">
        <w:t xml:space="preserve">GSA </w:t>
      </w:r>
      <w:r w:rsidR="00A054E3">
        <w:t>provided</w:t>
      </w:r>
      <w:r w:rsidR="00A054E3" w:rsidRPr="00A054E3">
        <w:t xml:space="preserve"> </w:t>
      </w:r>
      <w:r w:rsidR="00A054E3" w:rsidRPr="00CA6FB6">
        <w:t>software development</w:t>
      </w:r>
      <w:r w:rsidR="00A054E3">
        <w:t xml:space="preserve"> training to program </w:t>
      </w:r>
      <w:r w:rsidR="00A054E3" w:rsidRPr="00CA6FB6">
        <w:t xml:space="preserve">managers from offices that were implementing </w:t>
      </w:r>
      <w:r w:rsidR="00A054E3">
        <w:t>robotic process automation (</w:t>
      </w:r>
      <w:r w:rsidR="00A054E3" w:rsidRPr="00CA6FB6">
        <w:t>RPA</w:t>
      </w:r>
      <w:r w:rsidR="00A054E3">
        <w:t xml:space="preserve">). This training </w:t>
      </w:r>
      <w:r w:rsidR="00A054E3" w:rsidRPr="00CA6FB6">
        <w:t>ensure</w:t>
      </w:r>
      <w:r w:rsidR="00A054E3">
        <w:t>d</w:t>
      </w:r>
      <w:r w:rsidR="00A054E3" w:rsidRPr="00CA6FB6">
        <w:t xml:space="preserve"> that program managers understood the technology and how it will be utilized to support the desired automation.</w:t>
      </w:r>
    </w:p>
    <w:p w:rsidR="005E63F7" w:rsidRPr="00CA6FB6" w:rsidRDefault="00E44E84" w:rsidP="005E63F7">
      <w:pPr>
        <w:pStyle w:val="ListParagraph"/>
        <w:numPr>
          <w:ilvl w:val="0"/>
          <w:numId w:val="1"/>
        </w:numPr>
      </w:pPr>
      <w:r w:rsidRPr="00E44E84">
        <w:rPr>
          <w:rStyle w:val="Heading5Char"/>
        </w:rPr>
        <w:t>Leadership Buy-In</w:t>
      </w:r>
      <w:r w:rsidR="00A12A40" w:rsidRPr="00E44E84">
        <w:rPr>
          <w:rStyle w:val="Heading5Char"/>
        </w:rPr>
        <w:t>:</w:t>
      </w:r>
      <w:r w:rsidR="00A12A40">
        <w:t xml:space="preserve"> </w:t>
      </w:r>
      <w:r w:rsidR="005E63F7" w:rsidRPr="00CA6FB6">
        <w:t>GSA obtain</w:t>
      </w:r>
      <w:r w:rsidR="005E63F7">
        <w:t>ed</w:t>
      </w:r>
      <w:r w:rsidR="005E63F7" w:rsidRPr="00CA6FB6">
        <w:t xml:space="preserve"> regional leadership buy-in and sponsorship</w:t>
      </w:r>
      <w:r w:rsidR="005E63F7">
        <w:t xml:space="preserve"> of their automation effort by ensuring that </w:t>
      </w:r>
      <w:r w:rsidR="005E63F7" w:rsidRPr="00CA6FB6">
        <w:t xml:space="preserve">regional or local policies and practices </w:t>
      </w:r>
      <w:r w:rsidR="005E63F7">
        <w:t xml:space="preserve">learned about during meetings with each region </w:t>
      </w:r>
      <w:r w:rsidR="005E63F7" w:rsidRPr="00CA6FB6">
        <w:t xml:space="preserve">were considered </w:t>
      </w:r>
      <w:r w:rsidR="00870493">
        <w:t xml:space="preserve">during the development of the bot and bot training.  </w:t>
      </w:r>
    </w:p>
    <w:p w:rsidR="00E44E84" w:rsidRDefault="00E44E84" w:rsidP="00CB2369">
      <w:pPr>
        <w:pStyle w:val="ListParagraph"/>
        <w:numPr>
          <w:ilvl w:val="0"/>
          <w:numId w:val="1"/>
        </w:numPr>
      </w:pPr>
      <w:r w:rsidRPr="00E44E84">
        <w:rPr>
          <w:rStyle w:val="Heading5Char"/>
        </w:rPr>
        <w:t>Process Selection:</w:t>
      </w:r>
      <w:r>
        <w:t xml:space="preserve"> GSA conducted a poll of </w:t>
      </w:r>
      <w:r w:rsidRPr="00501C62">
        <w:t>operational Contracting Officers</w:t>
      </w:r>
      <w:r>
        <w:t xml:space="preserve"> (COs) to identify </w:t>
      </w:r>
      <w:r w:rsidRPr="00501C62">
        <w:t>mundane work that took a significant amount of time</w:t>
      </w:r>
      <w:r>
        <w:t xml:space="preserve"> to complete.</w:t>
      </w:r>
      <w:r w:rsidRPr="00E44E84">
        <w:t xml:space="preserve"> </w:t>
      </w:r>
      <w:r w:rsidRPr="00501C62">
        <w:t xml:space="preserve">GSA pursued the closeout bot that they named Clara was because contract closeout was a </w:t>
      </w:r>
      <w:r>
        <w:t xml:space="preserve">significant </w:t>
      </w:r>
      <w:r w:rsidRPr="00501C62">
        <w:t>pain point</w:t>
      </w:r>
      <w:r>
        <w:t xml:space="preserve"> experienced by </w:t>
      </w:r>
      <w:proofErr w:type="spellStart"/>
      <w:r>
        <w:t>COs.</w:t>
      </w:r>
      <w:proofErr w:type="spellEnd"/>
    </w:p>
    <w:p w:rsidR="00CB2369" w:rsidRPr="00501C62" w:rsidRDefault="00E44E84" w:rsidP="00CB2369">
      <w:pPr>
        <w:pStyle w:val="ListParagraph"/>
        <w:numPr>
          <w:ilvl w:val="0"/>
          <w:numId w:val="1"/>
        </w:numPr>
      </w:pPr>
      <w:r w:rsidRPr="00E44E84">
        <w:rPr>
          <w:rStyle w:val="Heading5Char"/>
        </w:rPr>
        <w:t xml:space="preserve">Organizational Capacity for </w:t>
      </w:r>
      <w:r w:rsidR="00BF35CE">
        <w:rPr>
          <w:rStyle w:val="Heading5Char"/>
        </w:rPr>
        <w:t>A</w:t>
      </w:r>
      <w:r w:rsidRPr="00E44E84">
        <w:rPr>
          <w:rStyle w:val="Heading5Char"/>
        </w:rPr>
        <w:t xml:space="preserve">utomation: </w:t>
      </w:r>
      <w:r w:rsidR="00CB2369" w:rsidRPr="00501C62">
        <w:t xml:space="preserve">GSA established an enterprise support </w:t>
      </w:r>
      <w:r w:rsidR="00D50DD7">
        <w:t>function</w:t>
      </w:r>
      <w:r w:rsidR="00CB2369" w:rsidRPr="00501C62">
        <w:t xml:space="preserve"> for RPA within the Office of the Chief Financial Officer.</w:t>
      </w:r>
      <w:r w:rsidR="00CB2369">
        <w:t xml:space="preserve"> </w:t>
      </w:r>
      <w:r w:rsidR="00D50DD7">
        <w:t>The function</w:t>
      </w:r>
      <w:r w:rsidR="00CB2369" w:rsidRPr="00501C62">
        <w:t xml:space="preserve"> is staffed by federal in-house developers</w:t>
      </w:r>
      <w:r w:rsidR="00A97880">
        <w:t xml:space="preserve"> familiar with federal processes </w:t>
      </w:r>
      <w:r w:rsidR="00CB2369" w:rsidRPr="00501C62">
        <w:t>wh</w:t>
      </w:r>
      <w:r w:rsidR="00A97880">
        <w:t xml:space="preserve">o </w:t>
      </w:r>
      <w:r w:rsidR="00CB2369" w:rsidRPr="00501C62">
        <w:t>coordinate use case prioritization and implementation across the organization.</w:t>
      </w:r>
      <w:r w:rsidR="00CB2369">
        <w:t xml:space="preserve"> </w:t>
      </w:r>
      <w:r w:rsidR="00CB2369" w:rsidRPr="00501C62">
        <w:t xml:space="preserve">This </w:t>
      </w:r>
      <w:r w:rsidR="006D2353" w:rsidRPr="006D2353">
        <w:t>enterprise support function</w:t>
      </w:r>
      <w:r w:rsidR="006D2353">
        <w:t xml:space="preserve">al model </w:t>
      </w:r>
      <w:r w:rsidR="00CB2369" w:rsidRPr="00501C62">
        <w:t>enables prioritized automations to be built and deployed within a 90–120-day window</w:t>
      </w:r>
      <w:r w:rsidR="006D2353">
        <w:t>,</w:t>
      </w:r>
      <w:r w:rsidR="00CB2369" w:rsidRPr="00501C62">
        <w:t xml:space="preserve"> unless the automation is complex. </w:t>
      </w:r>
      <w:r w:rsidR="006D2353">
        <w:t xml:space="preserve">Additionally, the </w:t>
      </w:r>
      <w:r w:rsidR="006D2353" w:rsidRPr="006D2353">
        <w:t>enterprise support function</w:t>
      </w:r>
      <w:r w:rsidR="006D2353">
        <w:t xml:space="preserve"> </w:t>
      </w:r>
      <w:r w:rsidR="00CB2369" w:rsidRPr="00501C62">
        <w:t xml:space="preserve">also supports some cultural change </w:t>
      </w:r>
      <w:r w:rsidR="006D2353">
        <w:t>through</w:t>
      </w:r>
      <w:r w:rsidR="00CB2369" w:rsidRPr="00501C62">
        <w:t xml:space="preserve"> education </w:t>
      </w:r>
      <w:r w:rsidR="006D2353">
        <w:t>of its customers about technology</w:t>
      </w:r>
      <w:r w:rsidR="00CB2369" w:rsidRPr="00501C62">
        <w:t xml:space="preserve"> capabilities and appropriate use of RPA. </w:t>
      </w:r>
    </w:p>
    <w:p w:rsidR="00CB2369" w:rsidRDefault="00642AE3" w:rsidP="00CB2369">
      <w:pPr>
        <w:pStyle w:val="ListParagraph"/>
        <w:numPr>
          <w:ilvl w:val="0"/>
          <w:numId w:val="1"/>
        </w:numPr>
      </w:pPr>
      <w:r w:rsidRPr="00642AE3">
        <w:rPr>
          <w:rStyle w:val="Heading5Char"/>
        </w:rPr>
        <w:t>Return on Investment</w:t>
      </w:r>
      <w:r>
        <w:rPr>
          <w:rStyle w:val="Heading5Char"/>
        </w:rPr>
        <w:t xml:space="preserve"> (ROI)</w:t>
      </w:r>
      <w:r w:rsidRPr="00642AE3">
        <w:rPr>
          <w:rStyle w:val="Heading5Char"/>
        </w:rPr>
        <w:t xml:space="preserve">: </w:t>
      </w:r>
      <w:r w:rsidRPr="00642AE3">
        <w:t xml:space="preserve"> </w:t>
      </w:r>
      <w:r w:rsidR="00CB2369" w:rsidRPr="00642AE3">
        <w:t>The</w:t>
      </w:r>
      <w:r w:rsidR="00CB2369" w:rsidRPr="00501C62">
        <w:t xml:space="preserve"> </w:t>
      </w:r>
      <w:r w:rsidR="006E30C7">
        <w:t xml:space="preserve">criteria used to evaluate </w:t>
      </w:r>
      <w:r w:rsidR="00CB2369" w:rsidRPr="00501C62">
        <w:t xml:space="preserve">ROI for the GSA Clara closeout </w:t>
      </w:r>
      <w:r w:rsidR="006E30C7">
        <w:t>bot</w:t>
      </w:r>
      <w:r w:rsidR="00CB2369" w:rsidRPr="00501C62">
        <w:t xml:space="preserve"> was staff </w:t>
      </w:r>
      <w:r w:rsidR="006E30C7">
        <w:t>time</w:t>
      </w:r>
      <w:r w:rsidR="00CB2369" w:rsidRPr="00501C62">
        <w:t xml:space="preserve"> sav</w:t>
      </w:r>
      <w:r w:rsidR="006E30C7">
        <w:t>ed</w:t>
      </w:r>
      <w:r w:rsidR="00CB2369" w:rsidRPr="00501C62">
        <w:t xml:space="preserve">. </w:t>
      </w:r>
      <w:r w:rsidR="006E30C7">
        <w:t>Because t</w:t>
      </w:r>
      <w:r w:rsidR="006E30C7" w:rsidRPr="00501C62">
        <w:t>here was significant variance in the number of hours spent to conduct contract close</w:t>
      </w:r>
      <w:r w:rsidR="006E30C7">
        <w:t xml:space="preserve">out, </w:t>
      </w:r>
      <w:r w:rsidR="006E30C7" w:rsidRPr="00501C62">
        <w:t xml:space="preserve">GSA conducted a time study and averaged the </w:t>
      </w:r>
      <w:r w:rsidR="006E30C7">
        <w:t>number</w:t>
      </w:r>
      <w:r w:rsidR="006E30C7" w:rsidRPr="00501C62">
        <w:t xml:space="preserve"> of </w:t>
      </w:r>
      <w:r w:rsidR="006E30C7">
        <w:t>hours</w:t>
      </w:r>
      <w:r w:rsidR="006E30C7" w:rsidRPr="00501C62">
        <w:t xml:space="preserve"> saved.</w:t>
      </w:r>
      <w:r w:rsidR="006E30C7">
        <w:t xml:space="preserve"> </w:t>
      </w:r>
      <w:r w:rsidR="006E30C7" w:rsidRPr="00501C62">
        <w:t xml:space="preserve">This information, combined with productivity study data, was used to </w:t>
      </w:r>
      <w:r w:rsidR="006E30C7">
        <w:t>estimate</w:t>
      </w:r>
      <w:r w:rsidR="006E30C7" w:rsidRPr="00501C62">
        <w:t xml:space="preserve"> time sav</w:t>
      </w:r>
      <w:r w:rsidR="006E30C7">
        <w:t>ed</w:t>
      </w:r>
      <w:r w:rsidR="006E30C7" w:rsidRPr="00501C62">
        <w:t xml:space="preserve">. </w:t>
      </w:r>
      <w:r w:rsidR="006E30C7">
        <w:t xml:space="preserve"> The ROI for the Clara closeout bot was e</w:t>
      </w:r>
      <w:r w:rsidR="00CB2369" w:rsidRPr="00501C62">
        <w:t xml:space="preserve">stimated to be 30,000 hours </w:t>
      </w:r>
      <w:r w:rsidR="006E30C7">
        <w:t xml:space="preserve">saved </w:t>
      </w:r>
      <w:r w:rsidR="00CB2369" w:rsidRPr="00501C62">
        <w:t xml:space="preserve">annually. </w:t>
      </w:r>
    </w:p>
    <w:p w:rsidR="00CB2369" w:rsidRPr="00B446A3" w:rsidRDefault="00CB2369" w:rsidP="00CB2369">
      <w:pPr>
        <w:pStyle w:val="Heading4"/>
        <w:rPr>
          <w:shd w:val="clear" w:color="auto" w:fill="FFFFFF"/>
        </w:rPr>
      </w:pPr>
      <w:r w:rsidRPr="00B446A3">
        <w:rPr>
          <w:shd w:val="clear" w:color="auto" w:fill="FFFFFF"/>
        </w:rPr>
        <w:t>Department of Energy</w:t>
      </w:r>
    </w:p>
    <w:p w:rsidR="00CB2369" w:rsidRDefault="00C13908" w:rsidP="00CB2369">
      <w:pPr>
        <w:pStyle w:val="ListParagraph"/>
        <w:numPr>
          <w:ilvl w:val="0"/>
          <w:numId w:val="1"/>
        </w:numPr>
      </w:pPr>
      <w:r w:rsidRPr="00C13908">
        <w:rPr>
          <w:rStyle w:val="Heading5Char"/>
        </w:rPr>
        <w:t>Inform</w:t>
      </w:r>
      <w:r>
        <w:rPr>
          <w:rStyle w:val="Heading5Char"/>
        </w:rPr>
        <w:t>ing</w:t>
      </w:r>
      <w:r w:rsidRPr="00C13908">
        <w:rPr>
          <w:rStyle w:val="Heading5Char"/>
        </w:rPr>
        <w:t xml:space="preserve"> Stakeholders of RPA Capabilities:</w:t>
      </w:r>
      <w:r>
        <w:t xml:space="preserve"> </w:t>
      </w:r>
      <w:r w:rsidR="00CB2369">
        <w:t xml:space="preserve">The Department of Energy </w:t>
      </w:r>
      <w:r w:rsidR="008E3B24">
        <w:t>robotic process automation (</w:t>
      </w:r>
      <w:r w:rsidR="008E3B24" w:rsidRPr="00CA6FB6">
        <w:t>RPA</w:t>
      </w:r>
      <w:r w:rsidR="008E3B24">
        <w:t>)</w:t>
      </w:r>
      <w:r w:rsidR="00CB2369" w:rsidRPr="0053490F">
        <w:t xml:space="preserve"> </w:t>
      </w:r>
      <w:r w:rsidR="00CB2369">
        <w:t xml:space="preserve">Team, consisting primarily of contractor support, </w:t>
      </w:r>
      <w:r w:rsidR="00CB2369" w:rsidRPr="0053490F">
        <w:t>hosted trainings</w:t>
      </w:r>
      <w:r>
        <w:t xml:space="preserve"> and informative briefings</w:t>
      </w:r>
      <w:r w:rsidR="00CB2369" w:rsidRPr="0053490F">
        <w:t xml:space="preserve"> for the</w:t>
      </w:r>
      <w:r>
        <w:t xml:space="preserve"> DOE contracting workforce</w:t>
      </w:r>
      <w:r w:rsidR="00CB2369" w:rsidRPr="0053490F">
        <w:t xml:space="preserve">. Publicization of the trainings went </w:t>
      </w:r>
      <w:r>
        <w:t xml:space="preserve">out </w:t>
      </w:r>
      <w:r w:rsidR="00CB2369" w:rsidRPr="0053490F">
        <w:t xml:space="preserve">through </w:t>
      </w:r>
      <w:r>
        <w:t>the DOE internal</w:t>
      </w:r>
      <w:r w:rsidR="00CB2369" w:rsidRPr="0053490F">
        <w:t xml:space="preserve"> procurement system, listservs, and the intranet. Procurement management would review the trainings with their teams and ask </w:t>
      </w:r>
      <w:r w:rsidR="00B97621">
        <w:t xml:space="preserve">for feedback to improve future training. </w:t>
      </w:r>
    </w:p>
    <w:p w:rsidR="00CB2369" w:rsidRPr="00095BC2" w:rsidRDefault="00CB2369" w:rsidP="00CB2369">
      <w:pPr>
        <w:pStyle w:val="Heading4"/>
        <w:rPr>
          <w:shd w:val="clear" w:color="auto" w:fill="FFFFFF"/>
        </w:rPr>
      </w:pPr>
      <w:r w:rsidRPr="00095BC2">
        <w:rPr>
          <w:shd w:val="clear" w:color="auto" w:fill="FFFFFF"/>
        </w:rPr>
        <w:t>Department of Justice</w:t>
      </w:r>
      <w:r w:rsidR="00B97621">
        <w:rPr>
          <w:shd w:val="clear" w:color="auto" w:fill="FFFFFF"/>
        </w:rPr>
        <w:t xml:space="preserve"> </w:t>
      </w:r>
    </w:p>
    <w:p w:rsidR="00CB2369" w:rsidRDefault="00B97621" w:rsidP="00CB2369">
      <w:pPr>
        <w:pStyle w:val="ListParagraph"/>
        <w:numPr>
          <w:ilvl w:val="0"/>
          <w:numId w:val="1"/>
        </w:numPr>
      </w:pPr>
      <w:r>
        <w:rPr>
          <w:rStyle w:val="Heading5Char"/>
        </w:rPr>
        <w:t xml:space="preserve">Program </w:t>
      </w:r>
      <w:r w:rsidRPr="00E44E84">
        <w:rPr>
          <w:rStyle w:val="Heading5Char"/>
        </w:rPr>
        <w:t>Start-up:</w:t>
      </w:r>
      <w:r>
        <w:t xml:space="preserve"> </w:t>
      </w:r>
      <w:r w:rsidR="00CB2369" w:rsidRPr="00095BC2">
        <w:t>The need for automation was recognized in response to insufficient procurement staffing to meet workload.</w:t>
      </w:r>
    </w:p>
    <w:p w:rsidR="00CB2369" w:rsidRDefault="00B97621" w:rsidP="00CB2369">
      <w:pPr>
        <w:pStyle w:val="ListParagraph"/>
        <w:numPr>
          <w:ilvl w:val="0"/>
          <w:numId w:val="1"/>
        </w:numPr>
      </w:pPr>
      <w:r w:rsidRPr="00E44E84">
        <w:rPr>
          <w:rStyle w:val="Heading5Char"/>
        </w:rPr>
        <w:t>Process Selection:</w:t>
      </w:r>
      <w:r>
        <w:t xml:space="preserve"> </w:t>
      </w:r>
      <w:r w:rsidR="00CB2369" w:rsidRPr="00267632">
        <w:t>Closeout automation was selected from among a list of possible automations.</w:t>
      </w:r>
      <w:r w:rsidR="00CB2369">
        <w:t xml:space="preserve"> </w:t>
      </w:r>
      <w:r w:rsidR="00CB2369" w:rsidRPr="00267632">
        <w:t>It was selected as a good first automation candidate due to the simplicity of the bot.</w:t>
      </w:r>
    </w:p>
    <w:p w:rsidR="00CB2369" w:rsidRDefault="00166040" w:rsidP="00CB2369">
      <w:pPr>
        <w:pStyle w:val="ListParagraph"/>
        <w:numPr>
          <w:ilvl w:val="0"/>
          <w:numId w:val="1"/>
        </w:numPr>
      </w:pPr>
      <w:r w:rsidRPr="00E44E84">
        <w:rPr>
          <w:rStyle w:val="Heading5Char"/>
        </w:rPr>
        <w:t xml:space="preserve">Organizational Capacity for </w:t>
      </w:r>
      <w:r>
        <w:rPr>
          <w:rStyle w:val="Heading5Char"/>
        </w:rPr>
        <w:t>A</w:t>
      </w:r>
      <w:r w:rsidRPr="00E44E84">
        <w:rPr>
          <w:rStyle w:val="Heading5Char"/>
        </w:rPr>
        <w:t xml:space="preserve">utomation: </w:t>
      </w:r>
      <w:r w:rsidR="00CB2369">
        <w:t xml:space="preserve">The agency leveraged another internal </w:t>
      </w:r>
      <w:r>
        <w:t xml:space="preserve">DOJ </w:t>
      </w:r>
      <w:r w:rsidR="00CB2369">
        <w:t xml:space="preserve">team in the finance </w:t>
      </w:r>
      <w:r>
        <w:t>office</w:t>
      </w:r>
      <w:r w:rsidR="00CB2369">
        <w:t xml:space="preserve"> </w:t>
      </w:r>
      <w:r>
        <w:t>that</w:t>
      </w:r>
      <w:r w:rsidR="00CB2369">
        <w:t xml:space="preserve"> had been building </w:t>
      </w:r>
      <w:r>
        <w:t>robotic process automation (</w:t>
      </w:r>
      <w:r w:rsidRPr="00CA6FB6">
        <w:t>RPA</w:t>
      </w:r>
      <w:r>
        <w:t>)</w:t>
      </w:r>
      <w:r w:rsidR="00CB2369">
        <w:t xml:space="preserve"> bots for 2 years to educate them on RPA and ultimately used th</w:t>
      </w:r>
      <w:r>
        <w:t>e finance’s office</w:t>
      </w:r>
      <w:r w:rsidR="00CB2369">
        <w:t xml:space="preserve"> RPA Team to build their bot.</w:t>
      </w:r>
    </w:p>
    <w:p w:rsidR="00CB2369" w:rsidRDefault="00B97621" w:rsidP="00CB2369">
      <w:pPr>
        <w:pStyle w:val="ListParagraph"/>
        <w:numPr>
          <w:ilvl w:val="0"/>
          <w:numId w:val="1"/>
        </w:numPr>
      </w:pPr>
      <w:r w:rsidRPr="00E44E84">
        <w:rPr>
          <w:rStyle w:val="Heading5Char"/>
        </w:rPr>
        <w:lastRenderedPageBreak/>
        <w:t>Leadership Buy-In:</w:t>
      </w:r>
      <w:r>
        <w:t xml:space="preserve"> </w:t>
      </w:r>
      <w:r w:rsidR="00CB2369">
        <w:t xml:space="preserve">Buy-in was not a major hurdle, as the procurement group leveraged the work and acceptance already achieved by another </w:t>
      </w:r>
      <w:r w:rsidR="00166040">
        <w:t>internal DOJ office’</w:t>
      </w:r>
      <w:r w:rsidR="00CC07E3">
        <w:t>s</w:t>
      </w:r>
      <w:r w:rsidR="00CB2369">
        <w:t xml:space="preserve"> RPA Team.</w:t>
      </w:r>
    </w:p>
    <w:p w:rsidR="00CB2369" w:rsidRDefault="00FC39F9" w:rsidP="00CB2369">
      <w:pPr>
        <w:pStyle w:val="ListParagraph"/>
        <w:numPr>
          <w:ilvl w:val="0"/>
          <w:numId w:val="1"/>
        </w:numPr>
      </w:pPr>
      <w:r w:rsidRPr="00FC39F9">
        <w:rPr>
          <w:rStyle w:val="Heading5Char"/>
        </w:rPr>
        <w:t>Team Approach:</w:t>
      </w:r>
      <w:r>
        <w:t xml:space="preserve"> </w:t>
      </w:r>
      <w:r w:rsidR="00CB2369">
        <w:t xml:space="preserve">The RPA Team that built the </w:t>
      </w:r>
      <w:r w:rsidR="00CC07E3">
        <w:t>DOJ contract c</w:t>
      </w:r>
      <w:r w:rsidR="00CB2369">
        <w:t xml:space="preserve">loseout </w:t>
      </w:r>
      <w:r w:rsidR="00CC07E3">
        <w:t>b</w:t>
      </w:r>
      <w:r w:rsidR="00CB2369">
        <w:t>ot</w:t>
      </w:r>
      <w:r w:rsidR="006B1CC1">
        <w:t xml:space="preserve">, called </w:t>
      </w:r>
      <w:r w:rsidR="006F4ECE">
        <w:t xml:space="preserve">the </w:t>
      </w:r>
      <w:r w:rsidR="00CC07E3" w:rsidRPr="00CC07E3">
        <w:t>Automated Notification of Non-Reconciled Awards</w:t>
      </w:r>
      <w:r w:rsidR="006F4ECE">
        <w:t xml:space="preserve"> bot</w:t>
      </w:r>
      <w:r w:rsidR="006B1CC1">
        <w:t>,</w:t>
      </w:r>
      <w:r w:rsidR="00CC07E3">
        <w:t xml:space="preserve"> </w:t>
      </w:r>
      <w:r w:rsidR="00CB2369">
        <w:t xml:space="preserve">had strong project management practices and used </w:t>
      </w:r>
      <w:r w:rsidR="00204C39">
        <w:t>a</w:t>
      </w:r>
      <w:r w:rsidR="00CB2369">
        <w:t xml:space="preserve">gile practices with designated </w:t>
      </w:r>
      <w:r>
        <w:t xml:space="preserve">DOJ </w:t>
      </w:r>
      <w:r w:rsidR="00CB2369">
        <w:t>technical and program office stakeholders to develop the concept, functional requirements, and technical design of the bot.</w:t>
      </w:r>
    </w:p>
    <w:p w:rsidR="00CB2369" w:rsidRPr="005F18A3" w:rsidRDefault="00CB2369" w:rsidP="00CB2369">
      <w:pPr>
        <w:pStyle w:val="Heading4"/>
        <w:rPr>
          <w:shd w:val="clear" w:color="auto" w:fill="FFFFFF"/>
        </w:rPr>
      </w:pPr>
      <w:r w:rsidRPr="005F18A3">
        <w:rPr>
          <w:shd w:val="clear" w:color="auto" w:fill="FFFFFF"/>
        </w:rPr>
        <w:t>Army</w:t>
      </w:r>
      <w:r w:rsidR="00737E1D">
        <w:rPr>
          <w:shd w:val="clear" w:color="auto" w:fill="FFFFFF"/>
        </w:rPr>
        <w:t xml:space="preserve"> </w:t>
      </w:r>
    </w:p>
    <w:p w:rsidR="00CB2369" w:rsidRDefault="00CB2369" w:rsidP="00CB2369">
      <w:pPr>
        <w:pStyle w:val="ListParagraph"/>
        <w:numPr>
          <w:ilvl w:val="0"/>
          <w:numId w:val="1"/>
        </w:numPr>
      </w:pPr>
      <w:r>
        <w:t xml:space="preserve">Once the procurement office understood they wanted to pursue </w:t>
      </w:r>
      <w:r w:rsidR="00513171">
        <w:t>robotic process automation (RPA)</w:t>
      </w:r>
      <w:r>
        <w:t xml:space="preserve">, they reached out to other departments for cooperation and found another group that was using RPA </w:t>
      </w:r>
      <w:r w:rsidR="00513171">
        <w:t xml:space="preserve">that was also able </w:t>
      </w:r>
      <w:r>
        <w:t>to assist them.</w:t>
      </w:r>
    </w:p>
    <w:p w:rsidR="00CB2369" w:rsidRDefault="00CB2369" w:rsidP="00CB2369">
      <w:pPr>
        <w:pStyle w:val="ListParagraph"/>
        <w:numPr>
          <w:ilvl w:val="0"/>
          <w:numId w:val="1"/>
        </w:numPr>
      </w:pPr>
      <w:r>
        <w:t>Despite early stakeholder support, Army still developed a formal business case that discussed ROI to document and validate executive stakeholder support.</w:t>
      </w:r>
    </w:p>
    <w:p w:rsidR="00CB2369" w:rsidRDefault="00CB2369" w:rsidP="00CB2369">
      <w:pPr>
        <w:pStyle w:val="ListParagraph"/>
        <w:numPr>
          <w:ilvl w:val="0"/>
          <w:numId w:val="1"/>
        </w:numPr>
      </w:pPr>
      <w:r>
        <w:t>In making a business case, Army linked the outcomes to agency and government-wide priorities.</w:t>
      </w:r>
    </w:p>
    <w:p w:rsidR="00CB2369" w:rsidRPr="00133C55" w:rsidRDefault="00CB2369" w:rsidP="00CB2369">
      <w:pPr>
        <w:pStyle w:val="Heading4"/>
        <w:rPr>
          <w:shd w:val="clear" w:color="auto" w:fill="FFFFFF"/>
        </w:rPr>
      </w:pPr>
      <w:r w:rsidRPr="00133C55">
        <w:rPr>
          <w:shd w:val="clear" w:color="auto" w:fill="FFFFFF"/>
        </w:rPr>
        <w:t>Defense Logistics Agency</w:t>
      </w:r>
    </w:p>
    <w:p w:rsidR="00CB2369" w:rsidRDefault="004B436D" w:rsidP="00CB2369">
      <w:pPr>
        <w:pStyle w:val="ListParagraph"/>
        <w:numPr>
          <w:ilvl w:val="0"/>
          <w:numId w:val="1"/>
        </w:numPr>
      </w:pPr>
      <w:r>
        <w:rPr>
          <w:rStyle w:val="Heading5Char"/>
        </w:rPr>
        <w:t>Inform</w:t>
      </w:r>
      <w:r w:rsidRPr="00FC39F9">
        <w:rPr>
          <w:rStyle w:val="Heading5Char"/>
        </w:rPr>
        <w:t>:</w:t>
      </w:r>
      <w:r>
        <w:t xml:space="preserve"> </w:t>
      </w:r>
      <w:r w:rsidR="00CB2369" w:rsidRPr="00133C55">
        <w:t xml:space="preserve">To build awareness and understanding of </w:t>
      </w:r>
      <w:r>
        <w:t>robotic process automation (RPA)</w:t>
      </w:r>
      <w:r w:rsidR="00CB2369" w:rsidRPr="00133C55">
        <w:t>, DLA facilitates multiple RPA introductory sessions per year, both virtual sessions and fully in person events.</w:t>
      </w:r>
    </w:p>
    <w:p w:rsidR="00CB2369" w:rsidRPr="001353E5" w:rsidRDefault="00CB2369" w:rsidP="00CB2369">
      <w:pPr>
        <w:pStyle w:val="Heading4"/>
        <w:rPr>
          <w:shd w:val="clear" w:color="auto" w:fill="FFFFFF"/>
        </w:rPr>
      </w:pPr>
      <w:r w:rsidRPr="001353E5">
        <w:rPr>
          <w:shd w:val="clear" w:color="auto" w:fill="FFFFFF"/>
        </w:rPr>
        <w:t>Department of Labor</w:t>
      </w:r>
      <w:r w:rsidR="00737E1D">
        <w:rPr>
          <w:shd w:val="clear" w:color="auto" w:fill="FFFFFF"/>
        </w:rPr>
        <w:t xml:space="preserve"> </w:t>
      </w:r>
    </w:p>
    <w:p w:rsidR="00CB2369" w:rsidRPr="002D2AA5" w:rsidRDefault="00CB2369" w:rsidP="00CB2369">
      <w:pPr>
        <w:pStyle w:val="ListParagraph"/>
        <w:numPr>
          <w:ilvl w:val="0"/>
          <w:numId w:val="1"/>
        </w:numPr>
      </w:pPr>
      <w:r>
        <w:t xml:space="preserve">When standing up </w:t>
      </w:r>
      <w:r w:rsidR="002122F3">
        <w:t xml:space="preserve">its </w:t>
      </w:r>
      <w:r>
        <w:t xml:space="preserve">initial </w:t>
      </w:r>
      <w:r w:rsidR="002122F3">
        <w:t xml:space="preserve">robotic process automation (RPA) </w:t>
      </w:r>
      <w:r>
        <w:t xml:space="preserve">team, DOL took a </w:t>
      </w:r>
      <w:r w:rsidRPr="005D77CD">
        <w:t xml:space="preserve">top-down approach. They focused on adding “jacks of all trades” to the team and making sure </w:t>
      </w:r>
      <w:r w:rsidR="002122F3">
        <w:t xml:space="preserve">the </w:t>
      </w:r>
      <w:r w:rsidRPr="005D77CD">
        <w:t xml:space="preserve">team had the right mix of skills/backgrounds – acquisition, project management, information technology, etc. </w:t>
      </w:r>
    </w:p>
    <w:p w:rsidR="00CB2369" w:rsidRDefault="00CB2369" w:rsidP="00CB2369">
      <w:pPr>
        <w:pStyle w:val="Heading4"/>
      </w:pPr>
      <w:r w:rsidRPr="2D16767B">
        <w:rPr>
          <w:rFonts w:ascii="Calibri Light" w:eastAsia="Calibri Light" w:hAnsi="Calibri Light" w:cs="Calibri Light"/>
        </w:rPr>
        <w:t>Department of Treasury</w:t>
      </w:r>
      <w:r w:rsidR="00737E1D">
        <w:rPr>
          <w:rFonts w:ascii="Calibri Light" w:eastAsia="Calibri Light" w:hAnsi="Calibri Light" w:cs="Calibri Light"/>
        </w:rPr>
        <w:t xml:space="preserve"> </w:t>
      </w:r>
      <w:bookmarkStart w:id="0" w:name="_GoBack"/>
      <w:bookmarkEnd w:id="0"/>
    </w:p>
    <w:p w:rsidR="00723F2E" w:rsidRPr="004B436D" w:rsidRDefault="002122F3" w:rsidP="00CA22B6">
      <w:pPr>
        <w:pStyle w:val="ListParagraph"/>
        <w:numPr>
          <w:ilvl w:val="0"/>
          <w:numId w:val="1"/>
        </w:numPr>
      </w:pPr>
      <w:r w:rsidRPr="002122F3">
        <w:rPr>
          <w:rStyle w:val="Heading5Char"/>
        </w:rPr>
        <w:t>Organizational Readiness:</w:t>
      </w:r>
      <w:r>
        <w:rPr>
          <w:rFonts w:ascii="Calibri" w:eastAsia="Calibri" w:hAnsi="Calibri" w:cs="Calibri"/>
        </w:rPr>
        <w:t xml:space="preserve"> </w:t>
      </w:r>
      <w:r w:rsidR="00CB2369" w:rsidRPr="00CA22B6">
        <w:rPr>
          <w:rFonts w:ascii="Calibri" w:eastAsia="Calibri" w:hAnsi="Calibri" w:cs="Calibri"/>
        </w:rPr>
        <w:t>Leaders within the organization “wanted to start an automation journey in general…due to the manual nature [of certain processes] and the simplicity of the function.” The benefits were communicated early on organically with certain leaders directly impacted by the processes to be automated.</w:t>
      </w:r>
    </w:p>
    <w:p w:rsidR="004B436D" w:rsidRDefault="004B436D" w:rsidP="004B436D">
      <w:pPr>
        <w:pStyle w:val="ListParagraph"/>
        <w:numPr>
          <w:ilvl w:val="0"/>
          <w:numId w:val="2"/>
        </w:numPr>
        <w:rPr>
          <w:rFonts w:eastAsiaTheme="minorEastAsia"/>
        </w:rPr>
      </w:pPr>
      <w:r>
        <w:rPr>
          <w:rStyle w:val="Heading5Char"/>
        </w:rPr>
        <w:t>Learn and Inform</w:t>
      </w:r>
      <w:r w:rsidRPr="00FC39F9">
        <w:rPr>
          <w:rStyle w:val="Heading5Char"/>
        </w:rPr>
        <w:t>:</w:t>
      </w:r>
      <w:r>
        <w:t xml:space="preserve"> The IRS sent several of their procurement practitioners to robotic process automation (RPA) training to build familiarity with how bots worked so they could think about how the technology could be beneficial to their organizations and also serve as active contributors to </w:t>
      </w:r>
      <w:r w:rsidR="002122F3">
        <w:t xml:space="preserve">the </w:t>
      </w:r>
      <w:r>
        <w:t xml:space="preserve">design and requirements collection </w:t>
      </w:r>
      <w:r w:rsidR="002122F3">
        <w:t>processes</w:t>
      </w:r>
      <w:r>
        <w:t xml:space="preserve"> for use cases.   </w:t>
      </w:r>
    </w:p>
    <w:p w:rsidR="004B436D" w:rsidRDefault="004B436D" w:rsidP="004B436D">
      <w:pPr>
        <w:pStyle w:val="ListParagraph"/>
      </w:pPr>
    </w:p>
    <w:sectPr w:rsidR="004B43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64D" w:rsidRDefault="0019664D" w:rsidP="00CA22B6">
      <w:pPr>
        <w:spacing w:after="0" w:line="240" w:lineRule="auto"/>
      </w:pPr>
      <w:r>
        <w:separator/>
      </w:r>
    </w:p>
  </w:endnote>
  <w:endnote w:type="continuationSeparator" w:id="0">
    <w:p w:rsidR="0019664D" w:rsidRDefault="0019664D" w:rsidP="00CA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64D" w:rsidRDefault="0019664D" w:rsidP="00CA22B6">
      <w:pPr>
        <w:spacing w:after="0" w:line="240" w:lineRule="auto"/>
      </w:pPr>
      <w:r>
        <w:separator/>
      </w:r>
    </w:p>
  </w:footnote>
  <w:footnote w:type="continuationSeparator" w:id="0">
    <w:p w:rsidR="0019664D" w:rsidRDefault="0019664D" w:rsidP="00CA2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29D" w:rsidRPr="00FB0301" w:rsidRDefault="00C1729D" w:rsidP="00C1729D">
    <w:pPr>
      <w:pStyle w:val="Heading1"/>
      <w:spacing w:before="0" w:line="240" w:lineRule="auto"/>
      <w:jc w:val="center"/>
      <w:rPr>
        <w:rStyle w:val="Emphasis"/>
        <w:i w:val="0"/>
        <w:iCs w:val="0"/>
        <w:sz w:val="26"/>
        <w:szCs w:val="26"/>
      </w:rPr>
    </w:pPr>
    <w:bookmarkStart w:id="1" w:name="_Hlk83974574"/>
    <w:bookmarkStart w:id="2" w:name="_Hlk83974575"/>
    <w:r w:rsidRPr="00FB0301">
      <w:rPr>
        <w:rStyle w:val="Emphasis"/>
        <w:i w:val="0"/>
        <w:iCs w:val="0"/>
        <w:sz w:val="26"/>
        <w:szCs w:val="26"/>
      </w:rPr>
      <w:t>Automation Innovation</w:t>
    </w:r>
  </w:p>
  <w:p w:rsidR="00C1729D" w:rsidRPr="00283815" w:rsidRDefault="00C1729D" w:rsidP="00C1729D">
    <w:pPr>
      <w:pStyle w:val="Heading4"/>
      <w:spacing w:before="0" w:line="240" w:lineRule="auto"/>
      <w:jc w:val="center"/>
      <w:rPr>
        <w:rStyle w:val="Emphasis"/>
        <w:sz w:val="26"/>
        <w:szCs w:val="26"/>
      </w:rPr>
    </w:pPr>
    <w:r w:rsidRPr="00283815">
      <w:rPr>
        <w:rStyle w:val="Emphasis"/>
        <w:sz w:val="26"/>
        <w:szCs w:val="26"/>
      </w:rPr>
      <w:t>Cultural Adaptation Journey</w:t>
    </w:r>
  </w:p>
  <w:p w:rsidR="00CA22B6" w:rsidRPr="00C1729D" w:rsidRDefault="00C1729D" w:rsidP="00C1729D">
    <w:pPr>
      <w:pStyle w:val="Heading4"/>
      <w:spacing w:before="0" w:line="240" w:lineRule="auto"/>
      <w:jc w:val="center"/>
      <w:rPr>
        <w:iCs w:val="0"/>
        <w:sz w:val="26"/>
        <w:szCs w:val="26"/>
      </w:rPr>
    </w:pPr>
    <w:r w:rsidRPr="00283815">
      <w:rPr>
        <w:rStyle w:val="Emphasis"/>
        <w:i/>
        <w:sz w:val="26"/>
        <w:szCs w:val="26"/>
      </w:rPr>
      <w:t>Phase 1 – Learn and Inform</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2E60"/>
    <w:multiLevelType w:val="hybridMultilevel"/>
    <w:tmpl w:val="9FC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9195A"/>
    <w:multiLevelType w:val="hybridMultilevel"/>
    <w:tmpl w:val="FFFFFFFF"/>
    <w:lvl w:ilvl="0" w:tplc="A7AABD9C">
      <w:start w:val="1"/>
      <w:numFmt w:val="bullet"/>
      <w:lvlText w:val=""/>
      <w:lvlJc w:val="left"/>
      <w:pPr>
        <w:ind w:left="720" w:hanging="360"/>
      </w:pPr>
      <w:rPr>
        <w:rFonts w:ascii="Symbol" w:hAnsi="Symbol" w:hint="default"/>
      </w:rPr>
    </w:lvl>
    <w:lvl w:ilvl="1" w:tplc="7F9E50FA">
      <w:start w:val="1"/>
      <w:numFmt w:val="bullet"/>
      <w:lvlText w:val="o"/>
      <w:lvlJc w:val="left"/>
      <w:pPr>
        <w:ind w:left="1440" w:hanging="360"/>
      </w:pPr>
      <w:rPr>
        <w:rFonts w:ascii="Courier New" w:hAnsi="Courier New" w:hint="default"/>
      </w:rPr>
    </w:lvl>
    <w:lvl w:ilvl="2" w:tplc="EB3ACEF0">
      <w:start w:val="1"/>
      <w:numFmt w:val="bullet"/>
      <w:lvlText w:val=""/>
      <w:lvlJc w:val="left"/>
      <w:pPr>
        <w:ind w:left="2160" w:hanging="360"/>
      </w:pPr>
      <w:rPr>
        <w:rFonts w:ascii="Wingdings" w:hAnsi="Wingdings" w:hint="default"/>
      </w:rPr>
    </w:lvl>
    <w:lvl w:ilvl="3" w:tplc="41943F34">
      <w:start w:val="1"/>
      <w:numFmt w:val="bullet"/>
      <w:lvlText w:val=""/>
      <w:lvlJc w:val="left"/>
      <w:pPr>
        <w:ind w:left="2880" w:hanging="360"/>
      </w:pPr>
      <w:rPr>
        <w:rFonts w:ascii="Symbol" w:hAnsi="Symbol" w:hint="default"/>
      </w:rPr>
    </w:lvl>
    <w:lvl w:ilvl="4" w:tplc="25302970">
      <w:start w:val="1"/>
      <w:numFmt w:val="bullet"/>
      <w:lvlText w:val="o"/>
      <w:lvlJc w:val="left"/>
      <w:pPr>
        <w:ind w:left="3600" w:hanging="360"/>
      </w:pPr>
      <w:rPr>
        <w:rFonts w:ascii="Courier New" w:hAnsi="Courier New" w:hint="default"/>
      </w:rPr>
    </w:lvl>
    <w:lvl w:ilvl="5" w:tplc="391AEE3E">
      <w:start w:val="1"/>
      <w:numFmt w:val="bullet"/>
      <w:lvlText w:val=""/>
      <w:lvlJc w:val="left"/>
      <w:pPr>
        <w:ind w:left="4320" w:hanging="360"/>
      </w:pPr>
      <w:rPr>
        <w:rFonts w:ascii="Wingdings" w:hAnsi="Wingdings" w:hint="default"/>
      </w:rPr>
    </w:lvl>
    <w:lvl w:ilvl="6" w:tplc="6F86C4E6">
      <w:start w:val="1"/>
      <w:numFmt w:val="bullet"/>
      <w:lvlText w:val=""/>
      <w:lvlJc w:val="left"/>
      <w:pPr>
        <w:ind w:left="5040" w:hanging="360"/>
      </w:pPr>
      <w:rPr>
        <w:rFonts w:ascii="Symbol" w:hAnsi="Symbol" w:hint="default"/>
      </w:rPr>
    </w:lvl>
    <w:lvl w:ilvl="7" w:tplc="3E247F10">
      <w:start w:val="1"/>
      <w:numFmt w:val="bullet"/>
      <w:lvlText w:val="o"/>
      <w:lvlJc w:val="left"/>
      <w:pPr>
        <w:ind w:left="5760" w:hanging="360"/>
      </w:pPr>
      <w:rPr>
        <w:rFonts w:ascii="Courier New" w:hAnsi="Courier New" w:hint="default"/>
      </w:rPr>
    </w:lvl>
    <w:lvl w:ilvl="8" w:tplc="E896898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69"/>
    <w:rsid w:val="000662FB"/>
    <w:rsid w:val="00166040"/>
    <w:rsid w:val="0019664D"/>
    <w:rsid w:val="00204C39"/>
    <w:rsid w:val="002122F3"/>
    <w:rsid w:val="0024328F"/>
    <w:rsid w:val="004051CA"/>
    <w:rsid w:val="004B2C97"/>
    <w:rsid w:val="004B436D"/>
    <w:rsid w:val="00513171"/>
    <w:rsid w:val="005E63F7"/>
    <w:rsid w:val="00642AE3"/>
    <w:rsid w:val="006B1CC1"/>
    <w:rsid w:val="006D2353"/>
    <w:rsid w:val="006E30C7"/>
    <w:rsid w:val="006F4ECE"/>
    <w:rsid w:val="00737E1D"/>
    <w:rsid w:val="00785688"/>
    <w:rsid w:val="00825265"/>
    <w:rsid w:val="00870493"/>
    <w:rsid w:val="008E3B24"/>
    <w:rsid w:val="00A054E3"/>
    <w:rsid w:val="00A12A40"/>
    <w:rsid w:val="00A97880"/>
    <w:rsid w:val="00AC6F5B"/>
    <w:rsid w:val="00B97621"/>
    <w:rsid w:val="00BF35CE"/>
    <w:rsid w:val="00C13908"/>
    <w:rsid w:val="00C1729D"/>
    <w:rsid w:val="00CA22B6"/>
    <w:rsid w:val="00CB2369"/>
    <w:rsid w:val="00CC07E3"/>
    <w:rsid w:val="00D50DD7"/>
    <w:rsid w:val="00DE25E0"/>
    <w:rsid w:val="00E44E84"/>
    <w:rsid w:val="00ED064E"/>
    <w:rsid w:val="00F03234"/>
    <w:rsid w:val="00FB57A1"/>
    <w:rsid w:val="00FC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EC9D"/>
  <w15:chartTrackingRefBased/>
  <w15:docId w15:val="{2316A738-4A61-48F5-994E-2CB6C872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369"/>
  </w:style>
  <w:style w:type="paragraph" w:styleId="Heading1">
    <w:name w:val="heading 1"/>
    <w:basedOn w:val="Normal"/>
    <w:next w:val="Normal"/>
    <w:link w:val="Heading1Char"/>
    <w:uiPriority w:val="9"/>
    <w:qFormat/>
    <w:rsid w:val="00785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3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4E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3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236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2369"/>
    <w:pPr>
      <w:ind w:left="720"/>
      <w:contextualSpacing/>
    </w:pPr>
  </w:style>
  <w:style w:type="paragraph" w:styleId="Header">
    <w:name w:val="header"/>
    <w:basedOn w:val="Normal"/>
    <w:link w:val="HeaderChar"/>
    <w:uiPriority w:val="99"/>
    <w:unhideWhenUsed/>
    <w:rsid w:val="00CA2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2B6"/>
  </w:style>
  <w:style w:type="paragraph" w:styleId="Footer">
    <w:name w:val="footer"/>
    <w:basedOn w:val="Normal"/>
    <w:link w:val="FooterChar"/>
    <w:uiPriority w:val="99"/>
    <w:unhideWhenUsed/>
    <w:rsid w:val="00CA2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2B6"/>
  </w:style>
  <w:style w:type="character" w:styleId="Emphasis">
    <w:name w:val="Emphasis"/>
    <w:basedOn w:val="DefaultParagraphFont"/>
    <w:uiPriority w:val="20"/>
    <w:qFormat/>
    <w:rsid w:val="00CA22B6"/>
    <w:rPr>
      <w:i/>
      <w:iCs/>
    </w:rPr>
  </w:style>
  <w:style w:type="character" w:customStyle="1" w:styleId="Heading1Char">
    <w:name w:val="Heading 1 Char"/>
    <w:basedOn w:val="DefaultParagraphFont"/>
    <w:link w:val="Heading1"/>
    <w:uiPriority w:val="9"/>
    <w:rsid w:val="00785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68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E44E8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Curtina O. EOP/OMB</dc:creator>
  <cp:keywords/>
  <dc:description/>
  <cp:lastModifiedBy>Smith, Curtina O. EOP/OMB</cp:lastModifiedBy>
  <cp:revision>19</cp:revision>
  <dcterms:created xsi:type="dcterms:W3CDTF">2021-10-01T16:07:00Z</dcterms:created>
  <dcterms:modified xsi:type="dcterms:W3CDTF">2022-06-10T12:42:00Z</dcterms:modified>
</cp:coreProperties>
</file>