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490D" w:rsidRPr="007652BF" w:rsidRDefault="0095490D" w:rsidP="0095490D">
      <w:pPr>
        <w:pStyle w:val="Heading3"/>
        <w:rPr>
          <w:u w:val="single"/>
        </w:rPr>
      </w:pPr>
      <w:r w:rsidRPr="007652BF">
        <w:rPr>
          <w:u w:val="single"/>
        </w:rPr>
        <w:t>Agency Examples</w:t>
      </w:r>
    </w:p>
    <w:p w:rsidR="0095490D" w:rsidRDefault="0095490D" w:rsidP="0095490D">
      <w:pPr>
        <w:pStyle w:val="Heading4"/>
      </w:pPr>
      <w:r>
        <w:rPr>
          <w:shd w:val="clear" w:color="auto" w:fill="FFFFFF"/>
        </w:rPr>
        <w:t>General Services Administration</w:t>
      </w:r>
      <w:r w:rsidR="00816E81">
        <w:rPr>
          <w:shd w:val="clear" w:color="auto" w:fill="FFFFFF"/>
        </w:rPr>
        <w:t xml:space="preserve"> </w:t>
      </w:r>
    </w:p>
    <w:p w:rsidR="0095490D" w:rsidRDefault="00D2599D" w:rsidP="0095490D">
      <w:pPr>
        <w:pStyle w:val="ListParagraph"/>
        <w:numPr>
          <w:ilvl w:val="0"/>
          <w:numId w:val="1"/>
        </w:numPr>
      </w:pPr>
      <w:r>
        <w:rPr>
          <w:rStyle w:val="Heading5Char"/>
        </w:rPr>
        <w:t>Gather Compliance Requirements</w:t>
      </w:r>
      <w:r w:rsidRPr="00E44E84">
        <w:rPr>
          <w:rStyle w:val="Heading5Char"/>
        </w:rPr>
        <w:t>:</w:t>
      </w:r>
      <w:r>
        <w:t xml:space="preserve"> </w:t>
      </w:r>
      <w:r w:rsidR="0095490D" w:rsidRPr="00706473">
        <w:t>GSA</w:t>
      </w:r>
      <w:r w:rsidR="00BA7EC4">
        <w:t xml:space="preserve"> structured its closeout bot, CLARA, to follow the requirements in the Federal Acquisition Regulation. In addition, the requirements development team</w:t>
      </w:r>
      <w:r w:rsidR="0095490D" w:rsidRPr="00706473">
        <w:t xml:space="preserve"> worked closely with </w:t>
      </w:r>
      <w:r w:rsidR="00BA7EC4">
        <w:t xml:space="preserve">agency </w:t>
      </w:r>
      <w:r w:rsidR="0095490D" w:rsidRPr="00706473">
        <w:t xml:space="preserve">attorneys throughout the development process </w:t>
      </w:r>
      <w:r w:rsidR="00BA7EC4">
        <w:t>to ensure compliance with</w:t>
      </w:r>
      <w:r w:rsidR="0095490D" w:rsidRPr="00706473">
        <w:t xml:space="preserve"> administrative law issues</w:t>
      </w:r>
      <w:r w:rsidR="00BA7EC4">
        <w:t xml:space="preserve"> related to the </w:t>
      </w:r>
      <w:r w:rsidR="0095490D" w:rsidRPr="00706473">
        <w:t>appropriate exercise of discretion</w:t>
      </w:r>
      <w:r w:rsidR="00BA7EC4">
        <w:t xml:space="preserve"> of the bot</w:t>
      </w:r>
      <w:r w:rsidR="0095490D" w:rsidRPr="00706473">
        <w:t>.</w:t>
      </w:r>
      <w:r w:rsidR="0095490D">
        <w:t xml:space="preserve"> </w:t>
      </w:r>
      <w:r w:rsidR="00BA7EC4">
        <w:t xml:space="preserve">For example, CLARA </w:t>
      </w:r>
      <w:r w:rsidR="0095490D" w:rsidRPr="00706473">
        <w:t xml:space="preserve">does not exercise the actual modification, the Contracting Officer exercises the modification with support from the </w:t>
      </w:r>
      <w:r w:rsidR="00BA7EC4">
        <w:t>bot</w:t>
      </w:r>
      <w:r w:rsidR="0095490D" w:rsidRPr="00706473">
        <w:t>.</w:t>
      </w:r>
      <w:r w:rsidR="0095490D">
        <w:t xml:space="preserve"> </w:t>
      </w:r>
      <w:r w:rsidR="00BA7EC4">
        <w:t xml:space="preserve">The process </w:t>
      </w:r>
      <w:r w:rsidR="00BA7EC4" w:rsidRPr="00706473">
        <w:t xml:space="preserve">starts with the Contracting Officer initiating the </w:t>
      </w:r>
      <w:r w:rsidR="00BA7EC4">
        <w:t>bot</w:t>
      </w:r>
      <w:r w:rsidR="00BA7EC4" w:rsidRPr="00706473">
        <w:t xml:space="preserve"> to commence the closeout process</w:t>
      </w:r>
      <w:r w:rsidR="00BA7EC4">
        <w:t>.</w:t>
      </w:r>
      <w:r w:rsidR="00BA7EC4" w:rsidRPr="00706473">
        <w:t xml:space="preserve"> </w:t>
      </w:r>
      <w:r w:rsidR="0095490D" w:rsidRPr="00706473">
        <w:t xml:space="preserve">Anything that a warranted Contracting Officer is regulated to do is turned over by the </w:t>
      </w:r>
      <w:r w:rsidR="00BA7EC4">
        <w:t>bot</w:t>
      </w:r>
      <w:r w:rsidR="0095490D" w:rsidRPr="00706473">
        <w:t xml:space="preserve"> to the Contracting Officer for action. </w:t>
      </w:r>
    </w:p>
    <w:p w:rsidR="0095490D" w:rsidRPr="000D6030" w:rsidRDefault="00D2599D" w:rsidP="0095490D">
      <w:pPr>
        <w:pStyle w:val="ListParagraph"/>
        <w:numPr>
          <w:ilvl w:val="0"/>
          <w:numId w:val="1"/>
        </w:numPr>
      </w:pPr>
      <w:r>
        <w:rPr>
          <w:rStyle w:val="Heading5Char"/>
        </w:rPr>
        <w:t>Gather Access Requirements</w:t>
      </w:r>
      <w:r w:rsidRPr="00E44E84">
        <w:rPr>
          <w:rStyle w:val="Heading5Char"/>
        </w:rPr>
        <w:t>:</w:t>
      </w:r>
      <w:r>
        <w:t xml:space="preserve"> </w:t>
      </w:r>
      <w:r w:rsidR="0095490D" w:rsidRPr="000D6030">
        <w:t xml:space="preserve">For GSA’s </w:t>
      </w:r>
      <w:r>
        <w:t xml:space="preserve">closeout bot, CLARA, </w:t>
      </w:r>
      <w:r w:rsidRPr="000D6030">
        <w:t>role</w:t>
      </w:r>
      <w:r w:rsidR="0095490D" w:rsidRPr="000D6030">
        <w:t>-based access and permissions are supplemented by the fact that the automations can only be run within the GSA environment.</w:t>
      </w:r>
      <w:r w:rsidR="0095490D">
        <w:t xml:space="preserve"> </w:t>
      </w:r>
      <w:r w:rsidR="0095490D" w:rsidRPr="000D6030">
        <w:t>Users who attempt to run an automation without appropriate access receive a warning that they do not have privileges to run the automation</w:t>
      </w:r>
      <w:r>
        <w:t>, along</w:t>
      </w:r>
      <w:r w:rsidR="0095490D" w:rsidRPr="000D6030">
        <w:t xml:space="preserve"> with instructions to obtain access.</w:t>
      </w:r>
    </w:p>
    <w:p w:rsidR="0095490D" w:rsidRPr="00095BC2" w:rsidRDefault="0095490D" w:rsidP="0095490D">
      <w:pPr>
        <w:pStyle w:val="Heading4"/>
        <w:rPr>
          <w:shd w:val="clear" w:color="auto" w:fill="FFFFFF"/>
        </w:rPr>
      </w:pPr>
      <w:r w:rsidRPr="00095BC2">
        <w:rPr>
          <w:shd w:val="clear" w:color="auto" w:fill="FFFFFF"/>
        </w:rPr>
        <w:t>Department of Justice</w:t>
      </w:r>
      <w:r w:rsidR="00816E81">
        <w:rPr>
          <w:shd w:val="clear" w:color="auto" w:fill="FFFFFF"/>
        </w:rPr>
        <w:t xml:space="preserve"> </w:t>
      </w:r>
    </w:p>
    <w:p w:rsidR="0095490D" w:rsidRPr="009C45B6" w:rsidRDefault="008D6106" w:rsidP="0095490D">
      <w:pPr>
        <w:pStyle w:val="ListParagraph"/>
        <w:numPr>
          <w:ilvl w:val="0"/>
          <w:numId w:val="1"/>
        </w:numPr>
      </w:pPr>
      <w:r>
        <w:rPr>
          <w:rStyle w:val="Heading5Char"/>
        </w:rPr>
        <w:t>Design and Prototype:</w:t>
      </w:r>
      <w:r>
        <w:t xml:space="preserve"> </w:t>
      </w:r>
      <w:r w:rsidR="0095490D" w:rsidRPr="009C45B6">
        <w:t>Design decisions</w:t>
      </w:r>
      <w:r w:rsidR="00383F34">
        <w:t xml:space="preserve"> for</w:t>
      </w:r>
      <w:r w:rsidR="00383F34" w:rsidRPr="00383F34">
        <w:t xml:space="preserve"> </w:t>
      </w:r>
      <w:r w:rsidR="00383F34">
        <w:t xml:space="preserve">DOJ’s </w:t>
      </w:r>
      <w:r w:rsidR="00383F34" w:rsidRPr="00383F34">
        <w:t>Automated Notification of Non-Reconciled Awards</w:t>
      </w:r>
      <w:r w:rsidR="00383F34">
        <w:t xml:space="preserve"> bot </w:t>
      </w:r>
      <w:r w:rsidR="00383F34" w:rsidRPr="009C45B6">
        <w:t>centered</w:t>
      </w:r>
      <w:r w:rsidR="0095490D" w:rsidRPr="009C45B6">
        <w:t xml:space="preserve"> around looking for automation functionality that would not require significant changes to business processes.</w:t>
      </w:r>
    </w:p>
    <w:p w:rsidR="0095490D" w:rsidRDefault="008D6106" w:rsidP="0095490D">
      <w:pPr>
        <w:pStyle w:val="ListParagraph"/>
        <w:numPr>
          <w:ilvl w:val="0"/>
          <w:numId w:val="1"/>
        </w:numPr>
      </w:pPr>
      <w:r>
        <w:rPr>
          <w:rStyle w:val="Heading5Char"/>
        </w:rPr>
        <w:t>Design and Prototype:</w:t>
      </w:r>
      <w:r>
        <w:t xml:space="preserve"> </w:t>
      </w:r>
      <w:r w:rsidR="00383F34">
        <w:t xml:space="preserve">Consistent with </w:t>
      </w:r>
      <w:r w:rsidR="00383F34" w:rsidRPr="009C45B6">
        <w:t>Agile methodologies</w:t>
      </w:r>
      <w:r w:rsidR="00383F34">
        <w:t>, n</w:t>
      </w:r>
      <w:r w:rsidR="0095490D" w:rsidRPr="009C45B6">
        <w:t>on-</w:t>
      </w:r>
      <w:r w:rsidR="00383F34">
        <w:t>t</w:t>
      </w:r>
      <w:r w:rsidR="0095490D" w:rsidRPr="009C45B6">
        <w:t>echnical customer representatives were included in every stage of the development process</w:t>
      </w:r>
      <w:r w:rsidR="00383F34">
        <w:t xml:space="preserve"> for DOJ’s </w:t>
      </w:r>
      <w:r w:rsidR="00383F34" w:rsidRPr="00383F34">
        <w:t>Automated Notification of Non-Reconciled Awards</w:t>
      </w:r>
      <w:r w:rsidR="00383F34">
        <w:t xml:space="preserve"> bot.</w:t>
      </w:r>
    </w:p>
    <w:p w:rsidR="0095490D" w:rsidRPr="00BE2AB4" w:rsidRDefault="0095490D" w:rsidP="0095490D">
      <w:pPr>
        <w:pStyle w:val="Heading4"/>
        <w:rPr>
          <w:shd w:val="clear" w:color="auto" w:fill="FFFFFF"/>
        </w:rPr>
      </w:pPr>
      <w:r w:rsidRPr="00BE2AB4">
        <w:rPr>
          <w:shd w:val="clear" w:color="auto" w:fill="FFFFFF"/>
        </w:rPr>
        <w:t>Army</w:t>
      </w:r>
    </w:p>
    <w:p w:rsidR="0095490D" w:rsidRDefault="008D6106" w:rsidP="0095490D">
      <w:pPr>
        <w:pStyle w:val="ListParagraph"/>
        <w:numPr>
          <w:ilvl w:val="0"/>
          <w:numId w:val="1"/>
        </w:numPr>
      </w:pPr>
      <w:r>
        <w:rPr>
          <w:rStyle w:val="Heading5Char"/>
        </w:rPr>
        <w:t>Collect Business Requirements:</w:t>
      </w:r>
      <w:r>
        <w:t xml:space="preserve"> </w:t>
      </w:r>
      <w:r w:rsidR="0095490D">
        <w:t>The business requirements</w:t>
      </w:r>
      <w:r w:rsidR="000A012F">
        <w:t xml:space="preserve"> for Army’s DORA bot</w:t>
      </w:r>
      <w:r w:rsidR="0095490D">
        <w:t xml:space="preserve"> were heavily informed through cross-government collaboration, despite having different technology tools.</w:t>
      </w:r>
    </w:p>
    <w:p w:rsidR="0095490D" w:rsidRDefault="000A012F" w:rsidP="005054BB">
      <w:pPr>
        <w:pStyle w:val="ListParagraph"/>
        <w:numPr>
          <w:ilvl w:val="0"/>
          <w:numId w:val="1"/>
        </w:numPr>
      </w:pPr>
      <w:r>
        <w:rPr>
          <w:rStyle w:val="Heading5Char"/>
        </w:rPr>
        <w:t>U</w:t>
      </w:r>
      <w:r w:rsidRPr="000A012F">
        <w:rPr>
          <w:rStyle w:val="Heading5Char"/>
        </w:rPr>
        <w:t xml:space="preserve">ser </w:t>
      </w:r>
      <w:r>
        <w:rPr>
          <w:rStyle w:val="Heading5Char"/>
        </w:rPr>
        <w:t>A</w:t>
      </w:r>
      <w:r w:rsidRPr="000A012F">
        <w:rPr>
          <w:rStyle w:val="Heading5Char"/>
        </w:rPr>
        <w:t xml:space="preserve">cceptance </w:t>
      </w:r>
      <w:r>
        <w:rPr>
          <w:rStyle w:val="Heading5Char"/>
        </w:rPr>
        <w:t>T</w:t>
      </w:r>
      <w:r w:rsidRPr="000A012F">
        <w:rPr>
          <w:rStyle w:val="Heading5Char"/>
        </w:rPr>
        <w:t>esting (UAT)</w:t>
      </w:r>
      <w:r>
        <w:rPr>
          <w:rStyle w:val="Heading5Char"/>
        </w:rPr>
        <w:t>:</w:t>
      </w:r>
      <w:r>
        <w:t xml:space="preserve"> The p</w:t>
      </w:r>
      <w:r w:rsidR="0095490D">
        <w:t xml:space="preserve">rototype </w:t>
      </w:r>
      <w:r>
        <w:t xml:space="preserve">for DORA did not go through </w:t>
      </w:r>
      <w:r w:rsidR="0095490D">
        <w:t xml:space="preserve">formal </w:t>
      </w:r>
      <w:r>
        <w:t>u</w:t>
      </w:r>
      <w:r w:rsidRPr="000A012F">
        <w:t xml:space="preserve">ser </w:t>
      </w:r>
      <w:r>
        <w:t>UAT;</w:t>
      </w:r>
      <w:r w:rsidR="0095490D">
        <w:t xml:space="preserve"> instead</w:t>
      </w:r>
      <w:r>
        <w:t>, the Army</w:t>
      </w:r>
      <w:r w:rsidR="0095490D">
        <w:t xml:space="preserve"> limited deployment </w:t>
      </w:r>
      <w:r>
        <w:t xml:space="preserve">to </w:t>
      </w:r>
      <w:r w:rsidR="0095490D">
        <w:t xml:space="preserve">a test group. </w:t>
      </w:r>
      <w:r>
        <w:t xml:space="preserve">The ‘test group' was selected thoughtfully based on the number and types of actions they would execute that would serve as a broad test case.  The test group </w:t>
      </w:r>
      <w:r w:rsidR="005054BB">
        <w:t xml:space="preserve">also used </w:t>
      </w:r>
      <w:r w:rsidR="00E44941">
        <w:t>key points</w:t>
      </w:r>
      <w:bookmarkStart w:id="0" w:name="_GoBack"/>
      <w:bookmarkEnd w:id="0"/>
      <w:r w:rsidR="005054BB">
        <w:t xml:space="preserve"> throughout the development process to provide </w:t>
      </w:r>
      <w:r w:rsidR="0095490D">
        <w:t>early feedback and validation.</w:t>
      </w:r>
    </w:p>
    <w:p w:rsidR="0095490D" w:rsidRPr="00D6193D" w:rsidRDefault="0095490D" w:rsidP="0095490D">
      <w:pPr>
        <w:pStyle w:val="Heading4"/>
        <w:rPr>
          <w:shd w:val="clear" w:color="auto" w:fill="FFFFFF"/>
        </w:rPr>
      </w:pPr>
      <w:r w:rsidRPr="00133C55">
        <w:rPr>
          <w:shd w:val="clear" w:color="auto" w:fill="FFFFFF"/>
        </w:rPr>
        <w:t xml:space="preserve">Defense Logistics Agency </w:t>
      </w:r>
    </w:p>
    <w:p w:rsidR="0095490D" w:rsidRPr="003B6F57" w:rsidRDefault="007F16E3" w:rsidP="0095490D">
      <w:pPr>
        <w:pStyle w:val="ListParagraph"/>
        <w:numPr>
          <w:ilvl w:val="0"/>
          <w:numId w:val="1"/>
        </w:numPr>
      </w:pPr>
      <w:r>
        <w:rPr>
          <w:rStyle w:val="Heading5Char"/>
        </w:rPr>
        <w:t>Design and Prototype:</w:t>
      </w:r>
      <w:r>
        <w:t xml:space="preserve"> </w:t>
      </w:r>
      <w:r w:rsidRPr="007F16E3">
        <w:t xml:space="preserve">DLA has incorporated bots into 109 processes since 2018 with 86 needing no human interaction. </w:t>
      </w:r>
      <w:r w:rsidR="0095490D" w:rsidRPr="00D6193D">
        <w:t xml:space="preserve">DLA </w:t>
      </w:r>
      <w:r>
        <w:t>utilizes</w:t>
      </w:r>
      <w:r w:rsidR="0095490D" w:rsidRPr="00D6193D">
        <w:t xml:space="preserve"> </w:t>
      </w:r>
      <w:r>
        <w:t>A</w:t>
      </w:r>
      <w:r w:rsidR="0095490D" w:rsidRPr="00D6193D">
        <w:t>gile methodologies to design and develop bots and relie</w:t>
      </w:r>
      <w:r>
        <w:t>s</w:t>
      </w:r>
      <w:r w:rsidR="0095490D" w:rsidRPr="00D6193D">
        <w:t xml:space="preserve"> more on business process analysts than end-users during the design phase. </w:t>
      </w:r>
    </w:p>
    <w:p w:rsidR="0095490D" w:rsidRPr="00164A9E" w:rsidRDefault="0095490D" w:rsidP="00164A9E">
      <w:pPr>
        <w:ind w:left="360"/>
        <w:rPr>
          <w:rFonts w:eastAsiaTheme="minorEastAsia"/>
        </w:rPr>
      </w:pPr>
      <w:r>
        <w:t xml:space="preserve"> </w:t>
      </w:r>
    </w:p>
    <w:p w:rsidR="00723F2E" w:rsidRDefault="00FD7C47" w:rsidP="00056420">
      <w:pPr>
        <w:pStyle w:val="ListParagraph"/>
        <w:ind w:left="1440"/>
      </w:pPr>
    </w:p>
    <w:sectPr w:rsidR="00723F2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7C47" w:rsidRDefault="00FD7C47" w:rsidP="00816E81">
      <w:pPr>
        <w:spacing w:after="0" w:line="240" w:lineRule="auto"/>
      </w:pPr>
      <w:r>
        <w:separator/>
      </w:r>
    </w:p>
  </w:endnote>
  <w:endnote w:type="continuationSeparator" w:id="0">
    <w:p w:rsidR="00FD7C47" w:rsidRDefault="00FD7C47" w:rsidP="00816E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7C47" w:rsidRDefault="00FD7C47" w:rsidP="00816E81">
      <w:pPr>
        <w:spacing w:after="0" w:line="240" w:lineRule="auto"/>
      </w:pPr>
      <w:r>
        <w:separator/>
      </w:r>
    </w:p>
  </w:footnote>
  <w:footnote w:type="continuationSeparator" w:id="0">
    <w:p w:rsidR="00FD7C47" w:rsidRDefault="00FD7C47" w:rsidP="00816E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6E81" w:rsidRPr="00FB0301" w:rsidRDefault="00816E81" w:rsidP="00816E81">
    <w:pPr>
      <w:pStyle w:val="Heading1"/>
      <w:spacing w:before="0" w:line="240" w:lineRule="auto"/>
      <w:jc w:val="center"/>
      <w:rPr>
        <w:rStyle w:val="Emphasis"/>
        <w:i w:val="0"/>
        <w:iCs w:val="0"/>
        <w:sz w:val="26"/>
        <w:szCs w:val="26"/>
      </w:rPr>
    </w:pPr>
    <w:bookmarkStart w:id="1" w:name="_Hlk83974574"/>
    <w:bookmarkStart w:id="2" w:name="_Hlk83974575"/>
    <w:r w:rsidRPr="00FB0301">
      <w:rPr>
        <w:rStyle w:val="Emphasis"/>
        <w:sz w:val="26"/>
        <w:szCs w:val="26"/>
      </w:rPr>
      <w:t>Automation Innovation</w:t>
    </w:r>
  </w:p>
  <w:p w:rsidR="00816E81" w:rsidRPr="00283815" w:rsidRDefault="00816E81" w:rsidP="00816E81">
    <w:pPr>
      <w:pStyle w:val="Heading4"/>
      <w:spacing w:before="0" w:line="240" w:lineRule="auto"/>
      <w:jc w:val="center"/>
      <w:rPr>
        <w:rStyle w:val="Emphasis"/>
        <w:sz w:val="26"/>
        <w:szCs w:val="26"/>
      </w:rPr>
    </w:pPr>
    <w:r w:rsidRPr="00283815">
      <w:rPr>
        <w:rStyle w:val="Emphasis"/>
        <w:sz w:val="26"/>
        <w:szCs w:val="26"/>
      </w:rPr>
      <w:t>Cultural Adaptation Journey</w:t>
    </w:r>
  </w:p>
  <w:p w:rsidR="00816E81" w:rsidRPr="00816E81" w:rsidRDefault="00816E81" w:rsidP="00816E81">
    <w:pPr>
      <w:pStyle w:val="Heading4"/>
      <w:spacing w:before="0" w:line="240" w:lineRule="auto"/>
      <w:jc w:val="center"/>
      <w:rPr>
        <w:iCs w:val="0"/>
        <w:sz w:val="26"/>
        <w:szCs w:val="26"/>
      </w:rPr>
    </w:pPr>
    <w:r w:rsidRPr="00816E81">
      <w:rPr>
        <w:rStyle w:val="Emphasis"/>
        <w:i/>
        <w:sz w:val="26"/>
        <w:szCs w:val="26"/>
      </w:rPr>
      <w:t>Phase 2</w:t>
    </w:r>
    <w:r w:rsidRPr="00816E81">
      <w:rPr>
        <w:rStyle w:val="Emphasis"/>
        <w:sz w:val="26"/>
        <w:szCs w:val="26"/>
      </w:rPr>
      <w:t xml:space="preserve"> – </w:t>
    </w:r>
    <w:bookmarkEnd w:id="1"/>
    <w:bookmarkEnd w:id="2"/>
    <w:r w:rsidRPr="00816E81">
      <w:rPr>
        <w:sz w:val="26"/>
        <w:szCs w:val="26"/>
      </w:rPr>
      <w:t>Design and Prototype</w:t>
    </w:r>
  </w:p>
  <w:p w:rsidR="00816E81" w:rsidRDefault="00816E8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F62E60"/>
    <w:multiLevelType w:val="hybridMultilevel"/>
    <w:tmpl w:val="92AEA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39195A"/>
    <w:multiLevelType w:val="hybridMultilevel"/>
    <w:tmpl w:val="FFFFFFFF"/>
    <w:lvl w:ilvl="0" w:tplc="A7AABD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9E50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3ACE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943F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3029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91AEE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86C4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247F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9689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90D"/>
    <w:rsid w:val="00056420"/>
    <w:rsid w:val="000A012F"/>
    <w:rsid w:val="00164A9E"/>
    <w:rsid w:val="00383F34"/>
    <w:rsid w:val="004051CA"/>
    <w:rsid w:val="00427FA5"/>
    <w:rsid w:val="004E2E32"/>
    <w:rsid w:val="005054BB"/>
    <w:rsid w:val="007F16E3"/>
    <w:rsid w:val="00816E81"/>
    <w:rsid w:val="008D6106"/>
    <w:rsid w:val="0095490D"/>
    <w:rsid w:val="00BA7EC4"/>
    <w:rsid w:val="00D2599D"/>
    <w:rsid w:val="00E44941"/>
    <w:rsid w:val="00FB57A1"/>
    <w:rsid w:val="00FD7C47"/>
    <w:rsid w:val="00FF5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B836D"/>
  <w15:chartTrackingRefBased/>
  <w15:docId w15:val="{6E2F7C87-4FD1-446C-9F5E-61633423F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5490D"/>
  </w:style>
  <w:style w:type="paragraph" w:styleId="Heading1">
    <w:name w:val="heading 1"/>
    <w:basedOn w:val="Normal"/>
    <w:next w:val="Normal"/>
    <w:link w:val="Heading1Char"/>
    <w:uiPriority w:val="9"/>
    <w:qFormat/>
    <w:rsid w:val="00816E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49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490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E2E3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5490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5490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9549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16E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6E81"/>
  </w:style>
  <w:style w:type="paragraph" w:styleId="Footer">
    <w:name w:val="footer"/>
    <w:basedOn w:val="Normal"/>
    <w:link w:val="FooterChar"/>
    <w:uiPriority w:val="99"/>
    <w:unhideWhenUsed/>
    <w:rsid w:val="00816E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6E81"/>
  </w:style>
  <w:style w:type="character" w:customStyle="1" w:styleId="Heading1Char">
    <w:name w:val="Heading 1 Char"/>
    <w:basedOn w:val="DefaultParagraphFont"/>
    <w:link w:val="Heading1"/>
    <w:uiPriority w:val="9"/>
    <w:rsid w:val="00816E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816E81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4E2E32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White House Communications Agency</Company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Curtina O. EOP/OMB</dc:creator>
  <cp:keywords/>
  <dc:description/>
  <cp:lastModifiedBy>Smith, Curtina O. EOP/OMB</cp:lastModifiedBy>
  <cp:revision>9</cp:revision>
  <dcterms:created xsi:type="dcterms:W3CDTF">2021-10-04T14:39:00Z</dcterms:created>
  <dcterms:modified xsi:type="dcterms:W3CDTF">2022-06-10T12:44:00Z</dcterms:modified>
</cp:coreProperties>
</file>