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7BC7"/>
          <w:sz w:val="32"/>
        </w:rPr>
        <w:t>● CISCO AdoptIQ</w:t>
      </w:r>
    </w:p>
    <w:p/>
    <w:p>
      <w:pPr>
        <w:jc w:val="center"/>
      </w:pPr>
      <w:r>
        <w:rPr>
          <w:rFonts w:ascii="Segoe UI" w:hAnsi="Segoe UI"/>
          <w:b/>
          <w:color w:val="007BC7"/>
          <w:sz w:val="48"/>
        </w:rPr>
        <w:t>Executive Intelligence Report</w:t>
      </w:r>
    </w:p>
    <w:p>
      <w:pPr>
        <w:jc w:val="center"/>
      </w:pPr>
      <w:r>
        <w:rPr>
          <w:rFonts w:ascii="Segoe UI" w:hAnsi="Segoe UI"/>
          <w:color w:val="58595B"/>
          <w:sz w:val="28"/>
        </w:rPr>
        <w:t>Manager Round23 | Webex | 90 Day Analysis</w:t>
      </w:r>
    </w:p>
    <w:p/>
    <w:p>
      <w:pPr>
        <w:jc w:val="center"/>
      </w:pPr>
      <w:r>
        <w:rPr>
          <w:rFonts w:ascii="Segoe UI" w:hAnsi="Segoe UI"/>
          <w:color w:val="58595B"/>
          <w:sz w:val="22"/>
        </w:rPr>
        <w:t>Generated: April 27, 2026 UTC</w:t>
      </w:r>
    </w:p>
    <w:p>
      <w:r>
        <w:br w:type="page"/>
      </w:r>
    </w:p>
    <w:p/>
    <w:p>
      <w:pPr>
        <w:pStyle w:val="Heading1"/>
      </w:pPr>
      <w:r>
        <w:rPr>
          <w:color w:val="007BC7"/>
        </w:rPr>
        <w:t>At-a-Glance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Total Customers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Support Cases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Critical (P1)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High (P2)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BEMS Escalations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Software Defects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Security Vulnerabilities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20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D62728"/>
                <w:sz w:val="32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8B0000"/>
                <w:sz w:val="32"/>
              </w:rPr>
              <w:t>4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0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5 [Source: Normalized customer set from team subscriptions + CSConsole + CSOne; Field(s): BU_NAME, customer_name, ACCOUNT_ID_C; Verification: Cross-check customer IDs/names in source exports]</w:t>
      </w:r>
    </w:p>
    <w:p>
      <w:pPr>
        <w:pStyle w:val="ListBullet"/>
      </w:pPr>
      <w:r>
        <w:t>Support Cases: 20 [Source: CSOne (TAC case data); Field(s): Case #, Severity, Status; Verification: Query by Case Number / SR Number in CSOne]</w:t>
      </w:r>
    </w:p>
    <w:p>
      <w:pPr>
        <w:pStyle w:val="ListBullet"/>
      </w:pPr>
      <w:r>
        <w:t>Critical (P1): 4 [Source: CSOne (TAC case data); Field(s): Severity; Verification: Query by Case Number / SR Number in CSOne]</w:t>
      </w:r>
    </w:p>
    <w:p>
      <w:pPr>
        <w:pStyle w:val="ListBullet"/>
      </w:pPr>
      <w:r>
        <w:t>High (P2): 4 [Source: CSOne (TAC case data); Field(s): Severity; Verification: Query by Case Number / SR Number in CSOne]</w:t>
      </w:r>
    </w:p>
    <w:p>
      <w:pPr>
        <w:pStyle w:val="ListBullet"/>
      </w:pPr>
      <w:r>
        <w:t>BEMS Escalations: 4 [Source: CSOne (Transaction ID, bemscsc_refs); Field(s): Transaction ID, bemscsc_refs; Verification: Engineering-level escalations; BEMS IDs verifiable in CSOne]</w:t>
      </w:r>
    </w:p>
    <w:p>
      <w:pPr>
        <w:pStyle w:val="ListBullet"/>
      </w:pPr>
      <w:r>
        <w:t>Software Defects: 0 [Source: help.webex.com, CSC/BST refs in CSOne and Adoption Barriers; Field(s): CSC ID, BST ID; Verification: Defect IDs verifiable in help.webex.com and Bug Search Tool]</w:t>
      </w:r>
    </w:p>
    <w:p>
      <w:pPr>
        <w:pStyle w:val="ListBullet"/>
      </w:pPr>
      <w:r>
        <w:t>Security Vulnerabilities: 0 [Source: PSIRT advisories and vulnerability feeds; Field(s): CVE ID, Advisory ID; Verification: Verify advisory/CVE identifiers in PSIRT and public advisories]</w:t>
      </w:r>
    </w:p>
    <w:p/>
    <w:p>
      <w:pPr>
        <w:pStyle w:val="Heading1"/>
      </w:pPr>
      <w:r>
        <w:rPr>
          <w:color w:val="007BC7"/>
        </w:rPr>
        <w:t>Executive Summary</w:t>
      </w:r>
    </w:p>
    <w:p>
      <w:r>
        <w:rPr>
          <w:rFonts w:ascii="Segoe UI" w:hAnsi="Segoe UI"/>
          <w:sz w:val="22"/>
        </w:rPr>
        <w:t>Round 23 closure-binding snapshot [Source: Normalized AdoptIQ composite metrics (CSConsole, CSOne, Snowflake); Field(s): customer_name, Case #, ID; Verification: Verify component records by referenced IDs in source systems]</w:t>
      </w:r>
    </w:p>
    <w:p>
      <w:r>
        <w:t>Severity provenance: TAC severity comes from CSOne case priority/severity fields; Customer Pulse uses CSConsole pulse ratings (Red/Amber/Green) and recency, not TAC severity.</w:t>
      </w:r>
      <w:r>
        <w:t xml:space="preserve"> [Source: Normalized AdoptIQ composite metrics (CSConsole, CSOne, Snowflake); Field(s): Severity, PULSE_RATING__C, CREATEDDATE; Verification: Verify component records by referenced IDs in source systems]</w:t>
      </w:r>
    </w:p>
    <w:p>
      <w:pPr>
        <w:pStyle w:val="Heading1"/>
      </w:pPr>
      <w:r>
        <w:rPr>
          <w:color w:val="D62728"/>
        </w:rPr>
        <w:t>🚨 BEMS Escalation Analysis</w:t>
      </w:r>
    </w:p>
    <w:p>
      <w:r>
        <w:t>BEMS (Back-End Engineering Management System) escalations indicate complex technical issues requiring specialized backend engineering attention. These are critical indicators of customer risk.</w:t>
      </w:r>
    </w:p>
    <w:p>
      <w:r>
        <w:rPr>
          <w:b/>
        </w:rPr>
        <w:t>Summary Metrics:</w:t>
        <w:br/>
      </w:r>
      <w:r>
        <w:t xml:space="preserve">• Total BEMS Escalations: </w:t>
      </w:r>
      <w:r>
        <w:rPr>
          <w:b/>
          <w:color w:val="D62728"/>
        </w:rPr>
        <w:t>4</w:t>
      </w:r>
      <w:r>
        <w:t xml:space="preserve"> [Source: CSOne (Transaction ID, bemscsc_refs); Field(s): Transaction ID, bemscsc_refs; Verification: Engineering-level escalations; BEMS IDs verifiable in CSOne]</w:t>
      </w:r>
      <w:r>
        <w:br/>
        <w:t>• Customers Affected: 2</w:t>
        <w:br/>
      </w:r>
      <w:r>
        <w:t>• BEMS Case Type Split: break-fix/technical=3, provisioning requests=1 [Source: CSOne (Transaction ID, bemscsc_refs); Field(s): Case #, Title, Status; Verification: Engineering-level escalations; BEMS IDs verifiable in CSOne]</w:t>
        <w:br/>
      </w:r>
      <w:r>
        <w:t xml:space="preserve">• BEMS IDs: </w:t>
      </w:r>
      <w:r>
        <w:rPr>
          <w:color w:val="58595B"/>
        </w:rPr>
        <w:t>[BEMS-10001], [BEMS-10002], [BEMS-10003], [BEMS-10004]</w:t>
      </w:r>
    </w:p>
    <w:p>
      <w:pPr>
        <w:pStyle w:val="Heading3"/>
      </w:pPr>
      <w:r>
        <w:t>BEMS Case Type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Case Type</w:t>
            </w:r>
          </w:p>
        </w:tc>
        <w:tc>
          <w:tcPr>
            <w:tcW w:type="dxa" w:w="4680"/>
          </w:tcPr>
          <w:p>
            <w:r>
              <w:t>Count</w:t>
            </w:r>
          </w:p>
        </w:tc>
      </w:tr>
      <w:tr>
        <w:tc>
          <w:tcPr>
            <w:tcW w:type="dxa" w:w="4680"/>
          </w:tcPr>
          <w:p>
            <w:r>
              <w:t>Break-fix / Technical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  <w:tr>
        <w:tc>
          <w:tcPr>
            <w:tcW w:type="dxa" w:w="4680"/>
          </w:tcPr>
          <w:p>
            <w:r>
              <w:t>Provisioning Request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</w:tbl>
    <w:p>
      <w:pPr>
        <w:pStyle w:val="Heading3"/>
      </w:pPr>
      <w:r>
        <w:t>TAC Lifecycle Snapshot (Opened / Closed / Days Open)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Case #</w:t>
            </w:r>
          </w:p>
        </w:tc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  <w:tc>
          <w:tcPr>
            <w:tcW w:type="dxa" w:w="1337"/>
          </w:tcPr>
          <w:p>
            <w:r>
              <w:t>Opened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Days Open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</w:tr>
      <w:tr>
        <w:tc>
          <w:tcPr>
            <w:tcW w:type="dxa" w:w="1337"/>
          </w:tcPr>
          <w:p>
            <w:r>
              <w:t>TAC-001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TAC-002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TAC-003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TAC-004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TAC-005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TAC-006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TAC-007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TAC-008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TAC-009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TAC-010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TAC-011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TAC-012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TAC-013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TAC-014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TAC-015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TAC-016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TAC-017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TAC-018</w:t>
            </w:r>
          </w:p>
        </w:tc>
        <w:tc>
          <w:tcPr>
            <w:tcW w:type="dxa" w:w="1337"/>
          </w:tcPr>
          <w:p>
            <w:r>
              <w:t>AcmeCorp</w:t>
            </w:r>
          </w:p>
        </w:tc>
        <w:tc>
          <w:tcPr>
            <w:tcW w:type="dxa" w:w="1337"/>
          </w:tcPr>
          <w:p>
            <w:r>
              <w:t>Open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TAC-019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TAC-020</w:t>
            </w:r>
          </w:p>
        </w:tc>
        <w:tc>
          <w:tcPr>
            <w:tcW w:type="dxa" w:w="1337"/>
          </w:tcPr>
          <w:p>
            <w:r>
              <w:t>BetaInc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NaT</w:t>
            </w:r>
          </w:p>
        </w:tc>
        <w:tc>
          <w:tcPr>
            <w:tcW w:type="dxa" w:w="1337"/>
          </w:tcPr>
          <w:p>
            <w:r>
              <w:t>nan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</w:tbl>
    <w:p/>
    <w:p>
      <w:r>
        <w:rPr>
          <w:b/>
        </w:rPr>
        <w:t>BEMS Escalations by Customer:</w:t>
        <w:br/>
      </w:r>
      <w:r>
        <w:t xml:space="preserve">• AcmeCorp: </w:t>
      </w:r>
      <w:r>
        <w:rPr>
          <w:color w:val="D62728"/>
        </w:rPr>
        <w:t>3 escalation(s)</w:t>
      </w:r>
      <w:r>
        <w:br/>
      </w:r>
      <w:r>
        <w:t xml:space="preserve">• BetaInc: </w:t>
      </w:r>
      <w:r>
        <w:rPr>
          <w:color w:val="FF7F0E"/>
        </w:rPr>
        <w:t>1 escalation(s)</w:t>
      </w:r>
      <w:r>
        <w:br/>
      </w:r>
    </w:p>
    <w:p>
      <w:pPr>
        <w:pStyle w:val="Heading1"/>
      </w:pPr>
      <w:r>
        <w:rPr>
          <w:color w:val="FF7F0E"/>
        </w:rPr>
        <w:t>Known Software Defects (help.webex.com)</w:t>
      </w:r>
    </w:p>
    <w:p>
      <w:r>
        <w:t>Known software defects from help.webex.com that may be impacting portfolio customers:</w:t>
      </w:r>
    </w:p>
    <w:p>
      <w:r>
        <w:t>No software defects feed (help.webex.com) records were returned for the selected scope and analysis window.</w:t>
      </w:r>
    </w:p>
    <w:p>
      <w:pPr>
        <w:pStyle w:val="Heading1"/>
      </w:pPr>
      <w:r>
        <w:rPr>
          <w:color w:val="FF7F0E"/>
        </w:rPr>
        <w:t>Recent Service Incidents</w:t>
      </w:r>
    </w:p>
    <w:p>
      <w:r>
        <w:t>Recent service incidents from status.webex.com that may have impacted portfolio customers:</w:t>
      </w:r>
    </w:p>
    <w:p>
      <w:r>
        <w:t>No service incidents feed (status.webex.com) records were returned for the selected scope and analysis window.</w:t>
      </w:r>
    </w:p>
    <w:p>
      <w:pPr>
        <w:pStyle w:val="Heading1"/>
      </w:pPr>
      <w:r>
        <w:rPr>
          <w:color w:val="007BC7"/>
        </w:rPr>
        <w:t>Strategic Recommendations</w:t>
      </w:r>
    </w:p>
    <w:p>
      <w:r>
        <w:rPr>
          <w:rFonts w:ascii="Segoe UI" w:hAnsi="Segoe UI"/>
          <w:i/>
          <w:sz w:val="20"/>
        </w:rPr>
        <w:t>Static playbook (no AI-generated recommendations available for this run):</w:t>
      </w:r>
    </w:p>
    <w:p>
      <w:pPr>
        <w:pStyle w:val="ListBullet"/>
      </w:pPr>
      <w:r>
        <w:rPr>
          <w:rFonts w:ascii="Segoe UI" w:hAnsi="Segoe UI"/>
          <w:sz w:val="22"/>
        </w:rPr>
        <w:t>Prioritize resolution of high-severity adoption barriers</w:t>
      </w:r>
    </w:p>
    <w:p>
      <w:pPr>
        <w:pStyle w:val="ListBullet"/>
      </w:pPr>
      <w:r>
        <w:rPr>
          <w:rFonts w:ascii="Segoe UI" w:hAnsi="Segoe UI"/>
          <w:sz w:val="22"/>
        </w:rPr>
        <w:t>Implement proactive outreach for high-risk customers</w:t>
      </w:r>
    </w:p>
    <w:p>
      <w:pPr>
        <w:pStyle w:val="ListBullet"/>
      </w:pPr>
      <w:r>
        <w:rPr>
          <w:rFonts w:ascii="Segoe UI" w:hAnsi="Segoe UI"/>
          <w:sz w:val="22"/>
        </w:rPr>
        <w:t>Schedule executive business reviews for customers with BEMS escalations</w:t>
      </w:r>
    </w:p>
    <w:p>
      <w:pPr>
        <w:pStyle w:val="ListBullet"/>
      </w:pPr>
      <w:r>
        <w:rPr>
          <w:rFonts w:ascii="Segoe UI" w:hAnsi="Segoe UI"/>
          <w:sz w:val="22"/>
        </w:rPr>
        <w:t>Develop targeted success plans for moderate-risk accounts</w:t>
      </w:r>
    </w:p>
    <w:p>
      <w:pPr>
        <w:pStyle w:val="ListBullet"/>
      </w:pPr>
      <w:r>
        <w:rPr>
          <w:rFonts w:ascii="Segoe UI" w:hAnsi="Segoe UI"/>
          <w:sz w:val="22"/>
        </w:rPr>
        <w:t>Monitor renewal dates and initiate early engagement strategy</w:t>
      </w:r>
    </w:p>
    <w:p>
      <w:pPr>
        <w:pStyle w:val="Heading1"/>
      </w:pPr>
      <w:r>
        <w:rPr>
          <w:color w:val="007BC7"/>
        </w:rPr>
        <w:t>Report Data Sources</w:t>
      </w:r>
    </w:p>
    <w:p>
      <w:r>
        <w:t>All data in this report is traceable. Same canonical sources used across all AdoptIQ reports.</w:t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</w:p>
    <w:p/>
    <w:p>
      <w:r>
        <w:rPr>
          <w:b/>
        </w:rPr>
        <w:t>Record counts in this run:</w:t>
      </w:r>
    </w:p>
    <w:p>
      <w:pPr>
        <w:ind w:left="360"/>
      </w:pPr>
      <w:r>
        <w:t>• CSOne TAC Cases: 20 row(s) (each row = one TAC case in scope window)</w:t>
      </w:r>
    </w:p>
    <w:p>
      <w:pPr>
        <w:ind w:left="360"/>
      </w:pPr>
      <w:r>
        <w:t>• Adoption Barriers: 10 row(s) (each row = one adoption-barrier task in scope window)</w:t>
      </w:r>
    </w:p>
    <w:p>
      <w:pPr>
        <w:ind w:left="360"/>
      </w:pPr>
      <w:r>
        <w:t>• BEMS Escalations: extracted from CSOne Transaction ID / bemscsc_refs (counted per BEMS ID, not per case)</w:t>
      </w:r>
    </w:p>
    <w:p>
      <w:pPr>
        <w:ind w:left="360"/>
      </w:pPr>
      <w:r>
        <w:t>• Service Incidents: status.webex.com RSS feed (counted per published incident entry)</w:t>
      </w:r>
    </w:p>
    <w:p>
      <w:pPr>
        <w:ind w:left="360"/>
      </w:pPr>
      <w:r>
        <w:t>• AI Insights: CircuIT AI narrative grounded in the above sources (no independent counts)</w:t>
      </w:r>
    </w:p>
    <w:p/>
    <w:p>
      <w:r>
        <w:rPr>
          <w:b/>
        </w:rPr>
        <w:t xml:space="preserve">🔗 Verifiable IDs: </w:t>
      </w:r>
      <w:r>
        <w:t>All [BEMSxxxxxxxx], [CSCxxxxxxx], and TAC case numbers can be validated in their source systems.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Title">
    <w:name w:val="Executive Title"/>
    <w:pPr>
      <w:spacing w:after="400"/>
      <w:jc w:val="center"/>
    </w:pPr>
    <w:rPr>
      <w:rFonts w:ascii="Segoe UI" w:hAnsi="Segoe UI"/>
      <w:b/>
      <w:color w:val="007BC7"/>
      <w:sz w:val="48"/>
    </w:rPr>
  </w:style>
  <w:style w:type="paragraph" w:customStyle="1" w:styleId="SectionHeader">
    <w:name w:val="Section Header"/>
    <w:pPr>
      <w:spacing w:before="320" w:after="160"/>
    </w:pPr>
    <w:rPr>
      <w:rFonts w:ascii="Segoe UI" w:hAnsi="Segoe UI"/>
      <w:b/>
      <w:color w:val="004F8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