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1"/>
        </w:pBdr>
        <w:spacing w:after="120"/>
        <w:jc w:val="left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Non-Human Identities (NHI)</w:t>
      </w:r>
    </w:p>
    <w:p>
      <w:pPr>
        <w:spacing w:after="32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Executive Summary: Authentication &amp; Authorization Mechanisms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Is a Non-Human Identity?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Non-Human Identity (NHI) is any digital identity used by a machine, service, or automated process to authenticate and authorize itself to other systems — without a human in the loop at runtime. This encompasses service accounts, API keys, OAuth clients, workload identities, CI/CD pipeline credentials, containers, scripts, IoT devices, and AI agents.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NHIs now vastly outnumber human identities in most enterprise environments, often by 10:1 or more, yet receive a fraction of the governance attention. The core problem is structural: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NHIs are persistent and rarely rotated.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They are frequently over-privileged relative to actual need.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When compromised, they don't trigger the behavioral anomalies that human account compromises 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They are the silent, expanding attack surface in modern infrastructure.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AuthN/AuthZ Mechanisms for NHI — Compared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Application Secrets (API Keys, Static Tokens, Passwords)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Simple to implement; supported universally across platforms, languages, and legacy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infrastructure dependency at runtime — the secret is self-contained.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Easy to scope and audit in principle.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Static by nature — long-lived secrets are the single biggest source of NHI compromise.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Proliferate rapidly; once created, they spread into env files, CI variables, logs, and git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cryptographic binding to the workload — anyone with the secret is the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Rotation is operationally painful enough that organizations defer it indefinitely.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Detection of misuse is hard because the secret itself is the proof of identity.</w:t>
      </w:r>
    </w:p>
    <w:p>
      <w:pPr>
        <w:spacing w:before="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Bottom line: </w:t>
      </w:r>
      <w:r>
        <w:rPr>
          <w:rFonts w:ascii="Arial" w:cs="Arial" w:eastAsia="Arial" w:hAnsi="Arial"/>
          <w:sz w:val="24"/>
          <w:szCs w:val="24"/>
        </w:rPr>
        <w:t xml:space="preserve">Application secrets are the duct tape of NHI auth. They work everywhere and they get abused everywhere.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Short-Lived Tokens / Dynamic Credentials (Vault, AWS STS, OIDC)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TTLs measured in minutes to hours dramatically reduce blast radius of compromise.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Eliminates the rotation problem — credentials expire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Audit trail is richer; every issuance is a logged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Cloud-native options (AWS IAM Roles, GCP Workload Identity) eliminate the secret entirely for eligible workloads.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Requires a secrets broker (Vault, cloud IAM) to be highly available — it becomes a critical dependency.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More complex to implement, especially for on-prem or hybrid workloads.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Bootstrap problem: the workload still needs something to authenticate to the issuer (often a static secret or platform-attested identity).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Certificate-Based / mTLS (X.509, PKI)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Mutual authentication — both parties prove identity cryptographically.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shared secret is transmitted; authentication is based on proof-of-possession of the private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Well-suited to service mesh architectures (Istio, Envoy) where identity is tied to workload, not config.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Natural fit for DoD/federal environments where PKI infrastructure already exists (CAC/PIV alignment).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PKI operational complexity is non-trivial — CRL/OCSP distribution, cert lifecycle management, and revocation latency all require investment.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Short-lived certs (SPIFFE/SPIRE model) solve the revocation problem but require robust issuance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Harder to implement for non-HTTP protocols or legacy systems.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Workload Identity / Platform-Attested Identity (SPIFFE/SPIRE, AWS IAM Roles, GCP Workload Identity)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Identity is derived from the platform (hypervisor, Kubernetes scheduler, TPM attestation) — not a secret that can be stolen from a config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Zero standing credentials for cloud-native workloads; the platform is the root of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Scales well and integrates natively with modern orchestrators.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Tightly coupled to specific platforms; portability across environments is limited.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Requires architectural commitment — retrofitting legacy applications is expensive.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Trust shifts to the platform itself; a compromised node or metadata service endpoint (e.g., SSRF to EC2 metadata service) undermines the whole model.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 Comparison Matrix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40"/>
        <w:gridCol w:w="1640"/>
        <w:gridCol w:w="1440"/>
        <w:gridCol w:w="1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Lifetime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Blast Radius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Legacy Compat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Secrets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(indefinite)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Tokens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(minutes–hours)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/ X.509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Workload Identity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Ephemeral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Medium–High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Takeaway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industry is in the middle of a forced migration away from static application secrets toward ephemeral, platform-attested, or cryptographically-bound identities — but the installed base of static secrets is enormous and growing faster than it is being cleaned up.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practical security posture for most organizations right now is a hybrid approach: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Eliminate static secrets where platform identity or dynamic credentials are feasible.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Enforce secrets management (Vault, AWS Secrets Manager) with short TTLs everywhere else.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Treat any long-lived static credential as a liability requiring compensating controls.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DoD/federal contexts specifically, the mTLS + PKI model aligns well with existing CAC/PIV infrastructure and NIST SP 800-207 Zero Trust guidance, making it the natural anchor identity model for NHI authentication in those environments. Workload identity frameworks such as SPIFFE/SPIRE extend this naturally to cloud-native and hybrid workloads.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2026-02-20T16:24:19.303Z</dcterms:created>
  <dcterms:modified xsi:type="dcterms:W3CDTF">2026-02-20T16:24:19.303Z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