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B3A5C"/>
          <w:sz w:val="52"/>
          <w:szCs w:val="52"/>
        </w:rPr>
        <w:t xml:space="preserve">Comprehensive Newborn Nursery Care</w:t>
      </w:r>
    </w:p>
    <w:p>
      <w:pPr>
        <w:spacing w:after="100"/>
        <w:jc w:val="center"/>
      </w:pPr>
      <w:r>
        <w:rPr>
          <w:rFonts w:ascii="Arial" w:cs="Arial" w:eastAsia="Arial" w:hAnsi="Arial"/>
          <w:color w:val="1A7A6D"/>
          <w:sz w:val="36"/>
          <w:szCs w:val="36"/>
        </w:rPr>
        <w:t xml:space="preserve">A Clinical Guide for Nursing Practice</w:t>
      </w:r>
    </w:p>
    <w:p>
      <w:pPr>
        <w:spacing w:after="200"/>
        <w:jc w:val="center"/>
      </w:pPr>
      <w:r>
        <w:rPr>
          <w:rFonts w:ascii="Arial" w:cs="Arial" w:eastAsia="Arial" w:hAnsi="Arial"/>
          <w:i/>
          <w:iCs/>
          <w:color w:val="1A1A1A"/>
          <w:sz w:val="24"/>
          <w:szCs w:val="24"/>
        </w:rPr>
        <w:t xml:space="preserve">Level I (Well Newborn) and Level II (Special Care) Nursery</w:t>
      </w:r>
    </w:p>
    <w:p>
      <w:pPr>
        <w:spacing w:after="100"/>
        <w:jc w:val="center"/>
      </w:pPr>
      <w:r>
        <w:rPr>
          <w:rFonts w:ascii="Arial" w:cs="Arial" w:eastAsia="Arial" w:hAnsi="Arial"/>
          <w:color w:val="1A1A1A"/>
          <w:sz w:val="22"/>
          <w:szCs w:val="22"/>
        </w:rPr>
        <w:t xml:space="preserve">Universal Reference: Foundational Through Advanced Content</w:t>
      </w:r>
    </w:p>
    <w:p>
      <w:pPr>
        <w:spacing w:after="400"/>
        <w:jc w:val="center"/>
      </w:pPr>
      <w:r>
        <w:rPr>
          <w:rFonts w:ascii="Arial" w:cs="Arial" w:eastAsia="Arial" w:hAnsi="Arial"/>
          <w:color w:val="1A1A1A"/>
          <w:sz w:val="22"/>
          <w:szCs w:val="22"/>
        </w:rPr>
        <w:t xml:space="preserve">Hybrid Format: Textbook + Clinical Reference</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Chapter 1: Newborn Transition Physiology</w:t>
      </w:r>
    </w:p>
    <w:p>
      <w:pPr>
        <w:pStyle w:val="Heading2"/>
      </w:pPr>
      <w:r>
        <w:t xml:space="preserve">1.1 Cardiopulmonary Adaptation</w:t>
      </w:r>
    </w:p>
    <w:p>
      <w:pPr>
        <w:spacing w:after="120" w:line="276"/>
      </w:pPr>
      <w:r>
        <w:t xml:space="preserve">The transition from intrauterine to extrauterine life represents the most profound physiologic adaptation in human existence. During fetal life, the lungs are fluid-filled, pulmonary vascular resistance is high, and gas exchange occurs at the placenta. At birth, a cascade of events must occur in rapid succession: the lungs must clear fluid, establish functional residual capacity, and assume the role of gas exchange; pulmonary vascular resistance must fall dramatically; systemic vascular resistance must rise with clamping of the umbilical cord; and fetal circulatory shunts must begin to close.</w:t>
      </w:r>
    </w:p>
    <w:p>
      <w:pPr>
        <w:spacing w:after="120" w:line="276"/>
      </w:pPr>
      <w:r>
        <w:t xml:space="preserve">The first breath generates a negative intrathoracic pressure of 40 to 80 cmH2O, which draws air into the alveoli and initiates fluid clearance. Surfactant, produced by type II alveolar cells beginning at approximately 24 weeks of gestation and reaching adequate levels by 34 to 36 weeks, reduces surface tension and prevents alveolar collapse at end-expiration. The establishment of functional residual capacity (FRC) is critical; without adequate FRC, the infant must generate excessive work of breathing with each respiratory cycle.</w:t>
      </w:r>
    </w:p>
    <w:p>
      <w:pPr>
        <w:spacing w:after="120" w:line="276"/>
      </w:pPr>
      <w:r>
        <w:t xml:space="preserve">Pulmonary vascular resistance (PVR) decreases rapidly with the first breaths as alveolar oxygen exposure triggers vasodilation of the pulmonary arterioles. This allows a dramatic increase in pulmonary blood flow, from approximately 10 percent of cardiac output in the fetus to nearly 100 percent after birth. Simultaneously, systemic vascular resistance (SVR) increases with clamping of the low-resistance placental circuit.</w:t>
      </w:r>
    </w:p>
    <w:p>
      <w:pPr>
        <w:spacing w:after="120" w:line="276"/>
      </w:pPr>
      <w:r>
        <w:t xml:space="preserve">The ductus arteriosus, which in fetal life shunts blood from the pulmonary artery to the aorta, begins to constrict in response to increasing PaO2 and decreasing circulating prostaglandins. Functional closure typically occurs within 24 to 72 hours in term infants, though anatomic closure may take 2 to 3 weeks. The foramen ovale functionally closes as left atrial pressure exceeds right atrial pressure due to the increased pulmonary venous return.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5724" w:sz="3"/>
              <w:left w:val="single" w:color="155724" w:sz="3"/>
              <w:bottom w:val="single" w:color="155724" w:sz="1"/>
              <w:right w:val="single" w:color="155724" w:sz="1"/>
            </w:tcBorders>
            <w:shd w:fill="D4EDDA" w:val="clear"/>
            <w:tcMar>
              <w:top w:type="dxa" w:w="100"/>
              <w:left w:type="dxa" w:w="150"/>
              <w:bottom w:type="dxa" w:w="100"/>
              <w:right w:type="dxa" w:w="150"/>
            </w:tcMar>
          </w:tcPr>
          <w:p>
            <w:pPr>
              <w:spacing w:after="60"/>
            </w:pPr>
            <w:r>
              <w:rPr>
                <w:b/>
                <w:bCs/>
                <w:color w:val="155724"/>
                <w:sz w:val="22"/>
                <w:szCs w:val="22"/>
              </w:rPr>
              <w:t xml:space="preserve">CLINICAL PEARL</w:t>
            </w:r>
          </w:p>
          <w:p>
            <w:pPr>
              <w:spacing w:after="0"/>
            </w:pPr>
            <w:r>
              <w:rPr>
                <w:sz w:val="20"/>
                <w:szCs w:val="20"/>
              </w:rPr>
              <w:t xml:space="preserve">Failed cardiopulmonary transition manifests as persistent pulmonary hypertension of the newborn (PPHN), where PVR remains elevated and right-to-left shunting continues through the ductus arteriosus and foramen ovale. This produces refractory hypoxemia with a characteristic pre-ductal to post-ductal SpO2 differential greater than 3 percent.</w:t>
            </w:r>
          </w:p>
        </w:tc>
      </w:tr>
    </w:tbl>
    <w:p>
      <w:pPr>
        <w:pStyle w:val="Heading2"/>
      </w:pPr>
      <w:r>
        <w:t xml:space="preserve">1.2 Thermoregulation</w:t>
      </w:r>
    </w:p>
    <w:p>
      <w:pPr>
        <w:spacing w:after="120" w:line="276"/>
      </w:pPr>
      <w:r>
        <w:t xml:space="preserve">Neonates are exceptionally vulnerable to hypothermia due to their high surface-area-to-mass ratio, thin subcutaneous fat layer (particularly in preterm infants), limited brown adipose tissue reserves, immature vasomotor control, and inability to generate heat through shivering. Nonshivering thermogenesis through brown fat metabolism is the primary mechanism of heat production in neonates, but this process is oxygen-dependent and can be compromised in infants with respiratory distress or hypoxia.</w:t>
      </w:r>
    </w:p>
    <w:p>
      <w:pPr>
        <w:spacing w:after="120" w:line="276"/>
      </w:pPr>
      <w:r>
        <w:t xml:space="preserve">Four mechanisms of heat loss must be actively managed in every newborn: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Mechanism</w:t>
            </w:r>
          </w:p>
        </w:tc>
        <w:tc>
          <w:tcPr>
            <w:tcW w:type="dxa" w:w="3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Description</w:t>
            </w:r>
          </w:p>
        </w:tc>
        <w:tc>
          <w:tcPr>
            <w:tcW w:type="dxa" w:w="38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Prevention Strategy</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Evaporation</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Heat loss from wet skin surfaces; most significant in delivery room</w:t>
            </w:r>
          </w:p>
        </w:tc>
        <w:tc>
          <w:tcPr>
            <w:tcW w:type="dxa" w:w="3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Immediate drying, skin-to-skin contact, polyethylene wrap for preterm &lt;32 weeks</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Conduction</w:t>
            </w:r>
          </w:p>
        </w:tc>
        <w:tc>
          <w:tcPr>
            <w:tcW w:type="dxa" w:w="3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Direct heat transfer to cold surfaces in contact with infant</w:t>
            </w:r>
          </w:p>
        </w:tc>
        <w:tc>
          <w:tcPr>
            <w:tcW w:type="dxa" w:w="38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Pre-warmed blankets, radiant warmer mattress, warmed stethoscope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Convection</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Heat loss to air currents moving across skin surface</w:t>
            </w:r>
          </w:p>
        </w:tc>
        <w:tc>
          <w:tcPr>
            <w:tcW w:type="dxa" w:w="3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Minimize drafts, hat covering, swaddling, closed incubator when indicated</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Radiation</w:t>
            </w:r>
          </w:p>
        </w:tc>
        <w:tc>
          <w:tcPr>
            <w:tcW w:type="dxa" w:w="3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Infrared heat loss to cold nearby surfaces not in direct contact</w:t>
            </w:r>
          </w:p>
        </w:tc>
        <w:tc>
          <w:tcPr>
            <w:tcW w:type="dxa" w:w="38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Radiant warmer, double-walled incubator, away from cold windows/walls</w:t>
            </w:r>
          </w:p>
        </w:tc>
      </w:tr>
    </w:tbl>
    <w:p>
      <w:pPr>
        <w:spacing w:after="120"/>
      </w:pPr>
    </w:p>
    <w:p>
      <w:pPr>
        <w:spacing w:after="120" w:line="276"/>
      </w:pPr>
      <w:r>
        <w:t xml:space="preserve">The World Health Organization classifies neonatal hypothermia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Classification</w:t>
            </w:r>
          </w:p>
        </w:tc>
        <w:tc>
          <w:tcPr>
            <w:tcW w:type="dxa" w:w="3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Temperature Range</w:t>
            </w:r>
          </w:p>
        </w:tc>
        <w:tc>
          <w:tcPr>
            <w:tcW w:type="dxa" w:w="38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Clinical Significance</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Normal</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36.5 to 37.5 degrees C (97.7 to 99.5 degrees F)</w:t>
            </w:r>
          </w:p>
        </w:tc>
        <w:tc>
          <w:tcPr>
            <w:tcW w:type="dxa" w:w="3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Target range for all neonates</w:t>
            </w:r>
          </w:p>
        </w:tc>
      </w:tr>
      <w:tr>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Cold stress (mild hypothermia)</w:t>
            </w:r>
          </w:p>
        </w:tc>
        <w:tc>
          <w:tcPr>
            <w:tcW w:type="dxa" w:w="3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36.0 to 36.4 degrees C (96.8 to 97.5 degrees F)</w:t>
            </w:r>
          </w:p>
        </w:tc>
        <w:tc>
          <w:tcPr>
            <w:tcW w:type="dxa" w:w="38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Increased metabolic demand, oxygen consumption, glucose utilization</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Moderate hypothermia</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32.0 to 35.9 degrees C (89.6 to 96.6 degrees F)</w:t>
            </w:r>
          </w:p>
        </w:tc>
        <w:tc>
          <w:tcPr>
            <w:tcW w:type="dxa" w:w="3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Significant metabolic derangement, acidosis risk, coagulopathy</w:t>
            </w:r>
          </w:p>
        </w:tc>
      </w:tr>
      <w:tr>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Severe hypothermia</w:t>
            </w:r>
          </w:p>
        </w:tc>
        <w:tc>
          <w:tcPr>
            <w:tcW w:type="dxa" w:w="3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Below 32.0 degrees C (below 89.6 degrees F)</w:t>
            </w:r>
          </w:p>
        </w:tc>
        <w:tc>
          <w:tcPr>
            <w:tcW w:type="dxa" w:w="38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Life-threatening; cardiac arrhythmia risk, DIC, multiorgan failure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3030" w:sz="3"/>
              <w:left w:val="single" w:color="C53030" w:sz="3"/>
              <w:bottom w:val="single" w:color="C53030" w:sz="1"/>
              <w:right w:val="single" w:color="C53030" w:sz="1"/>
            </w:tcBorders>
            <w:shd w:fill="FDE8E8" w:val="clear"/>
            <w:tcMar>
              <w:top w:type="dxa" w:w="100"/>
              <w:left w:type="dxa" w:w="150"/>
              <w:bottom w:type="dxa" w:w="100"/>
              <w:right w:type="dxa" w:w="150"/>
            </w:tcMar>
          </w:tcPr>
          <w:p>
            <w:pPr>
              <w:spacing w:after="60"/>
            </w:pPr>
            <w:r>
              <w:rPr>
                <w:b/>
                <w:bCs/>
                <w:color w:val="C53030"/>
                <w:sz w:val="22"/>
                <w:szCs w:val="22"/>
              </w:rPr>
              <w:t xml:space="preserve">WARNING</w:t>
            </w:r>
          </w:p>
          <w:p>
            <w:pPr>
              <w:spacing w:after="0"/>
            </w:pPr>
            <w:r>
              <w:rPr>
                <w:sz w:val="20"/>
                <w:szCs w:val="20"/>
              </w:rPr>
              <w:t xml:space="preserve">Admission hypothermia (temperature below 36.5 degrees C) is an independent predictor of morbidity and mortality in preterm infants. The ILPQC Golden Hour Initiative demonstrated a 70 percent reduction in moderate and severe hypothermia after implementing delivery room thermoregulation checklists. Target admission temperature of 36.5 to 37.5 degrees C for all newborns.</w:t>
            </w:r>
          </w:p>
        </w:tc>
      </w:tr>
    </w:tbl>
    <w:p>
      <w:pPr>
        <w:pStyle w:val="Heading2"/>
      </w:pPr>
      <w:r>
        <w:t xml:space="preserve">1.3 Metabolic Transition</w:t>
      </w:r>
    </w:p>
    <w:p>
      <w:pPr>
        <w:spacing w:after="120" w:line="276"/>
      </w:pPr>
      <w:r>
        <w:t xml:space="preserve">During fetal life, glucose is supplied continuously via placental transfer. At birth, this supply is abruptly terminated, and the neonate must transition to intermittent feeding with periods of fasting between meals. Hepatic glycogen stores, accumulated primarily during the third trimester, provide the initial glucose supply through glycogenolysis. Gluconeogenesis, the production of glucose from non-carbohydrate substrates, is immature in neonates and does not fully compensate for the loss of placental glucose.</w:t>
      </w:r>
    </w:p>
    <w:p>
      <w:pPr>
        <w:spacing w:after="120" w:line="276"/>
      </w:pPr>
      <w:r>
        <w:t xml:space="preserve">Blood glucose concentration normally decreases during the first 1 to 2 hours of life, reaching a physiologic nadir before rising with feeding and maturation of counter-regulatory hormones. In healthy term infants, this nadir rarely causes symptoms. However, at-risk populations including late preterm infants (34 to 36 6/7 weeks), small-for-gestational-age (SGA) infants, large-for-gestational-age (LGA) infants, and infants of diabetic mothers (IDMs) have either reduced glycogen stores, increased glucose consumption, or impaired counter-regulatory responses that predispose them to clinically significant hypoglycemia.</w:t>
      </w:r>
    </w:p>
    <w:p>
      <w:pPr>
        <w:spacing w:after="120" w:line="276"/>
      </w:pPr>
      <w:r>
        <w:t xml:space="preserve">Early feeding, ideally within the first hour of life, is critical for metabolic stability. Breast milk and colostrum provide both glucose substrate and ketone bodies, which serve as alternative fuel for the neonatal brain. Skin-to-skin contact promotes metabolic stability through thermoregulation and facilitation of early breastfeeding.</w:t>
      </w:r>
    </w:p>
    <w:p>
      <w:r>
        <w:br w:type="page"/>
      </w:r>
    </w:p>
    <w:p>
      <w:pPr>
        <w:pStyle w:val="Heading1"/>
      </w:pPr>
      <w:r>
        <w:t xml:space="preserve">Chapter 2: Initial Assessment and Stabilization</w:t>
      </w:r>
    </w:p>
    <w:p>
      <w:pPr>
        <w:pStyle w:val="Heading2"/>
      </w:pPr>
      <w:r>
        <w:t xml:space="preserve">2.1 Apgar Scoring</w:t>
      </w:r>
    </w:p>
    <w:p>
      <w:pPr>
        <w:spacing w:after="120" w:line="276"/>
      </w:pPr>
      <w:r>
        <w:t xml:space="preserve">The Apgar score, developed by Dr. Virginia Apgar in 1952, provides a standardized assessment of the newborn's condition at birth. It is scored at 1 minute and 5 minutes of life, with additional scoring at 5-minute intervals through 20 minutes if the 5-minute score is less than 7. The Apgar score was never intended to predict long-term neurologic outcome and should not be used for that purpose. Rather, it provides a convenient shorthand for communicating the infant's status and response to resuscitation.</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100"/>
        <w:gridCol w:w="1860"/>
      </w:tblGrid>
      <w:tr>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Component</w:t>
            </w:r>
          </w:p>
        </w:tc>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Score 0</w:t>
            </w:r>
          </w:p>
        </w:tc>
        <w:tc>
          <w:tcPr>
            <w:tcW w:type="dxa" w:w="21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Score 1</w:t>
            </w:r>
          </w:p>
        </w:tc>
        <w:tc>
          <w:tcPr>
            <w:tcW w:type="dxa" w:w="18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Score 2</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Appearance (color)</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Blue or pale all over</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Acrocyanosis (pink body, blue extremities)</w:t>
            </w:r>
          </w:p>
        </w:tc>
        <w:tc>
          <w:tcPr>
            <w:tcW w:type="dxa" w:w="1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Completely pink</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Pulse (heart rate)</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Absent</w:t>
            </w:r>
          </w:p>
        </w:tc>
        <w:tc>
          <w:tcPr>
            <w:tcW w:type="dxa" w:w="21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Below 100 beats per minute</w:t>
            </w:r>
          </w:p>
        </w:tc>
        <w:tc>
          <w:tcPr>
            <w:tcW w:type="dxa" w:w="18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100 beats per minute or greater</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Grimace (reflex irritability)</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No response to stimulation</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Grimace or weak cry</w:t>
            </w:r>
          </w:p>
        </w:tc>
        <w:tc>
          <w:tcPr>
            <w:tcW w:type="dxa" w:w="1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Vigorous cry, active withdrawal</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Activity (muscle tone)</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Limp, no movement</w:t>
            </w:r>
          </w:p>
        </w:tc>
        <w:tc>
          <w:tcPr>
            <w:tcW w:type="dxa" w:w="21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Some flexion of extremities</w:t>
            </w:r>
          </w:p>
        </w:tc>
        <w:tc>
          <w:tcPr>
            <w:tcW w:type="dxa" w:w="18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Active motion, well flexed</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Respiration</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Absent</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Weak, irregular, or gasping</w:t>
            </w:r>
          </w:p>
        </w:tc>
        <w:tc>
          <w:tcPr>
            <w:tcW w:type="dxa" w:w="1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Strong cry, regular respirations</w:t>
            </w:r>
          </w:p>
        </w:tc>
      </w:tr>
    </w:tbl>
    <w:p>
      <w:pPr>
        <w:spacing w:after="120"/>
      </w:pPr>
    </w:p>
    <w:p>
      <w:pPr>
        <w:pStyle w:val="Heading2"/>
      </w:pPr>
      <w:r>
        <w:t xml:space="preserve">2.2 Neonatal Resuscitation Program (NRP) Guidelines</w:t>
      </w:r>
    </w:p>
    <w:p>
      <w:pPr>
        <w:spacing w:after="120" w:line="276"/>
      </w:pPr>
      <w:r>
        <w:t xml:space="preserve">The NRP algorithm, now in its 9th edition (2025), provides a systematic approach to newborn resuscitation. The initial assessment at birth involves three questions: Is this a term gestation? Is the baby breathing or crying? Does the baby have good muscle tone? If the answer to all three is yes, the infant receives routine care: warmth, drying, stimulation, and ongoing assessment. If any answer is no, further intervention is required.</w:t>
      </w:r>
    </w:p>
    <w:p>
      <w:pPr>
        <w:spacing w:after="120" w:line="276"/>
      </w:pPr>
      <w:r>
        <w:t xml:space="preserve">The concept of the Golden Minute emphasizes that effective positive pressure ventilation (PPV) must be initiated within 60 seconds of birth for any infant who is apneic, gasping, or has a heart rate below 100 bpm after initial steps. Ventilation is the single most important and most effective step in neonatal resuscitation. The vast majority of newborns who require resuscitation will respond to effective ventilation alone.</w:t>
      </w:r>
    </w:p>
    <w:p>
      <w:pPr>
        <w:spacing w:after="120" w:line="276"/>
      </w:pPr>
      <w:r>
        <w:t xml:space="preserve">Key NRP 9th edition updates include: emphasis on initial assessment and less reliance on routine suctioning; use of a cardiac monitor for heart rate assessment during resuscitation; sustained inflations are not recommended; initial FiO2 of 0.21 for term and late preterm infants (0.21 to 0.30 for preterm less than 35 weeks); and delayed cord clamping for at least 30 to 60 seconds for vigorous term and preterm infants.</w:t>
      </w:r>
    </w:p>
    <w:p>
      <w:pPr>
        <w:pStyle w:val="Heading3"/>
      </w:pPr>
      <w:r>
        <w:t xml:space="preserve">SpO2 Targets by Minute of Life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Minute of Life</w:t>
            </w:r>
          </w:p>
        </w:tc>
        <w:tc>
          <w:tcPr>
            <w:tcW w:type="dxa" w:w="468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Target SpO2</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 minute</w:t>
            </w:r>
          </w:p>
        </w:tc>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60 to 65 percent</w:t>
            </w:r>
          </w:p>
        </w:tc>
      </w:tr>
      <w:tr>
        <w:tc>
          <w:tcPr>
            <w:tcW w:type="dxa" w:w="468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 minutes</w:t>
            </w:r>
          </w:p>
        </w:tc>
        <w:tc>
          <w:tcPr>
            <w:tcW w:type="dxa" w:w="468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65 to 70 percent</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 minutes</w:t>
            </w:r>
          </w:p>
        </w:tc>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70 to 75 percent</w:t>
            </w:r>
          </w:p>
        </w:tc>
      </w:tr>
      <w:tr>
        <w:tc>
          <w:tcPr>
            <w:tcW w:type="dxa" w:w="468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4 minutes</w:t>
            </w:r>
          </w:p>
        </w:tc>
        <w:tc>
          <w:tcPr>
            <w:tcW w:type="dxa" w:w="468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75 to 80 percent</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5 minutes</w:t>
            </w:r>
          </w:p>
        </w:tc>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80 to 85 percent</w:t>
            </w:r>
          </w:p>
        </w:tc>
      </w:tr>
      <w:tr>
        <w:tc>
          <w:tcPr>
            <w:tcW w:type="dxa" w:w="468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10 minutes</w:t>
            </w:r>
          </w:p>
        </w:tc>
        <w:tc>
          <w:tcPr>
            <w:tcW w:type="dxa" w:w="468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85 to 95 percent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5724" w:sz="3"/>
              <w:left w:val="single" w:color="155724" w:sz="3"/>
              <w:bottom w:val="single" w:color="155724" w:sz="1"/>
              <w:right w:val="single" w:color="155724" w:sz="1"/>
            </w:tcBorders>
            <w:shd w:fill="D4EDDA" w:val="clear"/>
            <w:tcMar>
              <w:top w:type="dxa" w:w="100"/>
              <w:left w:type="dxa" w:w="150"/>
              <w:bottom w:type="dxa" w:w="100"/>
              <w:right w:type="dxa" w:w="150"/>
            </w:tcMar>
          </w:tcPr>
          <w:p>
            <w:pPr>
              <w:spacing w:after="60"/>
            </w:pPr>
            <w:r>
              <w:rPr>
                <w:b/>
                <w:bCs/>
                <w:color w:val="155724"/>
                <w:sz w:val="22"/>
                <w:szCs w:val="22"/>
              </w:rPr>
              <w:t xml:space="preserve">CLINICAL PEARL</w:t>
            </w:r>
          </w:p>
          <w:p>
            <w:pPr>
              <w:spacing w:after="0"/>
            </w:pPr>
            <w:r>
              <w:rPr>
                <w:sz w:val="20"/>
                <w:szCs w:val="20"/>
              </w:rPr>
              <w:t xml:space="preserve">Pre-ductal SpO2 (measured on the right hand or wrist) reflects oxygen delivery to the brain and coronary arteries. During resuscitation, the pulse oximeter probe should be placed on the right wrist or hand before connecting to the monitor for faster signal acquisition.</w:t>
            </w:r>
          </w:p>
        </w:tc>
      </w:tr>
    </w:tbl>
    <w:p>
      <w:r>
        <w:br w:type="page"/>
      </w:r>
    </w:p>
    <w:p>
      <w:pPr>
        <w:pStyle w:val="Heading1"/>
      </w:pPr>
      <w:r>
        <w:t xml:space="preserve">Chapter 3: Complete Physical Examination</w:t>
      </w:r>
    </w:p>
    <w:p>
      <w:pPr>
        <w:spacing w:after="120" w:line="276"/>
      </w:pPr>
      <w:r>
        <w:t xml:space="preserve">The systematic newborn physical examination is performed within the first 24 hours of life and serves multiple purposes: identifying congenital anomalies, detecting signs of birth injury, assessing gestational age, evaluating the success of the fetal-to-neonatal transition, and establishing a baseline for ongoing assessment. The examination should be performed in a warm environment with the infant undressed, using a systematic head-to-toe approach.</w:t>
      </w:r>
    </w:p>
    <w:p>
      <w:pPr>
        <w:pStyle w:val="Heading2"/>
      </w:pPr>
      <w:r>
        <w:t xml:space="preserve">3.1 General Inspection</w:t>
      </w:r>
    </w:p>
    <w:p>
      <w:pPr>
        <w:spacing w:after="120" w:line="276"/>
      </w:pPr>
      <w:r>
        <w:t xml:space="preserve">Before touching the infant, valuable information can be obtained through careful observation. Note the infant's resting posture (a healthy term infant lies in flexion), spontaneous movement (symmetric, purposeful movements versus jittery, asymmetric, or absent movement), skin color (pink, acrocyanotic, plethoric, pale, jaundiced, or cyanotic), respiratory effort (rate, depth, presence of retractions, nasal flaring, or grunting), and overall activity level (alert, drowsy, sleeping, lethargic, or irritable).</w:t>
      </w:r>
    </w:p>
    <w:p>
      <w:pPr>
        <w:spacing w:after="120" w:line="276"/>
      </w:pPr>
      <w:r>
        <w:t xml:space="preserve">Assess for obvious anomalies: facial dysmorphism, limb deformities, abdominal wall defects, neural tube defects, or ambiguous genitalia. Note the overall size and proportionality of the infant. Measure birth weight, length, and head circumference, plotting each on appropriate growth charts (Fenton for preterm, WHO or CDC for term).</w:t>
      </w:r>
    </w:p>
    <w:p>
      <w:pPr>
        <w:pStyle w:val="Heading2"/>
      </w:pPr>
      <w:r>
        <w:t xml:space="preserve">3.2 Head and Fontanelles</w:t>
      </w:r>
    </w:p>
    <w:p>
      <w:pPr>
        <w:spacing w:after="120" w:line="276"/>
      </w:pPr>
      <w:r>
        <w:t xml:space="preserve">The head should be assessed for shape, symmetry, and circumference. Molding from vaginal delivery is common and resolves within days. Caput succedaneum (diffuse subcutaneous edema crossing suture lines) is benign and resolves within 24 to 48 hours. Cephalohematoma (subperiosteal bleeding, does not cross suture lines) may take weeks to months to resolve and can contribute to hyperbilirubinemia. Subgaleal hemorrhage (bleeding into the potential space between the periosteum and the galea aponeurotica) is a life-threatening emergency that can result in massive blood loss.</w:t>
      </w:r>
    </w:p>
    <w:p>
      <w:pPr>
        <w:spacing w:after="120" w:line="276"/>
      </w:pPr>
      <w:r>
        <w:t xml:space="preserve">The anterior fontanelle is diamond-shaped, measuring 1 to 4 cm, and normally feels soft and flat. A bulging fontanelle suggests increased intracranial pressure (meningitis, hydrocephalus, intracranial hemorrhage). A sunken fontanelle suggests dehydration. The posterior fontanelle is triangular and small (fingertip-sized), and may be closed at birth.</w:t>
      </w:r>
    </w:p>
    <w:p>
      <w:pPr>
        <w:pStyle w:val="Heading2"/>
      </w:pPr>
      <w:r>
        <w:t xml:space="preserve">3.3 Eyes, Ears, Nose, and Mouth</w:t>
      </w:r>
    </w:p>
    <w:p>
      <w:pPr>
        <w:spacing w:after="120" w:line="276"/>
      </w:pPr>
      <w:r>
        <w:t xml:space="preserve">Eyes: Assess for red reflex bilaterally (absence suggests cataract or retinoblastoma), symmetry, subconjunctival hemorrhage (common with vaginal delivery, benign), and evidence of discharge. Fixed or persistent pupil abnormalities warrant ophthalmology referral.</w:t>
      </w:r>
    </w:p>
    <w:p>
      <w:pPr>
        <w:spacing w:after="120" w:line="276"/>
      </w:pPr>
      <w:r>
        <w:t xml:space="preserve">Ears: Note position relative to the outer canthus of the eye (low-set ears are associated with chromosomal abnormalities and renal anomalies), shape, presence of preauricular tags or pits, and patency of the ear canal.</w:t>
      </w:r>
    </w:p>
    <w:p>
      <w:pPr>
        <w:spacing w:after="120" w:line="276"/>
      </w:pPr>
      <w:r>
        <w:t xml:space="preserve">Nose: Confirm bilateral patency by occluding one nostril at a time; neonates are obligate nasal breathers for the first several months of life. Bilateral choanal atresia presents as cyanosis relieved by crying.</w:t>
      </w:r>
    </w:p>
    <w:p>
      <w:pPr>
        <w:spacing w:after="120" w:line="276"/>
      </w:pPr>
      <w:r>
        <w:t xml:space="preserve">Mouth: Assess palate integrity (both hard and soft palate; palpate if visualization is limited), frenulum (ankyloglossia assessment), and for natal teeth, Epstein pearls (white epithelial cysts on the palate, benign), and ranulas.</w:t>
      </w:r>
    </w:p>
    <w:p>
      <w:pPr>
        <w:pStyle w:val="Heading2"/>
      </w:pPr>
      <w:r>
        <w:t xml:space="preserve">3.4 Cardiovascular Examination</w:t>
      </w:r>
    </w:p>
    <w:p>
      <w:pPr>
        <w:spacing w:after="120" w:line="276"/>
      </w:pPr>
      <w:r>
        <w:t xml:space="preserve">Auscultate the precordium for rate, rhythm, and murmurs. Heart murmurs are common in the first 24 to 48 hours as the transitional circulation evolves; most are innocent and related to the closing ductus arteriosus. Murmurs that are loud (grade 3 or higher), holosystolic, diastolic, or associated with other findings (cyanosis, diminished pulses, hepatomegaly) warrant echocardiography.</w:t>
      </w:r>
    </w:p>
    <w:p>
      <w:pPr>
        <w:spacing w:after="120" w:line="276"/>
      </w:pPr>
      <w:r>
        <w:t xml:space="preserve">Palpate femoral and brachial pulses simultaneously. Diminished or absent femoral pulses with strong upper extremity pulses suggest coarctation of the aorta. Assess perfusion by evaluating capillary refill time (normal is less than 3 seconds) and skin color/mottling.</w:t>
      </w:r>
    </w:p>
    <w:p>
      <w:pPr>
        <w:spacing w:after="120" w:line="276"/>
      </w:pPr>
      <w:r>
        <w:t xml:space="preserve">Critical congenital heart disease (CCHD) screening with pulse oximetry is performed at 24 hours of age or shortly before discharge if earlier. The screen requires simultaneous or sequential measurement of pre-ductal (right hand) and post-ductal (either foot) SpO2.</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3860"/>
      </w:tblGrid>
      <w:tr>
        <w:tc>
          <w:tcPr>
            <w:tcW w:type="dxa" w:w="2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CCHD Screen Result</w:t>
            </w:r>
          </w:p>
        </w:tc>
        <w:tc>
          <w:tcPr>
            <w:tcW w:type="dxa" w:w="2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Interpretation</w:t>
            </w:r>
          </w:p>
        </w:tc>
        <w:tc>
          <w:tcPr>
            <w:tcW w:type="dxa" w:w="38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Action</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SpO2 95 percent or greater in both</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Negative screen (pass)</w:t>
            </w:r>
          </w:p>
        </w:tc>
        <w:tc>
          <w:tcPr>
            <w:tcW w:type="dxa" w:w="3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No further evaluation needed</w:t>
            </w:r>
          </w:p>
        </w:tc>
      </w:tr>
      <w:tr>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SpO2 90 to 94 percent or greater than 3 percent differential</w:t>
            </w:r>
          </w:p>
        </w:tc>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Borderline</w:t>
            </w:r>
          </w:p>
        </w:tc>
        <w:tc>
          <w:tcPr>
            <w:tcW w:type="dxa" w:w="38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Repeat in 1 hour; if still borderline on second screen, refer</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Three borderline results</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Positive screen (fail)</w:t>
            </w:r>
          </w:p>
        </w:tc>
        <w:tc>
          <w:tcPr>
            <w:tcW w:type="dxa" w:w="3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Echocardiography and cardiology consultation</w:t>
            </w:r>
          </w:p>
        </w:tc>
      </w:tr>
      <w:tr>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SpO2 less than 90 percent in either</w:t>
            </w:r>
          </w:p>
        </w:tc>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Positive screen (fail)</w:t>
            </w:r>
          </w:p>
        </w:tc>
        <w:tc>
          <w:tcPr>
            <w:tcW w:type="dxa" w:w="38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Immediate echocardiography and evaluation</w:t>
            </w:r>
          </w:p>
        </w:tc>
      </w:tr>
    </w:tbl>
    <w:p>
      <w:r>
        <w:br w:type="page"/>
      </w:r>
    </w:p>
    <w:p>
      <w:pPr>
        <w:pStyle w:val="Heading1"/>
      </w:pPr>
      <w:r>
        <w:t xml:space="preserve">Chapter 4: Vital Signs Assessment</w:t>
      </w:r>
    </w:p>
    <w:p>
      <w:pPr>
        <w:spacing w:after="120" w:line="276"/>
      </w:pPr>
      <w:r>
        <w:t xml:space="preserve">Accurate and timely vital sign assessment is the cornerstone of neonatal nursing care. Deviations from normal ranges may be the earliest indicators of infection, respiratory compromise, cardiovascular instability, or neurologic injury. The frequency of assessment depends on the infant's acuity and clinical status.</w:t>
      </w:r>
    </w:p>
    <w:p>
      <w:pPr>
        <w:pStyle w:val="Heading2"/>
      </w:pPr>
      <w:r>
        <w:t xml:space="preserve">4.1 Normal Vital Sign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Parameter</w:t>
            </w:r>
          </w:p>
        </w:tc>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Preterm (34 to 36 weeks)</w:t>
            </w:r>
          </w:p>
        </w:tc>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Term (37 to 42 weeks)</w:t>
            </w:r>
          </w:p>
        </w:tc>
        <w:tc>
          <w:tcPr>
            <w:tcW w:type="dxa" w:w="33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Measurement Notes</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Heart Rate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120 to 170 bpm</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100 to 160 bpm</w:t>
            </w:r>
          </w:p>
        </w:tc>
        <w:tc>
          <w:tcPr>
            <w:tcW w:type="dxa" w:w="3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Assess for 1 full minute; count irregularities</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Respiratory Rate</w:t>
            </w:r>
          </w:p>
        </w:tc>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30 to 60 breaths/min</w:t>
            </w:r>
          </w:p>
        </w:tc>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30 to 60 breaths/min</w:t>
            </w:r>
          </w:p>
        </w:tc>
        <w:tc>
          <w:tcPr>
            <w:tcW w:type="dxa" w:w="3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Count for 1 full minute; periodic breathing normal in preterm</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Temperature (axillary)</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36.5 to 37.5 degrees C</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36.5 to 37.5 degrees C</w:t>
            </w:r>
          </w:p>
        </w:tc>
        <w:tc>
          <w:tcPr>
            <w:tcW w:type="dxa" w:w="3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Axillary placement for 3 to 5 minutes or per device instructions</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Blood Pressure (MAP)</w:t>
            </w:r>
          </w:p>
        </w:tc>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Approximately equal to GA in weeks</w:t>
            </w:r>
          </w:p>
        </w:tc>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40 to 60 mmHg</w:t>
            </w:r>
          </w:p>
        </w:tc>
        <w:tc>
          <w:tcPr>
            <w:tcW w:type="dxa" w:w="3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Use appropriate cuff size (width 2/3 of upper arm length)</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SpO2 (pre-ductal)</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90 to 95 percent</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95 to 100 percent</w:t>
            </w:r>
          </w:p>
        </w:tc>
        <w:tc>
          <w:tcPr>
            <w:tcW w:type="dxa" w:w="3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Right hand or wrist; avoid motion artifact</w:t>
            </w:r>
          </w:p>
        </w:tc>
      </w:tr>
    </w:tbl>
    <w:p>
      <w:pPr>
        <w:spacing w:after="120"/>
      </w:pPr>
    </w:p>
    <w:p>
      <w:pPr>
        <w:spacing w:after="120" w:line="276"/>
      </w:pPr>
      <w:r>
        <w:t xml:space="preserve">Periodic breathing, defined as three or more respiratory pauses of greater than 3 seconds duration with less than 20 seconds of respiration between pauses, is a normal finding in preterm and some term newborns. It must be distinguished from pathologic apnea, which is a cessation of breathing for 20 seconds or longer, or a shorter pause accompanied by bradycardia (heart rate below 100 bpm), cyanosis, or oxygen desaturation.</w:t>
      </w:r>
    </w:p>
    <w:p>
      <w:pPr>
        <w:pStyle w:val="Heading2"/>
      </w:pPr>
      <w:r>
        <w:t xml:space="preserve">4.2 Heart Rate Assessment</w:t>
      </w:r>
    </w:p>
    <w:p>
      <w:pPr>
        <w:spacing w:after="120" w:line="276"/>
      </w:pPr>
      <w:r>
        <w:t xml:space="preserve">The neonatal heart rate is assessed by auscultation at the apex of the heart for a full 60 seconds. Sinus arrhythmia (heart rate variation with respiration) is normal. Persistent tachycardia (heart rate above 160 to 180 bpm at rest) may indicate pain, fever, hypovolemia, anemia, sepsis, hyperthyroidism, cardiac arrhythmia, or medication effects. Persistent bradycardia (heart rate below 100 bpm) may indicate hypoxia, vagal stimulation, increased intracranial pressure, hypothermia, or heart block.</w:t>
      </w:r>
    </w:p>
    <w:p>
      <w:pPr>
        <w:pStyle w:val="Heading2"/>
      </w:pPr>
      <w:r>
        <w:t xml:space="preserve">4.3 Respiratory Assessment</w:t>
      </w:r>
    </w:p>
    <w:p>
      <w:pPr>
        <w:spacing w:after="120" w:line="276"/>
      </w:pPr>
      <w:r>
        <w:t xml:space="preserve">The respiratory rate is counted for a full 60 seconds with the infant at rest, as neonatal breathing is often irregular. Normal respiratory rate is 30 to 60 breaths per minute. Tachypnea (rate above 60) is one of the earliest signs of neonatal illness and can indicate respiratory distress, infection, metabolic acidosis, cardiac disease, or pain. The assessment should include not only rate but also depth, regularity, work of breathing (retractions, nasal flaring, grunting), and breath sounds.</w:t>
      </w:r>
    </w:p>
    <w:p>
      <w:pPr>
        <w:spacing w:after="120" w:line="276"/>
      </w:pPr>
      <w:r>
        <w:t xml:space="preserve">The Silverman-Anderson Respiratory Distress Score provides a standardized assessment of respiratory distress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Feature</w:t>
            </w:r>
          </w:p>
        </w:tc>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Score 0</w:t>
            </w:r>
          </w:p>
        </w:tc>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Score 1</w:t>
            </w:r>
          </w:p>
        </w:tc>
        <w:tc>
          <w:tcPr>
            <w:tcW w:type="dxa" w:w="29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Score 2</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Upper chest movement</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Synchronized with abdomen</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Lag on inspiration</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See-saw pattern</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Intercostal retractions</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None</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Just visible</w:t>
            </w:r>
          </w:p>
        </w:tc>
        <w:tc>
          <w:tcPr>
            <w:tcW w:type="dxa" w:w="29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Marked</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Xiphoid retractions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None</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Just visible</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Marked</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Nasal flaring</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None</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Minimal</w:t>
            </w:r>
          </w:p>
        </w:tc>
        <w:tc>
          <w:tcPr>
            <w:tcW w:type="dxa" w:w="29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Marked</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Expiratory grunt</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None</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Audible with stethoscope only</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Audible without stethoscope</w:t>
            </w:r>
          </w:p>
        </w:tc>
      </w:tr>
    </w:tbl>
    <w:p>
      <w:pPr>
        <w:spacing w:after="120"/>
      </w:pPr>
    </w:p>
    <w:p>
      <w:pPr>
        <w:spacing w:after="120" w:line="276"/>
      </w:pPr>
      <w:r>
        <w:t xml:space="preserve">Score interpretation: 0 indicates no respiratory distress; 1 to 3 indicates mild distress; 4 to 6 indicates moderate distress requiring escalation of support; 7 to 10 indicates severe distress and the infant may require intubation and mechanical ventilation.</w:t>
      </w:r>
    </w:p>
    <w:p>
      <w:r>
        <w:br w:type="page"/>
      </w:r>
    </w:p>
    <w:p>
      <w:pPr>
        <w:pStyle w:val="Heading1"/>
      </w:pPr>
      <w:r>
        <w:t xml:space="preserve">Chapter 5: Thermoregulation</w:t>
      </w:r>
    </w:p>
    <w:p>
      <w:pPr>
        <w:spacing w:after="120" w:line="276"/>
      </w:pPr>
      <w:r>
        <w:t xml:space="preserve">Thermoregulation is a critical component of neonatal care that directly impacts metabolic stability, oxygen consumption, and overall outcomes. Cold stress triggers a cascade of physiologic responses: peripheral vasoconstriction to reduce heat loss, increased metabolic rate through brown fat metabolism (nonshivering thermogenesis), increased oxygen consumption, and increased glucose utilization. Prolonged cold stress leads to metabolic acidosis, hypoglycemia, and in severe cases, pulmonary vasoconstriction with worsening respiratory distress.</w:t>
      </w:r>
    </w:p>
    <w:p>
      <w:pPr>
        <w:spacing w:after="120" w:line="276"/>
      </w:pPr>
      <w:r>
        <w:t xml:space="preserve">The neutral thermal environment (NTE) is the range of environmental temperatures at which the infant can maintain a normal body temperature with minimal metabolic expenditure. NTE varies with gestational age, postnatal age, and body weight. Smaller and more premature infants require higher environmental temperatures to maintain NTE. Servo-controlled radiant warmers and incubators adjust heat output to maintain a set skin temperature, reducing the need for manual adjustment.</w:t>
      </w:r>
    </w:p>
    <w:p>
      <w:pPr>
        <w:pStyle w:val="Heading2"/>
      </w:pPr>
      <w:r>
        <w:t xml:space="preserve">5.1 Delivery Room Thermoregulation</w:t>
      </w:r>
    </w:p>
    <w:p>
      <w:pPr>
        <w:spacing w:after="120" w:line="276"/>
      </w:pPr>
      <w:r>
        <w:t xml:space="preserve">The delivery room temperature should be maintained at 23 to 25 degrees Celsius (74 to 77 degrees Fahrenheit) for term deliveries and 25 to 26 degrees Celsius for anticipated preterm deliveries. A pre-warmed radiant warmer should be ready for every delivery. For term infants not requiring resuscitation, immediate skin-to-skin contact with the mother and covering with a warm blanket is the most effective thermoregulation strategy and also promotes early breastfeeding and maternal-infant bonding.</w:t>
      </w:r>
    </w:p>
    <w:p>
      <w:pPr>
        <w:spacing w:after="120" w:line="276"/>
      </w:pPr>
      <w:r>
        <w:t xml:space="preserve">For preterm infants less than 32 weeks, polyethylene wrap or bag (without prior drying below the neck) significantly reduces hypothermia. Chemical warming mattresses (exothermic gel pads) provide additional heat. The goal is an admission temperature of 36.5 to 37.5 degrees Celsius for all infants.</w:t>
      </w:r>
    </w:p>
    <w:p>
      <w:pPr>
        <w:pStyle w:val="Heading2"/>
      </w:pPr>
      <w:r>
        <w:t xml:space="preserve">5.2 Ongoing Thermoregulation Assessment</w:t>
      </w:r>
    </w:p>
    <w:p>
      <w:pPr>
        <w:spacing w:after="120" w:line="276"/>
      </w:pPr>
      <w:r>
        <w:t xml:space="preserve">Axillary temperature is the standard measurement method in neonates. It is obtained by placing the thermometer in the axilla and holding the arm against the chest for the time specified by the device manufacturer (typically 3 to 5 minutes for glass thermometers, 10 to 30 seconds for digital). Rectal temperature measurement is avoided in neonates due to risk of perforation except in specific circumstances such as therapeutic hypothermia monitoring.</w:t>
      </w:r>
    </w:p>
    <w:p>
      <w:pPr>
        <w:spacing w:after="120" w:line="276"/>
      </w:pPr>
      <w:r>
        <w:t xml:space="preserve">Temperature should be assessed at a minimum of every 3 to 4 hours for well newborns and more frequently for at-risk or unstable infants. The trend in temperature measurements is often more informative than a single value. A downward trend may indicate developing sepsis, environmental factors, or inadequate caloric intake.</w:t>
      </w:r>
    </w:p>
    <w:p>
      <w:r>
        <w:br w:type="page"/>
      </w:r>
    </w:p>
    <w:p>
      <w:pPr>
        <w:pStyle w:val="Heading1"/>
      </w:pPr>
      <w:r>
        <w:t xml:space="preserve">Chapter 6: Respiratory Assessment and Support</w:t>
      </w:r>
    </w:p>
    <w:p>
      <w:pPr>
        <w:spacing w:after="120" w:line="276"/>
      </w:pPr>
      <w:r>
        <w:t xml:space="preserve">Respiratory disorders are the most common cause of admission to the NICU and special care nursery. The neonatal nurse must be proficient in recognizing the spectrum of respiratory distress, from mild tachypnea to respiratory failure, and in managing the various modalities of respiratory support used in neonatal care.</w:t>
      </w:r>
    </w:p>
    <w:p>
      <w:pPr>
        <w:pStyle w:val="Heading2"/>
      </w:pPr>
      <w:r>
        <w:t xml:space="preserve">6.1 Common Respiratory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1800"/>
        <w:gridCol w:w="3260"/>
      </w:tblGrid>
      <w:tr>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Condition</w:t>
            </w:r>
          </w:p>
        </w:tc>
        <w:tc>
          <w:tcPr>
            <w:tcW w:type="dxa" w:w="2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Typical Presentation</w:t>
            </w:r>
          </w:p>
        </w:tc>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GA Distribution</w:t>
            </w:r>
          </w:p>
        </w:tc>
        <w:tc>
          <w:tcPr>
            <w:tcW w:type="dxa" w:w="32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Management</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Respiratory Distress Syndrome (RDS)</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Progressive tachypnea, grunting, retractions within first hours; ground-glass CXR with air bronchograms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Preterm (risk inversely proportional to GA)</w:t>
            </w:r>
          </w:p>
        </w:tc>
        <w:tc>
          <w:tcPr>
            <w:tcW w:type="dxa" w:w="32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CPAP, surfactant (LISA/INSURE), mechanical ventilation if severe</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Transient Tachypnea of the Newborn (TTN)</w:t>
            </w:r>
          </w:p>
        </w:tc>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Tachypnea within first 2 hours, usually resolves within 24 to 72 hours; perihilar streaking on CXR</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Late preterm and term (especially cesarean delivery)</w:t>
            </w:r>
          </w:p>
        </w:tc>
        <w:tc>
          <w:tcPr>
            <w:tcW w:type="dxa" w:w="32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Supplemental oxygen, CPAP if needed; self-limiting</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Meconium Aspiration Syndrome (MAS)</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Respiratory distress in meconium-stained infant; hyperinflation with patchy infiltrates on CXR</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Term and post-term</w:t>
            </w:r>
          </w:p>
        </w:tc>
        <w:tc>
          <w:tcPr>
            <w:tcW w:type="dxa" w:w="32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Supportive care, surfactant, iNO for PPHN; ECMO if refractory</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Pneumothorax</w:t>
            </w:r>
          </w:p>
        </w:tc>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Acute deterioration, asymmetric breath sounds, transillumination positive</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Any GA; more common with PPV or high CPAP</w:t>
            </w:r>
          </w:p>
        </w:tc>
        <w:tc>
          <w:tcPr>
            <w:tcW w:type="dxa" w:w="32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Needle decompression if tension; chest tube for persistent</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Pneumonia</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Respiratory distress with systemic illness signs; patchy infiltrates on CXR</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Any GA</w:t>
            </w:r>
          </w:p>
        </w:tc>
        <w:tc>
          <w:tcPr>
            <w:tcW w:type="dxa" w:w="32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Antibiotics (ampicillin + gentamicin), supportive respiratory care</w:t>
            </w:r>
          </w:p>
        </w:tc>
      </w:tr>
    </w:tbl>
    <w:p>
      <w:pPr>
        <w:spacing w:after="120"/>
      </w:pPr>
    </w:p>
    <w:p>
      <w:pPr>
        <w:pStyle w:val="Heading2"/>
      </w:pPr>
      <w:r>
        <w:t xml:space="preserve">6.2 Oxygen Delivery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2960"/>
      </w:tblGrid>
      <w:tr>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Method</w:t>
            </w:r>
          </w:p>
        </w:tc>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Flow Rate / Settings</w:t>
            </w:r>
          </w:p>
        </w:tc>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Approximate FiO2</w:t>
            </w:r>
          </w:p>
        </w:tc>
        <w:tc>
          <w:tcPr>
            <w:tcW w:type="dxa" w:w="29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Indications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Free-flow oxygen (blow-by)</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5 to 10 LPM near face</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Variable, approximately 0.30 to 0.80</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Brief supplementation during procedures or assessment</w:t>
            </w:r>
          </w:p>
        </w:tc>
      </w:tr>
      <w:tr>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Low-flow nasal cannula</w:t>
            </w:r>
          </w:p>
        </w:tc>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0.25 to 1 LPM</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0.22 to 0.40</w:t>
            </w:r>
          </w:p>
        </w:tc>
        <w:tc>
          <w:tcPr>
            <w:tcW w:type="dxa" w:w="29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Mild hypoxemia, weaning from higher support</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High-flow nasal cannula (HFNC)</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 to 8 LPM (heated, humidified)</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Titratable; generates variable CPAP effect</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Mild to moderate distress, post-extubation, step-down from CPAP</w:t>
            </w:r>
          </w:p>
        </w:tc>
      </w:tr>
      <w:tr>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CPAP</w:t>
            </w:r>
          </w:p>
        </w:tc>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5 to 8 cmH2O</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Titratable 0.21 to 1.0</w:t>
            </w:r>
          </w:p>
        </w:tc>
        <w:tc>
          <w:tcPr>
            <w:tcW w:type="dxa" w:w="29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RDS, TTN, apnea of prematurity, post-extubation support</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Mechanical ventilation</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Per mode and settings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Titratable 0.21 to 1.0</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Respiratory failure, apnea unresponsive to CPAP, severe RDS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3030" w:sz="3"/>
              <w:left w:val="single" w:color="C53030" w:sz="3"/>
              <w:bottom w:val="single" w:color="C53030" w:sz="1"/>
              <w:right w:val="single" w:color="C53030" w:sz="1"/>
            </w:tcBorders>
            <w:shd w:fill="FDE8E8" w:val="clear"/>
            <w:tcMar>
              <w:top w:type="dxa" w:w="100"/>
              <w:left w:type="dxa" w:w="150"/>
              <w:bottom w:type="dxa" w:w="100"/>
              <w:right w:type="dxa" w:w="150"/>
            </w:tcMar>
          </w:tcPr>
          <w:p>
            <w:pPr>
              <w:spacing w:after="60"/>
            </w:pPr>
            <w:r>
              <w:rPr>
                <w:b/>
                <w:bCs/>
                <w:color w:val="C53030"/>
                <w:sz w:val="22"/>
                <w:szCs w:val="22"/>
              </w:rPr>
              <w:t xml:space="preserve">WARNING</w:t>
            </w:r>
          </w:p>
          <w:p>
            <w:pPr>
              <w:spacing w:after="0"/>
            </w:pPr>
            <w:r>
              <w:rPr>
                <w:sz w:val="20"/>
                <w:szCs w:val="20"/>
              </w:rPr>
              <w:t xml:space="preserve">Oxygen is a drug in neonatal care. Hyperoxia contributes to retinopathy of prematurity (ROP), bronchopulmonary dysplasia (BPD), and oxidative injury. Target SpO2 90 to 95 percent for preterm infants and 95 to 100 percent for term infants. Avoid prolonged FiO2 greater than 0.50 when possible and minimize saturation fluctuations.</w:t>
            </w:r>
          </w:p>
        </w:tc>
      </w:tr>
    </w:tbl>
    <w:p>
      <w:r>
        <w:br w:type="page"/>
      </w:r>
    </w:p>
    <w:p>
      <w:pPr>
        <w:pStyle w:val="Heading1"/>
      </w:pPr>
      <w:r>
        <w:t xml:space="preserve">Chapter 7: Cardiovascular Assessment</w:t>
      </w:r>
    </w:p>
    <w:p>
      <w:pPr>
        <w:spacing w:after="120" w:line="276"/>
      </w:pPr>
      <w:r>
        <w:t xml:space="preserve">Cardiovascular assessment in the newborn encompasses evaluation of heart rate and rhythm, blood pressure, perfusion, and detection of congenital heart disease. The neonatal cardiovascular system is characterized by relatively fixed stroke volume with cardiac output largely dependent on heart rate, limited myocardial compliance, and the transitional circulation with potential for reversion to fetal patterns under stress.</w:t>
      </w:r>
    </w:p>
    <w:p>
      <w:pPr>
        <w:pStyle w:val="Heading2"/>
      </w:pPr>
      <w:r>
        <w:t xml:space="preserve">7.1 Perfusion Assessment</w:t>
      </w:r>
    </w:p>
    <w:p>
      <w:pPr>
        <w:spacing w:after="120" w:line="276"/>
      </w:pPr>
      <w:r>
        <w:t xml:space="preserve">Peripheral perfusion is assessed by capillary refill time (normal less than 3 seconds, measured on the sternum or forehead to avoid peripheral vasoconstriction effects), skin color and temperature (cool extremities with warm trunk suggests compensated shock), urine output (normal greater than 1 mL/kg/hour after the first 24 hours), and pulse quality. Weak pulses suggest poor cardiac output; bounding pulses may indicate a hemodynamically significant patent ductus arteriosus (PDA).</w:t>
      </w:r>
    </w:p>
    <w:p>
      <w:pPr>
        <w:pStyle w:val="Heading2"/>
      </w:pPr>
      <w:r>
        <w:t xml:space="preserve">7.2 CCHD Screening Protocol</w:t>
      </w:r>
    </w:p>
    <w:p>
      <w:pPr>
        <w:spacing w:after="120" w:line="276"/>
      </w:pPr>
      <w:r>
        <w:t xml:space="preserve">Critical congenital heart disease screening with pulse oximetry is recommended for all newborns at 24 hours of age or before discharge. The screen targets seven specific lesions that account for the majority of CCHD deaths: hypoplastic left heart syndrome, pulmonary atresia with intact ventricular septum, tetralogy of Fallot, total anomalous pulmonary venous return, transposition of the great arteries, tricuspid atresia, and truncus arteriosus.</w:t>
      </w:r>
    </w:p>
    <w:p>
      <w:pPr>
        <w:spacing w:after="120" w:line="276"/>
      </w:pPr>
      <w:r>
        <w:t xml:space="preserve">The screening algorithm measures SpO2 in the right hand (pre-ductal) and either foot (post-ductal). A pass requires SpO2 of 95 percent or greater in both measurements with 3 percent or less differential. Readings between 90 and 94 percent or with greater than 3 percent differential are repeated in 1 hour, up to 3 attempts. SpO2 below 90 percent at any time is an immediate fail requiring echocardiography.</w:t>
      </w:r>
    </w:p>
    <w:p>
      <w:r>
        <w:br w:type="page"/>
      </w:r>
    </w:p>
    <w:p>
      <w:pPr>
        <w:pStyle w:val="Heading1"/>
      </w:pPr>
      <w:r>
        <w:t xml:space="preserve">Chapter 8: Neurological Assessment</w:t>
      </w:r>
    </w:p>
    <w:p>
      <w:pPr>
        <w:spacing w:after="120" w:line="276"/>
      </w:pPr>
      <w:r>
        <w:t xml:space="preserve">The neurological examination of the newborn assesses the integrity and maturity of the central nervous system. It includes evaluation of level of consciousness, tone, primitive reflexes, cranial nerve function, and behavioral state organization. The examination is best performed between feeds, with the infant in a quiet alert state.</w:t>
      </w:r>
    </w:p>
    <w:p>
      <w:pPr>
        <w:pStyle w:val="Heading2"/>
      </w:pPr>
      <w:r>
        <w:t xml:space="preserve">8.1 Tone and Posture</w:t>
      </w:r>
    </w:p>
    <w:p>
      <w:pPr>
        <w:spacing w:after="120" w:line="276"/>
      </w:pPr>
      <w:r>
        <w:t xml:space="preserve">A healthy term newborn demonstrates flexor tone in all extremities, with the limbs drawn toward the body. The examiner assesses both passive and active tone. Passive tone is evaluated by the resistance to passive movement of the extremities (pull-to-sit maneuver, ventral suspension, arm recoil, scarf sign, popliteal angle, heel-to-ear maneuver). Active tone is assessed by observing spontaneous movement and the infant's ability to maintain posture against gravity.</w:t>
      </w:r>
    </w:p>
    <w:p>
      <w:pPr>
        <w:spacing w:after="120" w:line="276"/>
      </w:pPr>
      <w:r>
        <w:t xml:space="preserve">Hypotonia (decreased muscle tone, floppy infant) may indicate central nervous system depression from asphyxia, sedating maternal medications, neuromuscular disease, chromosomal abnormalities (Down syndrome), metabolic disorders, or sepsis. Hypertonia (increased tone, stiff infant) may indicate intracranial hemorrhage, meningitis, drug withdrawal, or kernicterus.</w:t>
      </w:r>
    </w:p>
    <w:p>
      <w:pPr>
        <w:pStyle w:val="Heading2"/>
      </w:pPr>
      <w:r>
        <w:t xml:space="preserve">8.2 Primitive Reflexes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Reflex</w:t>
            </w:r>
          </w:p>
        </w:tc>
        <w:tc>
          <w:tcPr>
            <w:tcW w:type="dxa" w:w="2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How to Elicit</w:t>
            </w:r>
          </w:p>
        </w:tc>
        <w:tc>
          <w:tcPr>
            <w:tcW w:type="dxa" w:w="2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Normal Response</w:t>
            </w:r>
          </w:p>
        </w:tc>
        <w:tc>
          <w:tcPr>
            <w:tcW w:type="dxa" w:w="25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Disappears By</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Moro</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Sudden head drop (support head, let drop 1 to 2 cm)</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Symmetric arm extension and abduction, then adduction (embrace)</w:t>
            </w:r>
          </w:p>
        </w:tc>
        <w:tc>
          <w:tcPr>
            <w:tcW w:type="dxa" w:w="2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 to 6 months</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Rooting</w:t>
            </w:r>
          </w:p>
        </w:tc>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Stroke cheek near mouth</w:t>
            </w:r>
          </w:p>
        </w:tc>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Turns head toward stimulus, opens mouth</w:t>
            </w:r>
          </w:p>
        </w:tc>
        <w:tc>
          <w:tcPr>
            <w:tcW w:type="dxa" w:w="25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 to 4 months</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Sucking</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Place finger or nipple in mouth</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Rhythmic sucking</w:t>
            </w:r>
          </w:p>
        </w:tc>
        <w:tc>
          <w:tcPr>
            <w:tcW w:type="dxa" w:w="2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 to 4 months (becomes voluntary)</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Palmar grasp</w:t>
            </w:r>
          </w:p>
        </w:tc>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Place finger in palm</w:t>
            </w:r>
          </w:p>
        </w:tc>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Flexion of fingers around examiner's finger</w:t>
            </w:r>
          </w:p>
        </w:tc>
        <w:tc>
          <w:tcPr>
            <w:tcW w:type="dxa" w:w="25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 to 4 months</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Plantar grasp</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Press thumb on ball of foot</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Flexion of toes</w:t>
            </w:r>
          </w:p>
        </w:tc>
        <w:tc>
          <w:tcPr>
            <w:tcW w:type="dxa" w:w="2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8 to 12 months</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Stepping</w:t>
            </w:r>
          </w:p>
        </w:tc>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Hold upright with feet touching flat surface</w:t>
            </w:r>
          </w:p>
        </w:tc>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Alternating stepping movements</w:t>
            </w:r>
          </w:p>
        </w:tc>
        <w:tc>
          <w:tcPr>
            <w:tcW w:type="dxa" w:w="25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 to 3 months</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Galant (truncal incurvation)</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Stroke paravertebral area while prone</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Lateral flexion of trunk toward stimulus</w:t>
            </w:r>
          </w:p>
        </w:tc>
        <w:tc>
          <w:tcPr>
            <w:tcW w:type="dxa" w:w="2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4 to 6 months</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Babinski</w:t>
            </w:r>
          </w:p>
        </w:tc>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Stroke lateral sole from heel to toe</w:t>
            </w:r>
          </w:p>
        </w:tc>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Extension and fanning of toes (normal in neonates)</w:t>
            </w:r>
          </w:p>
        </w:tc>
        <w:tc>
          <w:tcPr>
            <w:tcW w:type="dxa" w:w="25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12 to 24 months</w:t>
            </w:r>
          </w:p>
        </w:tc>
      </w:tr>
    </w:tbl>
    <w:p>
      <w:pPr>
        <w:spacing w:after="120"/>
      </w:pPr>
    </w:p>
    <w:p>
      <w:pPr>
        <w:pStyle w:val="Heading2"/>
      </w:pPr>
      <w:r>
        <w:t xml:space="preserve">8.3 Seizure Recognition</w:t>
      </w:r>
    </w:p>
    <w:p>
      <w:pPr>
        <w:spacing w:after="120" w:line="276"/>
      </w:pPr>
      <w:r>
        <w:t xml:space="preserve">Neonatal seizures differ from seizures in older children and adults. They are often subtle and may be difficult to distinguish from normal neonatal behaviors or jitteriness. The most common types include:</w:t>
      </w:r>
    </w:p>
    <w:p>
      <w:pPr>
        <w:pStyle w:val="ListParagraph"/>
        <w:numPr>
          <w:ilvl w:val="0"/>
          <w:numId w:val="2"/>
        </w:numPr>
        <w:spacing w:after="60" w:line="260"/>
      </w:pPr>
      <w:r>
        <w:t xml:space="preserve">Subtle seizures: Repetitive oral-buccal-lingual movements (lip smacking, tongue thrusting), ocular movements (sustained eye opening, eye deviation, blinking), autonomic changes (apnea, tachycardia, blood pressure changes), or bicycling/pedaling movements</w:t>
      </w:r>
    </w:p>
    <w:p>
      <w:pPr>
        <w:pStyle w:val="ListParagraph"/>
        <w:numPr>
          <w:ilvl w:val="0"/>
          <w:numId w:val="2"/>
        </w:numPr>
        <w:spacing w:after="60" w:line="260"/>
      </w:pPr>
      <w:r>
        <w:t xml:space="preserve">Clonic seizures: Rhythmic jerking of a limb or body part, usually focal (one side) rather than generalized</w:t>
      </w:r>
    </w:p>
    <w:p>
      <w:pPr>
        <w:pStyle w:val="ListParagraph"/>
        <w:numPr>
          <w:ilvl w:val="0"/>
          <w:numId w:val="2"/>
        </w:numPr>
        <w:spacing w:after="60" w:line="260"/>
      </w:pPr>
      <w:r>
        <w:t xml:space="preserve">Tonic seizures: Sustained posturing, either focal (one limb) or generalized (decerebrate or decorticate-like posturing)</w:t>
      </w:r>
    </w:p>
    <w:p>
      <w:pPr>
        <w:pStyle w:val="ListParagraph"/>
        <w:numPr>
          <w:ilvl w:val="0"/>
          <w:numId w:val="2"/>
        </w:numPr>
        <w:spacing w:after="60" w:line="260"/>
      </w:pPr>
      <w:r>
        <w:t xml:space="preserve">Myoclonic seizures: Brief, rapid jerks involving single or multiple muscle groups</w:t>
      </w:r>
    </w:p>
    <w:p>
      <w:pPr>
        <w:spacing w:after="120" w:line="276"/>
      </w:pPr>
      <w:r>
        <w:t xml:space="preserve">Jitteriness (tremulousness) must be distinguished from seizure activity. Jitteriness is stimulus-sensitive (provoked by handling or noise), consists of equal amplitude movements, can be stopped by flexion or gentle restraint, and is not associated with gaze deviation or autonomic changes. Seizures are not stimulus-sensitive, may involve unequal movements, cannot be stopped by restraint, and are often accompanied by gaze abnormalities or autonomic signs.</w:t>
      </w:r>
    </w:p>
    <w:p>
      <w:r>
        <w:br w:type="page"/>
      </w:r>
    </w:p>
    <w:p>
      <w:pPr>
        <w:pStyle w:val="Heading1"/>
      </w:pPr>
      <w:r>
        <w:t xml:space="preserve">Chapter 9: Gastrointestinal Assessment and Feeding Fundamentals</w:t>
      </w:r>
    </w:p>
    <w:p>
      <w:pPr>
        <w:pStyle w:val="Heading2"/>
      </w:pPr>
      <w:r>
        <w:t xml:space="preserve">9.1 Gastrointestinal Assessment</w:t>
      </w:r>
    </w:p>
    <w:p>
      <w:pPr>
        <w:spacing w:after="120" w:line="276"/>
      </w:pPr>
      <w:r>
        <w:t xml:space="preserve">The abdominal examination includes inspection (shape, distension, visible loops, discoloration), auscultation (bowel sounds present in all four quadrants within hours of birth), and gentle palpation (liver edge palpable 1 to 2 cm below the right costal margin is normal; kidney tips may be palpable; assess for masses or tenderness). The umbilical cord stump should have three vessels (two arteries, one vein); a two-vessel cord is associated with renal and other anomalies.</w:t>
      </w:r>
    </w:p>
    <w:p>
      <w:pPr>
        <w:spacing w:after="120" w:line="276"/>
      </w:pPr>
      <w:r>
        <w:t xml:space="preserve">Passage of meconium normally occurs within 24 to 48 hours of birth. Failure to pass meconium by 48 hours warrants evaluation for intestinal obstruction (Hirschsprung disease, meconium ileus, intestinal atresia, imperforate anus). Assess the anus for patency and position.</w:t>
      </w:r>
    </w:p>
    <w:p>
      <w:pPr>
        <w:pStyle w:val="Heading2"/>
      </w:pPr>
      <w:r>
        <w:t xml:space="preserve">9.2 Feeding Assessment</w:t>
      </w:r>
    </w:p>
    <w:p>
      <w:pPr>
        <w:spacing w:after="120" w:line="276"/>
      </w:pPr>
      <w:r>
        <w:t xml:space="preserve">Feeding readiness is assessed by evaluating the infant's behavioral state (quiet alert is optimal), rooting reflex, suck-swallow-breathe coordination, and tone. Term healthy newborns should be offered the breast within the first hour of life. Feeding frequency should be at least 8 to 12 times per 24 hours for breastfed infants, with no more than 3 to 4 hours between feedings.</w:t>
      </w:r>
    </w:p>
    <w:p>
      <w:pPr>
        <w:spacing w:after="120" w:line="276"/>
      </w:pPr>
      <w:r>
        <w:t xml:space="preserve">Signs of effective breastfeeding include: audible swallowing, sustained rhythmic suck-swallow pattern, softening of the breast after feeding, infant appearing satisfied and relaxed after feeding, adequate wet and stool diaper output, and appropriate weight loss pattern (5 to 7 percent maximum for exclusively breastfed term infants, with birth weight regained by 10 to 14 days).</w:t>
      </w:r>
    </w:p>
    <w:p>
      <w:pPr>
        <w:pStyle w:val="Heading2"/>
      </w:pPr>
      <w:r>
        <w:t xml:space="preserve">9.3 Formula Feeding Considerations</w:t>
      </w:r>
    </w:p>
    <w:p>
      <w:pPr>
        <w:spacing w:after="120" w:line="276"/>
      </w:pPr>
      <w:r>
        <w:t xml:space="preserve">When breast milk is not available, standard term formula (20 kcal/oz) is used for healthy term infants. Feeding volumes begin at approximately 15 to 30 mL per feed on day of life 1, advancing to 60 to 90 mL per feed by day 3 to 5. Overfeeding is a common cause of emesis and should be distinguished from pathologic vomiting. Bilious (green) emesis is always pathologic in a neonate and requires urgent evaluation for intestinal obstruction.</w:t>
      </w:r>
    </w:p>
    <w:p>
      <w:r>
        <w:br w:type="page"/>
      </w:r>
    </w:p>
    <w:p>
      <w:pPr>
        <w:pStyle w:val="Heading1"/>
      </w:pPr>
      <w:r>
        <w:t xml:space="preserve">Chapter 10: Hypoglycemia Screening and Management</w:t>
      </w:r>
    </w:p>
    <w:p>
      <w:pPr>
        <w:spacing w:after="120" w:line="276"/>
      </w:pPr>
      <w:r>
        <w:t xml:space="preserve">Neonatal hypoglycemia is one of the most common metabolic problems encountered in the newborn nursery. The 2011 AAP clinical report provides the most widely used screening and management framework in the United States. The approach is based on gestational age and time since birth, recognizing that blood glucose concentrations normally decrease in the first hours of life as the neonate transitions from continuous placental glucose supply to intermittent enteral feeding.</w:t>
      </w:r>
    </w:p>
    <w:p>
      <w:pPr>
        <w:pStyle w:val="Heading2"/>
      </w:pPr>
      <w:r>
        <w:t xml:space="preserve">10.1 At-Risk Populations</w:t>
      </w:r>
    </w:p>
    <w:p>
      <w:pPr>
        <w:spacing w:after="120" w:line="276"/>
      </w:pPr>
      <w:r>
        <w:t xml:space="preserve">Screening is recommended for the following at-risk groups:</w:t>
      </w:r>
    </w:p>
    <w:p>
      <w:pPr>
        <w:pStyle w:val="ListParagraph"/>
        <w:numPr>
          <w:ilvl w:val="0"/>
          <w:numId w:val="2"/>
        </w:numPr>
        <w:spacing w:after="60" w:line="260"/>
      </w:pPr>
      <w:r>
        <w:t xml:space="preserve">Late preterm infants (34 0/7 to 36 6/7 weeks gestational age): Reduced glycogen stores, immature gluconeogenesis and ketogenesis</w:t>
      </w:r>
    </w:p>
    <w:p>
      <w:pPr>
        <w:pStyle w:val="ListParagraph"/>
        <w:numPr>
          <w:ilvl w:val="0"/>
          <w:numId w:val="2"/>
        </w:numPr>
        <w:spacing w:after="60" w:line="260"/>
      </w:pPr>
      <w:r>
        <w:t xml:space="preserve">Small for gestational age (SGA, below the 10th percentile): Depleted glycogen and fat stores from chronic intrauterine undernutrition</w:t>
      </w:r>
    </w:p>
    <w:p>
      <w:pPr>
        <w:pStyle w:val="ListParagraph"/>
        <w:numPr>
          <w:ilvl w:val="0"/>
          <w:numId w:val="2"/>
        </w:numPr>
        <w:spacing w:after="60" w:line="260"/>
      </w:pPr>
      <w:r>
        <w:t xml:space="preserve">Large for gestational age (LGA, above the 90th percentile): Often associated with maternal glucose intolerance and resultant fetal hyperinsulinism</w:t>
      </w:r>
    </w:p>
    <w:p>
      <w:pPr>
        <w:pStyle w:val="ListParagraph"/>
        <w:numPr>
          <w:ilvl w:val="0"/>
          <w:numId w:val="2"/>
        </w:numPr>
        <w:spacing w:after="60" w:line="260"/>
      </w:pPr>
      <w:r>
        <w:t xml:space="preserve">Infants of diabetic mothers (IDM): Fetal hyperinsulinism from chronic exposure to maternal hyperglycemia; insulin levels remain elevated after cord clamping while glucose supply ceases</w:t>
      </w:r>
    </w:p>
    <w:p>
      <w:pPr>
        <w:pStyle w:val="Heading2"/>
      </w:pPr>
      <w:r>
        <w:t xml:space="preserve">10.2 AAP Time-Based Management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Time Period</w:t>
            </w:r>
          </w:p>
        </w:tc>
        <w:tc>
          <w:tcPr>
            <w:tcW w:type="dxa" w:w="2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Action Threshold</w:t>
            </w:r>
          </w:p>
        </w:tc>
        <w:tc>
          <w:tcPr>
            <w:tcW w:type="dxa" w:w="43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Management</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Birth to 4 hours (first feed by 1 hour)</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Less than 25 mg/dL</w:t>
            </w:r>
          </w:p>
        </w:tc>
        <w:tc>
          <w:tcPr>
            <w:tcW w:type="dxa" w:w="4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IV D10W 2 mL/kg bolus, begin IV glucose infusion</w:t>
            </w:r>
          </w:p>
        </w:tc>
      </w:tr>
      <w:tr>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Birth to 4 hours</w:t>
            </w:r>
          </w:p>
        </w:tc>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25 to 40 mg/dL</w:t>
            </w:r>
          </w:p>
        </w:tc>
        <w:tc>
          <w:tcPr>
            <w:tcW w:type="dxa" w:w="4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Feed (breast or formula), recheck glucose 1 hour after feed</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Birth to 4 hours</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25 to 40 mg/dL, remains low after feed</w:t>
            </w:r>
          </w:p>
        </w:tc>
        <w:tc>
          <w:tcPr>
            <w:tcW w:type="dxa" w:w="4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IV D10W 2 mL/kg bolus, begin IV glucose infusion</w:t>
            </w:r>
          </w:p>
        </w:tc>
      </w:tr>
      <w:tr>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4 to 24 hours</w:t>
            </w:r>
          </w:p>
        </w:tc>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Less than 35 mg/dL</w:t>
            </w:r>
          </w:p>
        </w:tc>
        <w:tc>
          <w:tcPr>
            <w:tcW w:type="dxa" w:w="4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IV D10W 2 mL/kg bolus, begin IV glucose infusion</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4 to 24 hours</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35 to 45 mg/dL</w:t>
            </w:r>
          </w:p>
        </w:tc>
        <w:tc>
          <w:tcPr>
            <w:tcW w:type="dxa" w:w="4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Feed, recheck; if remains low, IV glucose</w:t>
            </w:r>
          </w:p>
        </w:tc>
      </w:tr>
      <w:tr>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After 48 hours</w:t>
            </w:r>
          </w:p>
        </w:tc>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Less than 50 mg/dL persistent</w:t>
            </w:r>
          </w:p>
        </w:tc>
        <w:tc>
          <w:tcPr>
            <w:tcW w:type="dxa" w:w="4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Endocrine evaluation; consider hyperinsulinism workup</w:t>
            </w:r>
          </w:p>
        </w:tc>
      </w:tr>
    </w:tbl>
    <w:p>
      <w:pPr>
        <w:spacing w:after="120"/>
      </w:pPr>
    </w:p>
    <w:p>
      <w:pPr>
        <w:spacing w:after="120" w:line="276"/>
      </w:pPr>
      <w:r>
        <w:t xml:space="preserve">Oral dextrose gel 40 percent (0.5 mL/kg massaged into the buccal mucosa) has emerged as an effective first-line treatment for asymptomatic hypoglycemia in the newborn nursery. The Sugar Babies Study and subsequent trials demonstrated that dextrose gel reduces NICU admissions for hypoglycemia by approximately 50 percent, improves breastfeeding rates, and is cost-effective. It should be given in conjunction with feeding, not as a substitute for feeding.</w:t>
      </w:r>
    </w:p>
    <w:p>
      <w:pPr>
        <w:spacing w:after="120" w:line="276"/>
      </w:pPr>
      <w:r>
        <w:t xml:space="preserve">The glucose infusion rate (GIR) is a critical calculation for managing IV glucose therapy: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6404" w:sz="3"/>
              <w:left w:val="single" w:color="856404" w:sz="3"/>
              <w:bottom w:val="single" w:color="856404" w:sz="1"/>
              <w:right w:val="single" w:color="856404" w:sz="1"/>
            </w:tcBorders>
            <w:shd w:fill="FEF3CD" w:val="clear"/>
            <w:tcMar>
              <w:top w:type="dxa" w:w="100"/>
              <w:left w:type="dxa" w:w="150"/>
              <w:bottom w:type="dxa" w:w="100"/>
              <w:right w:type="dxa" w:w="150"/>
            </w:tcMar>
          </w:tcPr>
          <w:p>
            <w:pPr>
              <w:spacing w:after="60"/>
            </w:pPr>
            <w:r>
              <w:rPr>
                <w:b/>
                <w:bCs/>
                <w:color w:val="856404"/>
                <w:sz w:val="22"/>
                <w:szCs w:val="22"/>
              </w:rPr>
              <w:t xml:space="preserve">GIR FORMULA</w:t>
            </w:r>
          </w:p>
          <w:p>
            <w:pPr>
              <w:spacing w:after="0"/>
            </w:pPr>
            <w:r>
              <w:rPr>
                <w:sz w:val="20"/>
                <w:szCs w:val="20"/>
              </w:rPr>
              <w:t xml:space="preserve">GIR (mg/kg/min) = [IV Rate (mL/hr) x Dextrose Concentration (%)] / [Weight (kg) x 6]. Starting target GIR is 4 to 6 mg/kg/min (D10W at 80 mL/kg/day provides approximately 5.5 mg/kg/min). Maximum GIR on peripheral IV is approximately 12.5 mg/kg/min (D12.5W).</w:t>
            </w:r>
          </w:p>
        </w:tc>
      </w:tr>
    </w:tbl>
    <w:p>
      <w:r>
        <w:br w:type="page"/>
      </w:r>
    </w:p>
    <w:p>
      <w:pPr>
        <w:pStyle w:val="Heading1"/>
      </w:pPr>
      <w:r>
        <w:t xml:space="preserve">Chapter 11: Hyperbilirubinemia Management</w:t>
      </w:r>
    </w:p>
    <w:p>
      <w:pPr>
        <w:spacing w:after="120" w:line="276"/>
      </w:pPr>
      <w:r>
        <w:t xml:space="preserve">Neonatal jaundice affects approximately 60 percent of term and 80 percent of preterm newborns during the first week of life. While most cases represent benign physiologic jaundice, severe hyperbilirubinemia can lead to acute bilirubin encephalopathy and chronic bilirubin encephalopathy (kernicterus), a devastating and preventable neurologic injury.</w:t>
      </w:r>
    </w:p>
    <w:p>
      <w:pPr>
        <w:pStyle w:val="Heading2"/>
      </w:pPr>
      <w:r>
        <w:t xml:space="preserve">11.1 Physiologic vs. Pathologic Jaundice</w:t>
      </w:r>
    </w:p>
    <w:p>
      <w:pPr>
        <w:spacing w:after="120" w:line="276"/>
      </w:pPr>
      <w:r>
        <w:t xml:space="preserve">Physiologic jaundice results from the normal neonatal processes of increased bilirubin production (due to high red blood cell mass and shorter RBC lifespan), immature hepatic conjugation (low UGT1A1 enzyme activity), and increased enterohepatic circulation. It typically appears after 24 hours, peaks at 3 to 5 days in term infants (5 to 7 days in preterm), and resolves by 1 to 2 weeks.</w:t>
      </w:r>
    </w:p>
    <w:p>
      <w:pPr>
        <w:spacing w:after="120" w:line="276"/>
      </w:pPr>
      <w:r>
        <w:t xml:space="preserve">Pathologic jaundice is suggested by: jaundice appearing within the first 24 hours of life, total serum bilirubin rising faster than 0.2 mg/dL per hour or 5 mg/dL per day, total serum bilirubin exceeding the 95th percentile on the hour-specific nomogram, conjugated (direct) bilirubin greater than 1.0 mg/dL or greater than 20 percent of total, and jaundice persisting beyond 2 weeks in a term infant.</w:t>
      </w:r>
    </w:p>
    <w:p>
      <w:pPr>
        <w:pStyle w:val="Heading2"/>
      </w:pPr>
      <w:r>
        <w:t xml:space="preserve">11.2 2022 AAP Guidelines Update</w:t>
      </w:r>
    </w:p>
    <w:p>
      <w:pPr>
        <w:spacing w:after="120" w:line="276"/>
      </w:pPr>
      <w:r>
        <w:t xml:space="preserve">The 2022 AAP clinical practice guideline for the management of hyperbilirubinemia in the newborn infant 35 or more weeks of gestation represents a major revision. Key changes from the prior 2004 guideline include:</w:t>
      </w:r>
    </w:p>
    <w:p>
      <w:pPr>
        <w:pStyle w:val="ListParagraph"/>
        <w:numPr>
          <w:ilvl w:val="0"/>
          <w:numId w:val="2"/>
        </w:numPr>
        <w:spacing w:after="60" w:line="260"/>
      </w:pPr>
      <w:r>
        <w:t xml:space="preserve">Phototherapy thresholds lowered by approximately 47 percent for infants with neurotoxicity risk factors</w:t>
      </w:r>
    </w:p>
    <w:p>
      <w:pPr>
        <w:pStyle w:val="ListParagraph"/>
        <w:numPr>
          <w:ilvl w:val="0"/>
          <w:numId w:val="2"/>
        </w:numPr>
        <w:spacing w:after="60" w:line="260"/>
      </w:pPr>
      <w:r>
        <w:t xml:space="preserve">Explicit definition of neurotoxicity risk factors: gestational age 35 to 37 6/7 weeks, albumin less than 3.0 g/dL, isoimmune hemolytic disease (positive DAT), G6PD deficiency, other hemolytic conditions, sepsis, and significant clinical instability in the previous 24 hours</w:t>
      </w:r>
    </w:p>
    <w:p>
      <w:pPr>
        <w:pStyle w:val="ListParagraph"/>
        <w:numPr>
          <w:ilvl w:val="0"/>
          <w:numId w:val="2"/>
        </w:numPr>
        <w:spacing w:after="60" w:line="260"/>
      </w:pPr>
      <w:r>
        <w:t xml:space="preserve">Escalation phototherapy thresholds defined (2 mg/dL below exchange transfusion threshold)</w:t>
      </w:r>
    </w:p>
    <w:p>
      <w:pPr>
        <w:pStyle w:val="ListParagraph"/>
        <w:numPr>
          <w:ilvl w:val="0"/>
          <w:numId w:val="2"/>
        </w:numPr>
        <w:spacing w:after="60" w:line="260"/>
      </w:pPr>
      <w:r>
        <w:t xml:space="preserve">Exchange transfusion thresholds revised</w:t>
      </w:r>
    </w:p>
    <w:p>
      <w:pPr>
        <w:pStyle w:val="ListParagraph"/>
        <w:numPr>
          <w:ilvl w:val="0"/>
          <w:numId w:val="2"/>
        </w:numPr>
        <w:spacing w:after="60" w:line="260"/>
      </w:pPr>
      <w:r>
        <w:t xml:space="preserve">Universal pre-discharge bilirubin screening recommended (TSB or TcB)</w:t>
      </w:r>
    </w:p>
    <w:p>
      <w:pPr>
        <w:pStyle w:val="ListParagraph"/>
        <w:numPr>
          <w:ilvl w:val="0"/>
          <w:numId w:val="2"/>
        </w:numPr>
        <w:spacing w:after="60" w:line="260"/>
      </w:pPr>
      <w:r>
        <w:t xml:space="preserve">Hour-specific bilirubin nomogram for risk stratification</w:t>
      </w:r>
    </w:p>
    <w:p>
      <w:pPr>
        <w:pStyle w:val="Heading2"/>
      </w:pPr>
      <w:r>
        <w:t xml:space="preserve">11.3 Phototherapy</w:t>
      </w:r>
    </w:p>
    <w:p>
      <w:pPr>
        <w:spacing w:after="120" w:line="276"/>
      </w:pPr>
      <w:r>
        <w:t xml:space="preserve">Phototherapy works by converting unconjugated bilirubin in the skin into water-soluble photoisomers (primarily lumirubin) that can be excreted without hepatic conjugation. Effective phototherapy requires high irradiance (at least 30 microwatts per square centimeter per nanometer for intensive phototherapy), appropriate wavelength (430 to 490 nm, with peak effectiveness at 460 nm blue-green spectrum), and maximum skin surface area exposure.</w:t>
      </w:r>
    </w:p>
    <w:p>
      <w:pPr>
        <w:spacing w:after="120" w:line="276"/>
      </w:pPr>
      <w:r>
        <w:t xml:space="preserve">Nursing care during phototherapy includes: eye protection with opaque eye shields (check for proper placement and eye irritation every 2 to 4 hours); maximize skin exposure (diaper only); monitor temperature (phototherapy can cause hyperthermia or mask hypothermia); ensure adequate hydration and feeding (phototherapy increases insensible water loss by 20 to 40 percent); monitor bilirubin levels per protocol (typically every 4 to 6 hours initially, then every 6 to 12 hours once trending down); and assess for side effects including loose green stools, macular rash, and bronze baby syndrome.</w:t>
      </w:r>
    </w:p>
    <w:p>
      <w:r>
        <w:br w:type="page"/>
      </w:r>
    </w:p>
    <w:p>
      <w:pPr>
        <w:pStyle w:val="Heading1"/>
      </w:pPr>
      <w:r>
        <w:t xml:space="preserve">Chapter 12: Neonatal Sepsis</w:t>
      </w:r>
    </w:p>
    <w:p>
      <w:pPr>
        <w:spacing w:after="120" w:line="276"/>
      </w:pPr>
      <w:r>
        <w:t xml:space="preserve">Neonatal sepsis remains a significant cause of morbidity and mortality. Early-onset sepsis (EOS), occurring within the first 72 hours of life (some definitions use 7 days), is acquired through vertical transmission from the mother during labor and delivery. Late-onset sepsis (LOS), occurring after 72 hours, is typically acquired from the caregiving environment (nosocomial) or the community.</w:t>
      </w:r>
    </w:p>
    <w:p>
      <w:pPr>
        <w:pStyle w:val="Heading2"/>
      </w:pPr>
      <w:r>
        <w:t xml:space="preserve">12.1 Early-Onset Sepsis</w:t>
      </w:r>
    </w:p>
    <w:p>
      <w:pPr>
        <w:spacing w:after="120" w:line="276"/>
      </w:pPr>
      <w:r>
        <w:t xml:space="preserve">Group B Streptococcus (GBS) and Escherichia coli remain the predominant organisms in EOS. Risk factors include maternal GBS colonization without adequate intrapartum antibiotic prophylaxis (IAP), prolonged rupture of membranes (greater than 18 hours), preterm labor, chorioamnionitis (maternal fever, uterine tenderness, foul-smelling amniotic fluid, maternal or fetal tachycardia), and previous infant with invasive GBS disease.</w:t>
      </w:r>
    </w:p>
    <w:p>
      <w:pPr>
        <w:spacing w:after="120" w:line="276"/>
      </w:pPr>
      <w:r>
        <w:t xml:space="preserve">Three approaches to EOS risk assessment are currently in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Approach</w:t>
            </w:r>
          </w:p>
        </w:tc>
        <w:tc>
          <w:tcPr>
            <w:tcW w:type="dxa" w:w="2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Method</w:t>
            </w:r>
          </w:p>
        </w:tc>
        <w:tc>
          <w:tcPr>
            <w:tcW w:type="dxa" w:w="2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Advantages</w:t>
            </w:r>
          </w:p>
        </w:tc>
        <w:tc>
          <w:tcPr>
            <w:tcW w:type="dxa" w:w="25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Disadvantages</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Categorical (traditional)</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Risk factor-based: if risk factors present, obtain labs and start antibiotics</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Simple, well-established, conservative</w:t>
            </w:r>
          </w:p>
        </w:tc>
        <w:tc>
          <w:tcPr>
            <w:tcW w:type="dxa" w:w="2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Over-treats 5 to 10 percent of all newborns; separates mother-infant dyads</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EOS Calculator (Kaiser)</w:t>
            </w:r>
          </w:p>
        </w:tc>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Multivariate predictive model using maternal risk factors and infant exam</w:t>
            </w:r>
          </w:p>
        </w:tc>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Reduces antibiotic exposure by 40 to 60 percent; reduces blood cultures and NICU admissions</w:t>
            </w:r>
          </w:p>
        </w:tc>
        <w:tc>
          <w:tcPr>
            <w:tcW w:type="dxa" w:w="25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Requires data entry; not validated below 34 weeks; relies on accurate clinical exam classification</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Serial Clinical Observation</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Enhanced vital signs monitoring every 4 hours for 24 to 48 hours; treat only if clinical signs develop</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Avoids all empiric antibiotics and labs for well-appearing at-risk infants</w:t>
            </w:r>
          </w:p>
        </w:tc>
        <w:tc>
          <w:tcPr>
            <w:tcW w:type="dxa" w:w="2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Requires robust nursing assessment capability and staffing; may miss subtle or rapidly progressive sepsis</w:t>
            </w:r>
          </w:p>
        </w:tc>
      </w:tr>
    </w:tbl>
    <w:p>
      <w:pPr>
        <w:spacing w:after="120"/>
      </w:pPr>
    </w:p>
    <w:p>
      <w:pPr>
        <w:spacing w:after="120" w:line="276"/>
      </w:pPr>
      <w:r>
        <w:t xml:space="preserve">When sepsis evaluation is performed, it typically includes a blood culture (the gold standard for diagnosis), complete blood count with differential (noting that a normal CBC does not rule out sepsis), and C-reactive protein (CRP, useful for serial monitoring but insensitive in the first 6 to 12 hours). Lumbar puncture is recommended for infants with positive blood cultures, clinical signs consistent with sepsis, or when meningitis is suspected.</w:t>
      </w:r>
    </w:p>
    <w:p>
      <w:pPr>
        <w:spacing w:after="120" w:line="276"/>
      </w:pPr>
      <w:r>
        <w:t xml:space="preserve">Empiric antibiotic therapy for EOS consists of ampicillin plus gentamicin. Ampicillin provides coverage for GBS, Listeria, and most Enterococcus species. Gentamicin provides gram-negative coverage including E. coli. Antibiotics should be administered within 1 hour of the decision to treat. The 36-hour rule applies: if the blood culture remains negative at 36 to 48 hours and the infant is clinically well, antibiotics can be discontinued.</w:t>
      </w:r>
    </w:p>
    <w:p>
      <w:r>
        <w:br w:type="page"/>
      </w:r>
    </w:p>
    <w:p>
      <w:pPr>
        <w:pStyle w:val="Heading1"/>
      </w:pPr>
      <w:r>
        <w:t xml:space="preserve">Chapter 13: Late Preterm Infant Care</w:t>
      </w:r>
    </w:p>
    <w:p>
      <w:pPr>
        <w:spacing w:after="120" w:line="276"/>
      </w:pPr>
      <w:r>
        <w:t xml:space="preserve">Late preterm infants (LPIs), defined as those born between 34 0/7 and 36 6/7 weeks gestational age, represent the largest subgroup of preterm infants, accounting for approximately 70 percent of all preterm births. Despite their relatively mature appearance, LPIs face significantly higher risks compared to term infants for virtually every neonatal morbidity.</w:t>
      </w:r>
    </w:p>
    <w:p>
      <w:pPr>
        <w:spacing w:after="120" w:line="276"/>
      </w:pPr>
      <w:r>
        <w:t xml:space="preserve">Physiologic immaturity in LPIs manifests across multiple organ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System</w:t>
            </w:r>
          </w:p>
        </w:tc>
        <w:tc>
          <w:tcPr>
            <w:tcW w:type="dxa" w:w="3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Vulnerability</w:t>
            </w:r>
          </w:p>
        </w:tc>
        <w:tc>
          <w:tcPr>
            <w:tcW w:type="dxa" w:w="45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Clinical Implication</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Thermoregulation</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Less brown fat, higher surface-area-to-mass ratio, less subcutaneous fat</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Higher risk of hypothermia; may require incubator longer</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Respiratory</w:t>
            </w:r>
          </w:p>
        </w:tc>
        <w:tc>
          <w:tcPr>
            <w:tcW w:type="dxa" w:w="3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Surfactant production may be incomplete; immature respiratory drive</w:t>
            </w:r>
          </w:p>
        </w:tc>
        <w:tc>
          <w:tcPr>
            <w:tcW w:type="dxa" w:w="45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Higher risk of RDS, TTN, and apnea</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Metabolic</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Lower glycogen stores, immature gluconeogenesis</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Higher risk of hypoglycemia; require screening</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Hepatic</w:t>
            </w:r>
          </w:p>
        </w:tc>
        <w:tc>
          <w:tcPr>
            <w:tcW w:type="dxa" w:w="3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Immature conjugation enzymes</w:t>
            </w:r>
          </w:p>
        </w:tc>
        <w:tc>
          <w:tcPr>
            <w:tcW w:type="dxa" w:w="45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Higher risk and greater severity of hyperbilirubinemia</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Feeding</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Immature suck-swallow-breathe coordination; lower oromotor tone</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Feeding difficulties, longer time to full oral feeds, higher formula supplementation</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Immunologic</w:t>
            </w:r>
          </w:p>
        </w:tc>
        <w:tc>
          <w:tcPr>
            <w:tcW w:type="dxa" w:w="3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Lower maternal antibody transfer (peaks at 36 to 40 weeks)</w:t>
            </w:r>
          </w:p>
        </w:tc>
        <w:tc>
          <w:tcPr>
            <w:tcW w:type="dxa" w:w="45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Higher infection risk</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Neurologic</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Ongoing brain development; vulnerable white matter</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Higher risk of feeding difficulties, apnea; long-term developmental concerns</w:t>
            </w:r>
          </w:p>
        </w:tc>
      </w:tr>
    </w:tbl>
    <w:p>
      <w:pPr>
        <w:spacing w:after="120"/>
      </w:pPr>
    </w:p>
    <w:p>
      <w:pPr>
        <w:spacing w:after="120" w:line="276"/>
      </w:pPr>
      <w:r>
        <w:t xml:space="preserve">Discharge planning for LPIs requires documented competency in thermoregulation (maintaining temperature in an open crib for at least 24 hours), feeding (sustained adequate oral intake with appropriate weight trajectory), cardiorespiratory stability (no significant apnea, bradycardia, or desaturation for at least 5 days or the 24 hours prior to discharge, whichever is less), completion of all screenings, and arrangement of close follow-up (within 24 to 48 hours of discharge).</w:t>
      </w:r>
    </w:p>
    <w:p>
      <w:r>
        <w:br w:type="page"/>
      </w:r>
    </w:p>
    <w:p>
      <w:pPr>
        <w:pStyle w:val="Heading1"/>
      </w:pPr>
      <w:r>
        <w:t xml:space="preserve">Chapter 14: Medication Administration</w:t>
      </w:r>
    </w:p>
    <w:p>
      <w:pPr>
        <w:spacing w:after="120" w:line="276"/>
      </w:pPr>
      <w:r>
        <w:t xml:space="preserve">Neonatal medication administration requires meticulous attention to weight-based dosing, appropriate concentration and rate of administration, and awareness of the unique pharmacokinetic and pharmacodynamic considerations in newborns. Medication errors are more common and potentially more harmful in neonates due to the narrow therapeutic windows and the mathematical complexity of weight-based dose calculations.</w:t>
      </w:r>
    </w:p>
    <w:p>
      <w:pPr>
        <w:pStyle w:val="Heading2"/>
      </w:pPr>
      <w:r>
        <w:t xml:space="preserve">14.1 Common Newborn Medications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800"/>
        <w:gridCol w:w="1200"/>
        <w:gridCol w:w="2760"/>
      </w:tblGrid>
      <w:tr>
        <w:tc>
          <w:tcPr>
            <w:tcW w:type="dxa" w:w="14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Medication</w:t>
            </w:r>
          </w:p>
        </w:tc>
        <w:tc>
          <w:tcPr>
            <w:tcW w:type="dxa" w:w="1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Indication</w:t>
            </w:r>
          </w:p>
        </w:tc>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Dose</w:t>
            </w:r>
          </w:p>
        </w:tc>
        <w:tc>
          <w:tcPr>
            <w:tcW w:type="dxa" w:w="1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Route</w:t>
            </w:r>
          </w:p>
        </w:tc>
        <w:tc>
          <w:tcPr>
            <w:tcW w:type="dxa" w:w="27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Key Nursing Considerations</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Vitamin K (phytonadione)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Hemorrhagic disease prevention</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 mg (birth weight 1500g or greater); 0.5 mg (below 1500g)</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IM (vastus lateralis)</w:t>
            </w:r>
          </w:p>
        </w:tc>
        <w:tc>
          <w:tcPr>
            <w:tcW w:type="dxa" w:w="2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Given within first hour; use 26-gauge needle; monitor for bruising</w:t>
            </w:r>
          </w:p>
        </w:tc>
      </w:tr>
      <w:tr>
        <w:tc>
          <w:tcPr>
            <w:tcW w:type="dxa" w:w="14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Erythromycin 0.5% ophthalmic</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Ophthalmia neonatorum prophylaxis</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 cm ribbon in each lower conjunctival sac</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Ophthalmic</w:t>
            </w:r>
          </w:p>
        </w:tc>
        <w:tc>
          <w:tcPr>
            <w:tcW w:type="dxa" w:w="27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Within first hour; do not irrigate; may cause temporary eye irritation</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Hepatitis B vaccine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Immunization</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0.5 mL (Engerix-B or Recombivax HB)</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IM (vastus lateralis)</w:t>
            </w:r>
          </w:p>
        </w:tc>
        <w:tc>
          <w:tcPr>
            <w:tcW w:type="dxa" w:w="2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Within 12 hours for HBsAg-positive mothers; within 24 hours for all others</w:t>
            </w:r>
          </w:p>
        </w:tc>
      </w:tr>
      <w:tr>
        <w:tc>
          <w:tcPr>
            <w:tcW w:type="dxa" w:w="14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Dextrose gel 40%</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Neonatal hypoglycemia</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0.5 mL/kg buccal</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Oral (massage into buccal mucosa)</w:t>
            </w:r>
          </w:p>
        </w:tc>
        <w:tc>
          <w:tcPr>
            <w:tcW w:type="dxa" w:w="27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Give with feeding; recheck glucose 30 minutes after; may repeat once</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Ampicillin</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EOS empiric therapy</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50 mg/kg/dose (100 mg/kg/dose for meningitis)</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IV over 3 to 5 minutes</w:t>
            </w:r>
          </w:p>
        </w:tc>
        <w:tc>
          <w:tcPr>
            <w:tcW w:type="dxa" w:w="2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Every 12 hours for age 0 to 7 days term; adjust for renal function</w:t>
            </w:r>
          </w:p>
        </w:tc>
      </w:tr>
      <w:tr>
        <w:tc>
          <w:tcPr>
            <w:tcW w:type="dxa" w:w="14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Gentamicin</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EOS empiric therapy</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4 to 5 mg/kg/dose</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IV over 30 minutes</w:t>
            </w:r>
          </w:p>
        </w:tc>
        <w:tc>
          <w:tcPr>
            <w:tcW w:type="dxa" w:w="27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Interval varies by GA and postnatal age; monitor levels if more than 48 hours</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Caffeine citrate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Apnea of prematurity</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Loading: 20 mg/kg IV/PO; Maintenance: 5 to 10 mg/kg/day</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IV or PO</w:t>
            </w:r>
          </w:p>
        </w:tc>
        <w:tc>
          <w:tcPr>
            <w:tcW w:type="dxa" w:w="2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Monitor heart rate; daily maintenance 24 hours after load</w:t>
            </w:r>
          </w:p>
        </w:tc>
      </w:tr>
      <w:tr>
        <w:tc>
          <w:tcPr>
            <w:tcW w:type="dxa" w:w="14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Surfactant (beractant/calfactant/poractant)</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RDS</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Product-specific dosing (beractant 4 mL/kg; poractant 2.5 mL/kg initial)</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Intratracheal</w:t>
            </w:r>
          </w:p>
        </w:tc>
        <w:tc>
          <w:tcPr>
            <w:tcW w:type="dxa" w:w="27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Rapid administration in aliquots; monitor SpO2 and compliance closely</w:t>
            </w:r>
          </w:p>
        </w:tc>
      </w:tr>
    </w:tbl>
    <w:p>
      <w:r>
        <w:br w:type="page"/>
      </w:r>
    </w:p>
    <w:p>
      <w:pPr>
        <w:pStyle w:val="Heading1"/>
      </w:pPr>
      <w:r>
        <w:t xml:space="preserve">Chapter 15: Skin Care</w:t>
      </w:r>
    </w:p>
    <w:p>
      <w:pPr>
        <w:spacing w:after="120" w:line="276"/>
      </w:pPr>
      <w:r>
        <w:t xml:space="preserve">Neonatal skin serves as a critical barrier against infection, fluid loss, and thermal instability. The skin of the newborn, particularly the preterm infant, is thinner, more permeable, and more susceptible to injury than adult skin. Skin pH at birth is relatively alkaline (approximately 6.5) and gradually acidifies to adult levels (approximately 5.0) over the first 2 to 4 weeks, forming the acid mantle that provides antimicrobial protection.</w:t>
      </w:r>
    </w:p>
    <w:p>
      <w:pPr>
        <w:spacing w:after="120" w:line="276"/>
      </w:pPr>
      <w:r>
        <w:t xml:space="preserve">Common benign skin findings in the newborn include: erythema toxicum neonatorum (red blotchy rash with pustules, appears day 1 to 3, resolves spontaneously), milia (tiny white papules on the nose and face from trapped keratin), Mongolian spots (blue-gray pigmented macules on the lumbosacral area, most common in darker-skinned infants), salmon patches (nevus simplex or stork bites, flat pink-red vascular markings on the eyelids, glabella, or nape of the neck), and transient neonatal pustular melanosis.</w:t>
      </w:r>
    </w:p>
    <w:p>
      <w:pPr>
        <w:pStyle w:val="Heading2"/>
      </w:pPr>
      <w:r>
        <w:t xml:space="preserve">15.1 Bathing Practices</w:t>
      </w:r>
    </w:p>
    <w:p>
      <w:pPr>
        <w:spacing w:after="120" w:line="276"/>
      </w:pPr>
      <w:r>
        <w:t xml:space="preserve">The first bath should be delayed for at least 12 to 24 hours after birth per WHO and AAP recommendations. Delaying the bath helps maintain thermoregulation, preserves the vernix caseosa (which has antimicrobial and moisturizing properties), supports skin colonization with maternal flora, and facilitates early breastfeeding. Sponge bathing is preferred until the umbilical cord separates. Water temperature should be 37 to 38 degrees Celsius. Mild, pH-neutral cleansers may be used sparingly; plain water is sufficient for routine bathing.</w:t>
      </w:r>
    </w:p>
    <w:p>
      <w:pPr>
        <w:pStyle w:val="Heading2"/>
      </w:pPr>
      <w:r>
        <w:t xml:space="preserve">15.2 Umbilical Cord Care</w:t>
      </w:r>
    </w:p>
    <w:p>
      <w:pPr>
        <w:spacing w:after="120" w:line="276"/>
      </w:pPr>
      <w:r>
        <w:t xml:space="preserve">Current evidence supports dry cord care for healthy term newborns in developed countries. The cord is kept clean and dry, with the diaper folded below the cord to avoid moisture and contamination. The cord typically separates between 7 and 21 days. Parents should be instructed to watch for signs of omphalitis (infection): erythema, edema, warmth, or purulent drainage from the base of the cord, which requires urgent medical evaluation as it can progress rapidly to life-threatening sepsis.</w:t>
      </w:r>
    </w:p>
    <w:p>
      <w:r>
        <w:br w:type="page"/>
      </w:r>
    </w:p>
    <w:p>
      <w:pPr>
        <w:pStyle w:val="Heading1"/>
      </w:pPr>
      <w:r>
        <w:t xml:space="preserve">Chapter 16: Parent Education and Discharge Planning</w:t>
      </w:r>
    </w:p>
    <w:p>
      <w:pPr>
        <w:spacing w:after="120" w:line="276"/>
      </w:pPr>
      <w:r>
        <w:t xml:space="preserve">Comprehensive parent education is an essential component of newborn nursing care and a critical determinant of safe discharge. Education should begin during the hospital stay and be reinforced through written materials, demonstration, and return demonstration. Key education topics include safe sleep practices (supine position, firm flat surface, no loose bedding or soft objects, room-sharing without bed-sharing), feeding (breast or formula, recognizing hunger cues, expected intake and output patterns), newborn warning signs (temperature instability, poor feeding, excessive jaundice, respiratory distress, lethargy or irritability, decreased wet or stool diapers), car seat safety (rear-facing in the back seat, proper harness fit, car seat tolerance test for preterm infants), and follow-up care (pediatrician appointment within 24 to 48 hours for at-risk infants, within 3 to 5 days for well newborns).</w:t>
      </w:r>
    </w:p>
    <w:p>
      <w:pPr>
        <w:pStyle w:val="Heading2"/>
      </w:pPr>
      <w:r>
        <w:t xml:space="preserve">16.1 Safe Sleep Education</w:t>
      </w:r>
    </w:p>
    <w:p>
      <w:pPr>
        <w:spacing w:after="120" w:line="276"/>
      </w:pPr>
      <w:r>
        <w:t xml:space="preserve">The 2022 AAP safe sleep guidelines recommend: back to sleep for every sleep (supine position); use a firm, flat sleep surface with a fitted sheet; room-sharing without bed-sharing for at least the first 6 months; keep soft objects and loose bedding out of the sleep area; consider offering a pacifier at nap time and bedtime after breastfeeding is established; avoid overheating; do not use cardiorespiratory monitors as a strategy to reduce SIDS risk. Hospital modeling of safe sleep practices is essential, as parents learn from what they observe in the hospital.</w:t>
      </w:r>
    </w:p>
    <w:p>
      <w:pPr>
        <w:pStyle w:val="Heading1"/>
      </w:pPr>
      <w:r>
        <w:t xml:space="preserve">Chapter 17: Documentation Standards</w:t>
      </w:r>
    </w:p>
    <w:p>
      <w:pPr>
        <w:spacing w:after="120" w:line="276"/>
      </w:pPr>
      <w:r>
        <w:t xml:space="preserve">Accurate, timely, and complete documentation is a legal requirement and an essential component of safe patient care. Neonatal documentation should include: admission assessment (birth history, maternal risk factors, delivery details, resuscitation, initial vital signs, physical examination findings); ongoing assessments (vital signs at protocol-specified intervals, feeding assessment including volume and tolerance, intake and output, weight, bilirubin levels, glucose monitoring for at-risk infants); all interventions (medications administered with time, dose, route, and response; procedures performed; phototherapy including start time, irradiance, and monitoring); parent education provided and demonstrated understanding; and discharge summary (condition at discharge, feeding plan, medications, follow-up appointments, screening completion).</w:t>
      </w:r>
    </w:p>
    <w:p>
      <w:pPr>
        <w:pStyle w:val="Heading1"/>
      </w:pPr>
      <w:r>
        <w:t xml:space="preserve">Chapter 18: Special Populations</w:t>
      </w:r>
    </w:p>
    <w:p>
      <w:pPr>
        <w:pStyle w:val="Heading2"/>
      </w:pPr>
      <w:r>
        <w:t xml:space="preserve">18.1 Infants of Diabetic Mothers (IDMs)</w:t>
      </w:r>
    </w:p>
    <w:p>
      <w:pPr>
        <w:spacing w:after="120" w:line="276"/>
      </w:pPr>
      <w:r>
        <w:t xml:space="preserve">IDMs are at increased risk for macrosomia, birth injury (shoulder dystocia, brachial plexus injury, clavicle fracture), hypoglycemia (from fetal hyperinsulinism), polycythemia, hyperbilirubinemia, respiratory distress (delayed surfactant maturation), hypertrophic cardiomyopathy, and congenital anomalies (particularly cardiac, neural tube, and sacral agenesis). Glucose screening begins within 30 minutes of the first feed and continues per AAP protocol for at least 12 to 24 hours.</w:t>
      </w:r>
    </w:p>
    <w:p>
      <w:pPr>
        <w:pStyle w:val="Heading2"/>
      </w:pPr>
      <w:r>
        <w:t xml:space="preserve">18.2 Substance-Exposed Newborns</w:t>
      </w:r>
    </w:p>
    <w:p>
      <w:pPr>
        <w:spacing w:after="120" w:line="276"/>
      </w:pPr>
      <w:r>
        <w:t xml:space="preserve">Neonatal abstinence syndrome (NAS) or neonatal opioid withdrawal syndrome (NOWS) affects infants exposed in utero to opioids. Symptoms typically emerge within 24 to 72 hours of birth (longer for methadone exposure) and include: CNS irritability (high-pitched cry, tremors, increased tone, seizures), GI dysfunction (poor feeding, excessive sucking, vomiting, diarrhea, weight loss), autonomic instability (fever, sweating, nasal stuffiness, yawning, sneezing), and sleep disturbance. The Eat Sleep Console (ESC) model is replacing traditional Finnegan scoring at many centers, emphasizing non-pharmacologic care (swaddling, quiet environment, skin-to-skin, breastfeeding when appropriate) as first-line treatment.</w:t>
      </w:r>
    </w:p>
    <w:p>
      <w:pPr>
        <w:pStyle w:val="Heading1"/>
      </w:pPr>
      <w:r>
        <w:t xml:space="preserve">Chapter 19: Emergency Recognition and Response</w:t>
      </w:r>
    </w:p>
    <w:p>
      <w:pPr>
        <w:spacing w:after="120" w:line="276"/>
      </w:pPr>
      <w:r>
        <w:t xml:space="preserve">Early recognition of clinical deterioration is one of the most critical nursing competencies in newborn care. The subtle nature of neonatal illness presentation means that experienced clinical assessment is often more valuable than laboratory results in identifying a deteriorating infant. Key warning signs that require immediate evaluation include: change in color (pallor, mottling, cyanosis), change in activity (lethargy, irritability, decreased responsiveness), temperature instability (especially hypothermia without environmental cause), respiratory distress (tachypnea, apnea, increased work of breathing), feeding intolerance (refusal, vomiting especially if bilious), and hemodynamic changes (tachycardia, hypotension, poor perfusion).</w:t>
      </w:r>
    </w:p>
    <w:p>
      <w:pPr>
        <w:pStyle w:val="Heading2"/>
      </w:pPr>
      <w:r>
        <w:t xml:space="preserve">19.1 Red Flags Requiring Immediate Physician Notification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Category</w:t>
            </w:r>
          </w:p>
        </w:tc>
        <w:tc>
          <w:tcPr>
            <w:tcW w:type="dxa" w:w="3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Finding</w:t>
            </w:r>
          </w:p>
        </w:tc>
        <w:tc>
          <w:tcPr>
            <w:tcW w:type="dxa" w:w="48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Possible Significance</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Respiratory</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Apnea greater than 20 seconds or with bradycardia/desaturation</w:t>
            </w:r>
          </w:p>
        </w:tc>
        <w:tc>
          <w:tcPr>
            <w:tcW w:type="dxa" w:w="4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Sepsis, CNS pathology, airway obstruction, metabolic disorder</w:t>
            </w:r>
          </w:p>
        </w:tc>
      </w:tr>
      <w:tr>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Respiratory</w:t>
            </w:r>
          </w:p>
        </w:tc>
        <w:tc>
          <w:tcPr>
            <w:tcW w:type="dxa" w:w="3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Persistent tachypnea greater than 80/min or worsening distress</w:t>
            </w:r>
          </w:p>
        </w:tc>
        <w:tc>
          <w:tcPr>
            <w:tcW w:type="dxa" w:w="48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Pneumonia, pneumothorax, CHD, sepsis</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Cardiovascular</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Heart rate less than 80 or greater than 200 bpm</w:t>
            </w:r>
          </w:p>
        </w:tc>
        <w:tc>
          <w:tcPr>
            <w:tcW w:type="dxa" w:w="4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Hypoxia, sepsis, arrhythmia, shock</w:t>
            </w:r>
          </w:p>
        </w:tc>
      </w:tr>
      <w:tr>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Cardiovascular</w:t>
            </w:r>
          </w:p>
        </w:tc>
        <w:tc>
          <w:tcPr>
            <w:tcW w:type="dxa" w:w="3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Central cyanosis or SpO2 less than 85 percent</w:t>
            </w:r>
          </w:p>
        </w:tc>
        <w:tc>
          <w:tcPr>
            <w:tcW w:type="dxa" w:w="48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CHD, PPHN, respiratory failure, shock</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Neurologic</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Seizure activity</w:t>
            </w:r>
          </w:p>
        </w:tc>
        <w:tc>
          <w:tcPr>
            <w:tcW w:type="dxa" w:w="4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HIE, intracranial hemorrhage, meningitis, metabolic</w:t>
            </w:r>
          </w:p>
        </w:tc>
      </w:tr>
      <w:tr>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Neurologic</w:t>
            </w:r>
          </w:p>
        </w:tc>
        <w:tc>
          <w:tcPr>
            <w:tcW w:type="dxa" w:w="3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Bulging fontanelle</w:t>
            </w:r>
          </w:p>
        </w:tc>
        <w:tc>
          <w:tcPr>
            <w:tcW w:type="dxa" w:w="48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Meningitis, hydrocephalus, intracranial hemorrhage</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GI</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Bilious (green) emesis</w:t>
            </w:r>
          </w:p>
        </w:tc>
        <w:tc>
          <w:tcPr>
            <w:tcW w:type="dxa" w:w="4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Intestinal obstruction (malrotation with volvulus until proven otherwise)</w:t>
            </w:r>
          </w:p>
        </w:tc>
      </w:tr>
      <w:tr>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GI</w:t>
            </w:r>
          </w:p>
        </w:tc>
        <w:tc>
          <w:tcPr>
            <w:tcW w:type="dxa" w:w="3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Abdominal distension with discoloration</w:t>
            </w:r>
          </w:p>
        </w:tc>
        <w:tc>
          <w:tcPr>
            <w:tcW w:type="dxa" w:w="48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NEC, perforation, obstruction</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Metabolic</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Blood glucose less than 25 mg/dL (0 to 4 hours)</w:t>
            </w:r>
          </w:p>
        </w:tc>
        <w:tc>
          <w:tcPr>
            <w:tcW w:type="dxa" w:w="4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Symptomatic hypoglycemia risk</w:t>
            </w:r>
          </w:p>
        </w:tc>
      </w:tr>
      <w:tr>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Hematologic</w:t>
            </w:r>
          </w:p>
        </w:tc>
        <w:tc>
          <w:tcPr>
            <w:tcW w:type="dxa" w:w="3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Petechiae, purpura, or active bleeding</w:t>
            </w:r>
          </w:p>
        </w:tc>
        <w:tc>
          <w:tcPr>
            <w:tcW w:type="dxa" w:w="48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Sepsis with DIC, thrombocytopenia, coagulopathy</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Temperature</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Less than 35.5 degrees C or greater than 38.0 degrees C</w:t>
            </w:r>
          </w:p>
        </w:tc>
        <w:tc>
          <w:tcPr>
            <w:tcW w:type="dxa" w:w="4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Sepsis, environmental, CNS pathology</w:t>
            </w:r>
          </w:p>
        </w:tc>
      </w:tr>
    </w:tbl>
    <w:p>
      <w:pPr>
        <w:spacing w:after="120"/>
      </w:pPr>
    </w:p>
    <w:p>
      <w:pPr>
        <w:pStyle w:val="Heading1"/>
      </w:pPr>
      <w:r>
        <w:t xml:space="preserve">Chapter 20: Quality and Safety in the Newborn Nursery</w:t>
      </w:r>
    </w:p>
    <w:p>
      <w:pPr>
        <w:spacing w:after="120" w:line="276"/>
      </w:pPr>
      <w:r>
        <w:t xml:space="preserve">Quality improvement in the newborn nursery encompasses both process metrics (adherence to evidence-based protocols) and outcome metrics (morbidity and mortality rates). Key quality indicators for the newborn nursery include: exclusive breast milk feeding rates at discharge, admission hypothermia rates, timely completion of mandatory screenings (metabolic, hearing, CCHD), safe sleep compliance (documented modeling and education), medication safety (weight-based dosing verification, two-person checks for high-alert medications), fall prevention (infant security, safe sleep education), skin-to-skin initiation rates within the first hour, and readmission rates within 48 hours and 30 days.</w:t>
      </w:r>
    </w:p>
    <w:p>
      <w:pPr>
        <w:spacing w:after="120" w:line="276"/>
      </w:pPr>
      <w:r>
        <w:t xml:space="preserve">The culture of safety in neonatal nursing emphasizes: speaking up when something seems wrong (CUS words: Concerned, Uncomfortable, Safety issue), closed-loop communication for all verbal orders, read-back of telephone orders, standardized handoff communication (SBAR), time-outs before procedures, and a non-punitive approach to error reporting that focuses on system improvement rather than individual blame.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4" w:space="4"/>
      </w:pBdr>
      <w:spacing w:after="0"/>
      <w:jc w:val="center"/>
    </w:pPr>
    <w:r>
      <w:rPr>
        <w:rFonts w:ascii="Arial" w:cs="Arial" w:eastAsia="Arial" w:hAnsi="Arial"/>
        <w:color w:val="1B3A5C"/>
        <w:sz w:val="16"/>
        <w:szCs w:val="16"/>
      </w:rPr>
      <w:t xml:space="preserve">Page </w:t>
    </w:r>
    <w:r>
      <w:rPr>
        <w:rFonts w:ascii="Arial" w:cs="Arial" w:eastAsia="Arial" w:hAnsi="Arial"/>
        <w:color w:val="1B3A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4"/>
      </w:pBdr>
      <w:tabs>
        <w:tab w:val="right" w:pos="9026"/>
      </w:tabs>
      <w:spacing w:after="0"/>
    </w:pPr>
    <w:r>
      <w:rPr>
        <w:rFonts w:ascii="Arial" w:cs="Arial" w:eastAsia="Arial" w:hAnsi="Arial"/>
        <w:i/>
        <w:iCs/>
        <w:color w:val="1B3A5C"/>
        <w:sz w:val="18"/>
        <w:szCs w:val="18"/>
      </w:rPr>
      <w:t xml:space="preserve">Comprehensive Newborn Nursery Care: A Clinical Guide for Nursing Practice</w:t>
    </w: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7A6D"/>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1A1A1A"/>
      <w:sz w:val="26"/>
      <w:szCs w:val="26"/>
    </w:rPr>
  </w:style>
  <w:style w:type="paragraph" w:styleId="Heading4">
    <w:name w:val="Heading 4"/>
    <w:basedOn w:val="Normal"/>
    <w:next w:val="Normal"/>
    <w:qFormat/>
    <w:pPr>
      <w:spacing w:after="100" w:before="160"/>
      <w:outlineLvl w:val="3"/>
    </w:pPr>
    <w:rPr>
      <w:rFonts w:ascii="Arial" w:cs="Arial" w:eastAsia="Arial" w:hAnsi="Arial"/>
      <w:b/>
      <w:bCs/>
      <w:i/>
      <w:i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2026-03-15T07:02:26.000Z</dcterms:created>
  <dcterms:modified xsi:type="dcterms:W3CDTF">2026-03-15T07:02:26.001Z</dcterms:modified>
</cp:coreProperties>
</file>

<file path=docProps/custom.xml><?xml version="1.0" encoding="utf-8"?>
<Properties xmlns="http://schemas.openxmlformats.org/officeDocument/2006/custom-properties" xmlns:vt="http://schemas.openxmlformats.org/officeDocument/2006/docPropsVTypes"/>
</file>