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Comprehensive Newborn Nursery Care</w:t>
      </w:r>
    </w:p>
    <w:p>
      <w:pPr>
        <w:spacing w:after="100"/>
        <w:jc w:val="center"/>
      </w:pPr>
      <w:r>
        <w:rPr>
          <w:rFonts w:ascii="Arial" w:cs="Arial" w:eastAsia="Arial" w:hAnsi="Arial"/>
          <w:color w:val="1A7A6D"/>
          <w:sz w:val="36"/>
          <w:szCs w:val="36"/>
        </w:rPr>
        <w:t xml:space="preserve">A Clinical Guide for Nursing Practice</w:t>
      </w:r>
    </w:p>
    <w:p>
      <w:pPr>
        <w:spacing w:after="200"/>
        <w:jc w:val="center"/>
      </w:pPr>
      <w:r>
        <w:rPr>
          <w:rFonts w:ascii="Arial" w:cs="Arial" w:eastAsia="Arial" w:hAnsi="Arial"/>
          <w:i/>
          <w:iCs/>
          <w:sz w:val="28"/>
          <w:szCs w:val="28"/>
        </w:rPr>
        <w:t xml:space="preserve">Volume II: Extended Clinical Domains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10: Hypoglycemia — Extended Management</w:t>
      </w:r>
    </w:p>
    <w:p>
      <w:pPr>
        <w:pStyle w:val="Heading2"/>
      </w:pPr>
      <w:r>
        <w:t xml:space="preserve">10.1 Pathophysiology of Neonatal Hypoglycemia</w:t>
      </w:r>
    </w:p>
    <w:p>
      <w:pPr>
        <w:spacing w:after="120" w:line="276"/>
      </w:pPr>
      <w:r>
        <w:t xml:space="preserve">During fetal life, glucose crosses the placenta by facilitated diffusion, maintaining fetal glucose concentrations at approximately 60 to 80 percent of maternal levels. At birth, this continuous supply is severed. The neonate must mobilize endogenous glucose stores through glycogenolysis (breakdown of hepatic glycogen) and establish gluconeogenesis (synthesis of glucose from lactate, glycerol, and amino acids). Simultaneously, counter-regulatory hormones (glucagon, cortisol, catecholamines, growth hormone) must surge appropriately to stimulate these metabolic pathways.</w:t>
      </w:r>
    </w:p>
    <w:p>
      <w:pPr>
        <w:spacing w:after="120" w:line="276"/>
      </w:pPr>
      <w:r>
        <w:t xml:space="preserve">In the healthy term infant, this transition proceeds smoothly. Blood glucose falls to a physiologic nadir of approximately 30 to 35 mg/dL at 1 to 2 hours of life, then rises to 45 to 80 mg/dL by 3 to 4 hours as feeding and counter-regulatory mechanisms establish equilibrium. However, in at-risk populations, this transition may fail due to inadequate substrate (low glycogen stores in SGA and preterm infants), excessive glucose consumption (hyperinsulinism in IDMs and LGA infants), impaired counter-regulatory responses (preterm infants), or a combination of these factors.</w:t>
      </w:r>
    </w:p>
    <w:p>
      <w:pPr>
        <w:pStyle w:val="Heading2"/>
      </w:pPr>
      <w:r>
        <w:t xml:space="preserve">10.2 Symptoms of Neonatal Hypoglycemia</w:t>
      </w:r>
    </w:p>
    <w:p>
      <w:pPr>
        <w:spacing w:after="120" w:line="276"/>
      </w:pPr>
      <w:r>
        <w:t xml:space="preserve">The clinical manifestations of neonatal hypoglycemia are nonspecific and overlap with many other neonatal conditions. This makes screening protocols essential for at-risk populations, as clinical recognition alone is unreliable.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Symptoms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Jitteriness and tremors (most common); lethargy and hypotonia; poor feeding and weak suck; high-pitched or abnormal cry; seizures (a late and ominous sign); apnea</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Autonomic</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Pallor; diaphoresis (rare in neonates); tachycardia; hypothermia; tachypnea (respiratory compensation for metabolic acidosis)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Other</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Poor feeding (often the earliest sign noted by nurses); eye rolling; cyanosis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Jitteriness (tremulousness) is the most common symptom of neonatal hypoglycemia but is also frequently benign. Distinguishing features: jitteriness is stimulus-sensitive, has equal amplitude oscillations, can be stopped by flexion or gentle restraint, and is not associated with abnormal eye movements. Seizures are NOT stimulus-sensitive, may have unequal clonic movements, CANNOT be stopped by restraint, and are often accompanied by eye deviation or autonomic signs.</w:t>
            </w:r>
          </w:p>
        </w:tc>
      </w:tr>
    </w:tbl>
    <w:p>
      <w:pPr>
        <w:pStyle w:val="Heading2"/>
      </w:pPr>
      <w:r>
        <w:t xml:space="preserve">10.3 Dextrose Gel: Evidence and Technique</w:t>
      </w:r>
    </w:p>
    <w:p>
      <w:pPr>
        <w:spacing w:after="120" w:line="276"/>
      </w:pPr>
      <w:r>
        <w:t xml:space="preserve">Oral dextrose gel 40 percent has revolutionized the management of asymptomatic neonatal hypoglycemia since the publication of the Sugar Babies Study by Harris and colleagues in 2013. This randomized controlled trial demonstrated that buccal dextrose gel 200 mg/kg (0.5 mL/kg of 40 percent gel) was more effective than feeding alone at reversing hypoglycemia, reduced NICU admissions by approximately 50 percent, was cost-effective, and did not impair breastfeeding. Subsequent studies have confirmed these findings across diverse populations.</w:t>
      </w:r>
    </w:p>
    <w:p>
      <w:pPr>
        <w:spacing w:after="120" w:line="276"/>
      </w:pPr>
      <w:r>
        <w:t xml:space="preserve">Administration technique: Measure 0.5 mL/kg of 40 percent dextrose gel. Put on a glove and apply the gel to the inner cheek (buccal mucosa) using a gloved finger, massaging gently for 1 to 2 minutes to facilitate absorption through the buccal membrane. Follow immediately with a breast or bottle feed. Recheck blood glucose 30 minutes after the gel plus feed. The gel may be repeated once if glucose remains below threshold.</w:t>
      </w:r>
    </w:p>
    <w:p>
      <w:pPr>
        <w:spacing w:after="120" w:line="276"/>
      </w:pPr>
      <w:r>
        <w:t xml:space="preserve">Important caveats: Dextrose gel is for asymptomatic or mildly symptomatic hypoglycemia only. Infants with severe symptoms (seizures, apnea, severe lethargy) require IV dextrose. Gel should be given in conjunction with feeding, not as a substitute. If glucose does not respond to two doses of gel plus feeding, IV access and dextrose infusion are indicated.</w:t>
      </w:r>
    </w:p>
    <w:p>
      <w:pPr>
        <w:pStyle w:val="Heading2"/>
      </w:pPr>
      <w:r>
        <w:t xml:space="preserve">10.4 IV Glucose Management: Advanced Concepts</w:t>
      </w:r>
    </w:p>
    <w:p>
      <w:pPr>
        <w:spacing w:after="120" w:line="276"/>
      </w:pPr>
      <w:r>
        <w:t xml:space="preserve">When IV glucose is required, the standard approach is a D10W bolus of 2 mL/kg (200 mg/kg) administered over 2 to 3 minutes via peripheral IV, followed by a continuous infusion of D10W at 80 mL/kg/day (providing a GIR of approximately 5.5 mg/kg/min). The glucose should be rechecked 30 minutes after the bolus and the infusion rate adjusted to maintain glucose in the target range.</w:t>
      </w:r>
    </w:p>
    <w:p>
      <w:pPr>
        <w:spacing w:after="120" w:line="276"/>
      </w:pPr>
      <w:r>
        <w:t xml:space="preserve">If glucose remains below target despite D10W at 80 mL/kg/day, the GIR should be increased by advancing the fluid rate (to 100, then 120, then 150 mL/kg/day) or by increasing the dextrose concentration (D12.5W, which is the maximum concentration recommended for peripheral IV administration). A GIR of 8 to 10 mg/kg/min should maintain normal glucose in most infants. Persistent hypoglycemia despite GIR greater than 10 to 12 mg/kg/min suggests pathologic hyperinsulinism and warrants endocrine evaluation.</w:t>
      </w:r>
    </w:p>
    <w:p>
      <w:pPr>
        <w:pStyle w:val="Heading3"/>
      </w:pPr>
      <w:r>
        <w:t xml:space="preserve">GIR Calculation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29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Weight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Fluid</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Rate (mL/kg/day)</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Rate (mL/hr)</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GIR (mg/kg/min)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10.4</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6.9</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15.6</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D12.5W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6.9</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kg</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D12.5W</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kg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kg</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kg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11.7</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kg</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17.5</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PERSISTENT HYPOGLYCEMIA WORKUP</w:t>
            </w:r>
          </w:p>
          <w:p>
            <w:pPr>
              <w:spacing w:after="0"/>
            </w:pPr>
            <w:r>
              <w:rPr>
                <w:sz w:val="20"/>
                <w:szCs w:val="20"/>
              </w:rPr>
              <w:t xml:space="preserve">If unable to maintain glucose greater than 50 mg/dL despite GIR greater than 10 mg/kg/min for more than 48 hours, obtain: critical sample during hypoglycemia (insulin, cortisol, growth hormone, free fatty acids, beta-hydroxybutyrate, ammonia, lactate, acylcarnitine profile); and consider: congenital hyperinsulinism (most common cause of persistent neonatal hypoglycemia), panhypopituitarism, cortisol deficiency, fatty acid oxidation defects, or glycogen storage disease.</w:t>
            </w:r>
          </w:p>
        </w:tc>
      </w:tr>
    </w:tbl>
    <w:p>
      <w:r>
        <w:br w:type="page"/>
      </w:r>
    </w:p>
    <w:p>
      <w:pPr>
        <w:pStyle w:val="Heading1"/>
      </w:pPr>
      <w:r>
        <w:t xml:space="preserve">Chapter 11: Hyperbilirubinemia — Extended Management</w:t>
      </w:r>
    </w:p>
    <w:p>
      <w:pPr>
        <w:pStyle w:val="Heading2"/>
      </w:pPr>
      <w:r>
        <w:t xml:space="preserve">11.1 Bilirubin Metabolism</w:t>
      </w:r>
    </w:p>
    <w:p>
      <w:pPr>
        <w:spacing w:after="120" w:line="276"/>
      </w:pPr>
      <w:r>
        <w:t xml:space="preserve">Bilirubin is the final product of heme catabolism. Approximately 75 percent of bilirubin production comes from the breakdown of hemoglobin in senescent red blood cells, with the remainder from hepatic heme proteins and ineffective erythropoiesis. The enzyme heme oxygenase converts heme to biliverdin, which is then reduced to unconjugated bilirubin by biliverdin reductase.</w:t>
      </w:r>
    </w:p>
    <w:p>
      <w:pPr>
        <w:spacing w:after="120" w:line="276"/>
      </w:pPr>
      <w:r>
        <w:t xml:space="preserve">Unconjugated (indirect) bilirubin is lipophilic and circulates bound to albumin. In the liver, it is conjugated with glucuronic acid by the enzyme UDP-glucuronosyltransferase (UGT1A1) to form water-soluble conjugated (direct) bilirubin, which is excreted into bile and ultimately eliminated in stool. In neonates, this pathway is immature: UGT1A1 activity is only 1 percent of adult levels at birth, reaching adult levels by 14 weeks of life.</w:t>
      </w:r>
    </w:p>
    <w:p>
      <w:pPr>
        <w:spacing w:after="120" w:line="276"/>
      </w:pPr>
      <w:r>
        <w:t xml:space="preserve">The enterohepatic circulation further complicates neonatal bilirubin metabolism. Conjugated bilirubin excreted into the intestine can be deconjugated by the enzyme beta-glucuronidase (abundant in neonatal intestinal mucosa) and reabsorbed as unconjugated bilirubin. This enterohepatic circulation is enhanced in neonates due to the relative sterility of the intestine (lacking the bacterial flora that converts bilirubin to urobilinogen for fecal excretion) and the presence of beta-glucuronidase. Early and frequent feeding promotes intestinal motility and bacterial colonization, reducing enterohepatic circulation.</w:t>
      </w:r>
    </w:p>
    <w:p>
      <w:pPr>
        <w:pStyle w:val="Heading2"/>
      </w:pPr>
      <w:r>
        <w:t xml:space="preserve">11.2 Causes of Pathologic Hyperbilirubinemia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6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Causes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production (hemolysis)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 incompatibility (most common); Rh isoimmunization; G6PD deficiency; spherocytosis and other RBC membrane defects; polycythemia; cephalohematoma or extensive bruising; sepsis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Decreased conjugation</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Physiologic immaturity of UGT1A1; Gilbert syndrome (UGT1A1 promoter polymorphism); Crigler-Najjar syndrome (rare); hypothyroidism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enterohepatic circulation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 milk jaundice (beta-glucuronidase in breast milk); breastfeeding jaundice (inadequate caloric intake leading to decreased stool output); intestinal obstruction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Impaired excretion</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Biliary atresia (conjugated hyperbilirubinemia); choledochal cyst; neonatal hepatitis; alpha-1 antitrypsin deficiency; Alagille syndrome</w:t>
            </w:r>
          </w:p>
        </w:tc>
      </w:tr>
    </w:tbl>
    <w:p>
      <w:pPr>
        <w:spacing w:after="120"/>
      </w:pPr>
    </w:p>
    <w:p>
      <w:pPr>
        <w:pStyle w:val="Heading2"/>
      </w:pPr>
      <w:r>
        <w:t xml:space="preserve">11.3 Phototherapy: Detailed Management</w:t>
      </w:r>
    </w:p>
    <w:p>
      <w:pPr>
        <w:spacing w:after="120" w:line="276"/>
      </w:pPr>
      <w:r>
        <w:t xml:space="preserve">Phototherapy is the primary treatment for unconjugated hyperbilirubinemia. It works through three mechanisms: structural isomerization (most important; converts 4Z,15Z-bilirubin to the water-soluble 4Z,15E-bilirubin isomer, lumirubin, which is excreted in bile and urine without hepatic conjugation), configurational isomerization (produces photobilirubin), and photo-oxidation (minor contribution).</w:t>
      </w:r>
    </w:p>
    <w:p>
      <w:pPr>
        <w:pStyle w:val="Heading3"/>
      </w:pPr>
      <w:r>
        <w:t xml:space="preserve">Phototherapy Effectiveness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Optimal</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Wavelength</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430 to 490 nm (blue-green spectrum, peak at 460 nm)</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LED devices superior to fluorescent for spectral output and heat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Irradiance</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microwatts/cm2/nm or greater for intensive phototherapy</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Measure at infant's skin level; check with spectroradiometer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Surface area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Maximum exposure (diaper only)</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Fiber-optic pads underneath increase surface area; remove eye shields periodically for parent bonding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Distance</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 close as possible (within manufacturer guidelines)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LED devices can be closer than fluorescent due to lower heat output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for intensive phototherapy</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Some institutions use cycled phototherapy (on 4 hours, off 2 hours) for moderate disease</w:t>
            </w:r>
          </w:p>
        </w:tc>
      </w:tr>
    </w:tbl>
    <w:p>
      <w:pPr>
        <w:spacing w:after="120"/>
      </w:pPr>
    </w:p>
    <w:p>
      <w:pPr>
        <w:pStyle w:val="Heading3"/>
      </w:pPr>
      <w:r>
        <w:t xml:space="preserve">Nursing Care During Phototherapy</w:t>
      </w:r>
    </w:p>
    <w:p>
      <w:pPr>
        <w:spacing w:after="120" w:line="276"/>
      </w:pPr>
      <w:r>
        <w:t xml:space="preserve">Eye protection: Apply opaque eye shields before initiating phototherapy; check placement and eye irritation every 2 to 4 hours; remove shields for feeding and parent interaction to minimize sensory deprivation and promote bonding. Skin exposure: Diaper only to maximize surface area; remove any clothing or blankets. Temperature monitoring: Phototherapy can cause hyperthermia (from heat-generating devices) or hypothermia (from undressing the infant); monitor temperature every 2 to 4 hours. Hydration: Phototherapy increases insensible water loss by 20 to 40 percent; ensure adequate oral intake or supplement IV fluids; monitor urine output and specific gravity. Stool output: Increased loose green stools are expected (excretion of photoisomers). Skin assessment: Monitor for phototherapy rash (benign macular erythema), bronze baby syndrome (gray-brown discoloration in infants with conjugated hyperbilirubinemia; discontinue phototherapy and investigate cause of conjugated elevation). Bilirubin monitoring: Check TSB 4 to 6 hours after initiating intensive phototherapy to assess response; then every 6 to 12 hours until trending down; after discontinuation, rebound bilirubin at 12 to 24 hours.</w:t>
      </w:r>
    </w:p>
    <w:p>
      <w:pPr>
        <w:pStyle w:val="Heading2"/>
      </w:pPr>
      <w:r>
        <w:t xml:space="preserve">11.4 Exchange Transfusion</w:t>
      </w:r>
    </w:p>
    <w:p>
      <w:pPr>
        <w:spacing w:after="120" w:line="276"/>
      </w:pPr>
      <w:r>
        <w:t xml:space="preserve">Exchange transfusion is indicated when TSB reaches or exceeds the exchange threshold despite intensive phototherapy, or when the infant shows signs of acute bilirubin encephalopathy (ABE). ABE manifests in three phases: early (poor feeding, lethargy, hypotonia), intermediate (hypertonia with retrocollis and opisthotonos, high-pitched cry, fever), and advanced (pronounced retrocollis-opisthotonos, shrill cry, no feeding, apnea, seizures, coma, death). Exchange transfusion is a two-volume exchange (approximately 160 to 170 mL/kg) performed through umbilical venous catheter.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Acute bilirubin encephalopathy is a MEDICAL EMERGENCY. If an infant develops hypertonia, retrocollis, opisthotonos, high-pitched cry, or fever in the setting of severe hyperbilirubinemia, this represents intermediate or advanced ABE. Intensive phototherapy must be initiated immediately (or confirmed effective if already running) and exchange transfusion should be performed urgently regardless of whether TSB has reached the exchange threshold.</w:t>
            </w:r>
          </w:p>
        </w:tc>
      </w:tr>
    </w:tbl>
    <w:p>
      <w:r>
        <w:br w:type="page"/>
      </w:r>
    </w:p>
    <w:p>
      <w:pPr>
        <w:pStyle w:val="Heading1"/>
      </w:pPr>
      <w:r>
        <w:t xml:space="preserve">Chapter 12: Neonatal Sepsis — Extended Management</w:t>
      </w:r>
    </w:p>
    <w:p>
      <w:pPr>
        <w:pStyle w:val="Heading2"/>
      </w:pPr>
      <w:r>
        <w:t xml:space="preserve">12.1 Microbiology</w:t>
      </w:r>
    </w:p>
    <w:p>
      <w:pPr>
        <w:spacing w:after="120" w:line="276"/>
      </w:pPr>
      <w:r>
        <w:t xml:space="preserve">The microbiology of neonatal sepsis differs between early-onset (EOS) and late-onset (LOS)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Organism</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EOS Frequency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LOS Frequency</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Features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Group B Streptococcus (GBS)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gram-positive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common</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Vertical transmission; prevented by IAP; can present as pneumonia, sepsis, or meningitis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Escherichia coli</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gram-negative</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Common</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Increasing ampicillin resistance (particularly K1 capsular strain); high meningitis association in preterm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Coagulase-negative Staphylococcus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Rare in EOS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overall</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Nosocomial; catheter-associated; low virulence but significant in VLBW</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Staphylococcus aureus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Common</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 colonization; wound infections; can cause deep-seated infections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Listeria monocytogenes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 but serious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Rare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food-borne exposure; treated with ampicillin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Enterococcus species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Intrinsically resistant to cephalosporins; treated with ampicillin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Candida species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Very rare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Important in ELBW</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Risk factors: broad-spectrum antibiotics, central lines, PN, steroids</w:t>
            </w:r>
          </w:p>
        </w:tc>
      </w:tr>
    </w:tbl>
    <w:p>
      <w:pPr>
        <w:spacing w:after="120"/>
      </w:pPr>
    </w:p>
    <w:p>
      <w:pPr>
        <w:pStyle w:val="Heading2"/>
      </w:pPr>
      <w:r>
        <w:t xml:space="preserve">12.2 The EOS Calculator in Detail</w:t>
      </w:r>
    </w:p>
    <w:p>
      <w:pPr>
        <w:spacing w:after="120" w:line="276"/>
      </w:pPr>
      <w:r>
        <w:t xml:space="preserve">The Kaiser Permanente Neonatal Early-Onset Sepsis Calculator (developed by Dr. Karen Puopolo and colleagues) uses a multivariate predictive model to estimate EOS risk in infants born at 34 weeks or greater gestational age. The calculator has been validated in over 200,000 infants and has been shown to reduce antibiotic use by 40 to 60 percent, reduce blood culture draws, and reduce NICU admissions compared to the categorical approach, without increasing missed cases of sepsis.</w:t>
      </w:r>
    </w:p>
    <w:p>
      <w:pPr>
        <w:pStyle w:val="Heading3"/>
      </w:pPr>
      <w:r>
        <w:t xml:space="preserve">Calculator Input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Values</w:t>
            </w:r>
          </w:p>
        </w:tc>
        <w:tc>
          <w:tcPr>
            <w:tcW w:type="dxa" w:w="4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 on Risk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age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34 0/7 to 42 6/7 weeks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GA = higher baseline risk</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Highest maternal intrapartum temperature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Degrees Celsius (from onset of labor)</w:t>
            </w:r>
          </w:p>
        </w:tc>
        <w:tc>
          <w:tcPr>
            <w:tcW w:type="dxa" w:w="4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temperature = exponentially higher risk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 of membrane rupture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Longer ROM = higher risk (linear increase)</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GBS status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Positive, negative, or unknown</w:t>
            </w:r>
          </w:p>
        </w:tc>
        <w:tc>
          <w:tcPr>
            <w:tcW w:type="dxa" w:w="4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Positive increases risk; unknown intermediate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Type of intrapartum antibiotics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GBS-specific, broad-spectrum, or none</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IAP reduces risk; broad-spectrum reduces more</w:t>
            </w:r>
          </w:p>
        </w:tc>
      </w:tr>
    </w:tbl>
    <w:p>
      <w:pPr>
        <w:spacing w:after="120"/>
      </w:pPr>
    </w:p>
    <w:p>
      <w:pPr>
        <w:spacing w:after="120" w:line="276"/>
      </w:pPr>
      <w:r>
        <w:t xml:space="preserve">The calculator produces a birth-level EOS risk per 1000 live births. This birth risk is then modified by the infant's clinical presentation at serial time points (well-appearing, equivocal, or clinical illness) to produce a combined risk estimate. Recommendations are stratified: risk less than 0.65 per 1000 = routine care; 0.65 to 1.54 per 1000 = enhanced observation (vital signs q4h for 24 hours minimum); 1.54 or greater per 1000 = blood culture plus empiric antibiotics.</w:t>
      </w:r>
    </w:p>
    <w:p>
      <w:pPr>
        <w:pStyle w:val="Heading2"/>
      </w:pPr>
      <w:r>
        <w:t xml:space="preserve">12.3 Antibiotic Stewardship</w:t>
      </w:r>
    </w:p>
    <w:p>
      <w:pPr>
        <w:spacing w:after="120" w:line="276"/>
      </w:pPr>
      <w:r>
        <w:t xml:space="preserve">Antibiotic stewardship is increasingly recognized as a critical quality initiative in neonatal care. Prolonged empiric antibiotics in the absence of proven infection have been associated with increased risk of NEC, invasive candidiasis, death, and altered microbiome development. The 36-hour rule is the cornerstone of neonatal antibiotic stewardship: if the blood culture is negative at 36 to 48 hours and the infant is clinically well, antibiotics should be discontinued. Some institutions have adopted a 24-hour rule for low-risk infants.</w:t>
      </w:r>
    </w:p>
    <w:p>
      <w:pPr>
        <w:spacing w:after="120" w:line="276"/>
      </w:pPr>
      <w:r>
        <w:t xml:space="preserve">Antibiotic utilization rate (AUR), defined as the number of antibiotic-days per 100 patient-days, is a key quality metric. Typical Level II/III NICU AUR ranges from 15 to 30 percent; lower rates generally indicate better stewardship without increased adverse outcomes. Tracking AUR over time with SPC charts allows detection of practice drift.</w:t>
      </w:r>
    </w:p>
    <w:p>
      <w:r>
        <w:br w:type="page"/>
      </w:r>
    </w:p>
    <w:p>
      <w:pPr>
        <w:pStyle w:val="Heading1"/>
      </w:pPr>
      <w:r>
        <w:t xml:space="preserve">Chapter 13: Late Preterm Infant — Extended Care</w:t>
      </w:r>
    </w:p>
    <w:p>
      <w:pPr>
        <w:pStyle w:val="Heading2"/>
      </w:pPr>
      <w:r>
        <w:t xml:space="preserve">13.1 Epidemiology and Significance</w:t>
      </w:r>
    </w:p>
    <w:p>
      <w:pPr>
        <w:spacing w:after="120" w:line="276"/>
      </w:pPr>
      <w:r>
        <w:t xml:space="preserve">Late preterm infants represent approximately 70 percent of all preterm births in the United States, numbering over 300,000 per year. Despite the term 'near-term' (now appropriately replaced by 'late preterm' to emphasize their prematurity), these infants face significantly elevated risks across virtually every domain of neonatal morbidity. Compared to term infants, LPIs have: 3 to 6 times higher rates of respiratory morbidity; 2 to 3 times higher rates of hypoglycemia requiring treatment; 2 times higher rates of significant hyperbilirubinemia; 3 to 4 times higher rates of feeding difficulties; 2 to 4 times higher rates of temperature instability; 4 times higher rates of NICU admission; and 1.5 to 3 times higher rates of readmission after discharge.</w:t>
      </w:r>
    </w:p>
    <w:p>
      <w:pPr>
        <w:pStyle w:val="Heading2"/>
      </w:pPr>
      <w:r>
        <w:t xml:space="preserve">13.2 Feeding the Late Preterm Infant</w:t>
      </w:r>
    </w:p>
    <w:p>
      <w:pPr>
        <w:spacing w:after="120" w:line="276"/>
      </w:pPr>
      <w:r>
        <w:t xml:space="preserve">Feeding difficulties are the most common reason for prolonged hospitalization in the late preterm infant. The challenge lies in the incomplete maturation of suck-swallow-breathe coordination, lower oromotor tone, increased sleepiness, and decreased stamina compared to term infants. These factors combine to produce feeding sessions that are inefficient (long duration, small volumes consumed, high caloric expenditure during feeding) and often inadequate to meet nutritional needs.</w:t>
      </w:r>
    </w:p>
    <w:p>
      <w:pPr>
        <w:spacing w:after="120" w:line="276"/>
      </w:pPr>
      <w:r>
        <w:t xml:space="preserve">Evidence-based strategies for feeding the LPI include: skin-to-skin contact to promote breastfeeding and metabolic stability; initiating feeding within 1 hour of birth; establishing a minimum feeding frequency of every 2 to 3 hours (do not allow longer intervals even if the infant is sleepy); monitoring pre-feed and post-feed weights when there is concern about intake adequacy; supplementing with expressed breast milk or formula if breastfeeding intake is insufficient (using cup, spoon, syringe, or supplemental nursing system to minimize nipple confusion); considering temporary gavage feeding if the infant demonstrates fatigue, desaturation, or bradycardia during oral feeding; and tracking daily weight to ensure appropriate loss and recovery pattern.</w:t>
      </w:r>
    </w:p>
    <w:p>
      <w:pPr>
        <w:pStyle w:val="Heading2"/>
      </w:pPr>
      <w:r>
        <w:t xml:space="preserve">13.3 Apnea in the Late Preterm Infant</w:t>
      </w:r>
    </w:p>
    <w:p>
      <w:pPr>
        <w:spacing w:after="120" w:line="276"/>
      </w:pPr>
      <w:r>
        <w:t xml:space="preserve">Apnea of prematurity is defined as a cessation of breathing for 20 seconds or longer, or a shorter pause accompanied by bradycardia (heart rate below 100 bpm), cyanosis, or oxygen desaturation. LPIs are at increased risk due to immature brainstem respiratory centers and a heightened hypoxic ventilatory depression response (paradoxical decrease in respiratory drive with mild hypoxemia, the opposite of the adult response).</w:t>
      </w:r>
    </w:p>
    <w:p>
      <w:pPr>
        <w:spacing w:after="120" w:line="276"/>
      </w:pPr>
      <w:r>
        <w:t xml:space="preserve">Caffeine citrate is the standard pharmacologic treatment for apnea of prematurity. Loading dose: 20 mg/kg IV or PO (of caffeine citrate, equivalent to 10 mg/kg of caffeine base). Maintenance: 5 to 10 mg/kg/day starting 24 hours after the loading dose. Caffeine reduces apneic events, reduces the need for mechanical ventilation, and has been associated with improved neurodevelopmental outcomes in the CAP (Caffeine for Apnea of Prematurity) trial. Side effects include tachycardia and jitteriness, which are generally mild and dose-related.</w:t>
      </w:r>
    </w:p>
    <w:p>
      <w:pPr>
        <w:spacing w:after="120" w:line="276"/>
      </w:pPr>
      <w:r>
        <w:t xml:space="preserve">Discharge criteria for apnea: The infant should be free of clinically significant apnea events (events requiring intervention) for at least 5 to 7 days or the 24 hours prior to discharge (institutional protocols vary). Some institutions discharge LPIs on home cardiorespiratory monitors if apnea has not fully resolved, though this practice is controversial and evidence supporting home monitoring as a SIDS prevention strategy is lacking.</w:t>
      </w:r>
    </w:p>
    <w:p>
      <w:r>
        <w:br w:type="page"/>
      </w:r>
    </w:p>
    <w:p>
      <w:pPr>
        <w:pStyle w:val="Heading1"/>
      </w:pPr>
      <w:r>
        <w:t xml:space="preserve">Chapter 15: Skin Care — Extended Assessment</w:t>
      </w:r>
    </w:p>
    <w:p>
      <w:pPr>
        <w:pStyle w:val="Heading2"/>
      </w:pPr>
      <w:r>
        <w:t xml:space="preserve">15.1 Neonatal Skin Assessment Scale (NSAS)</w:t>
      </w:r>
    </w:p>
    <w:p>
      <w:pPr>
        <w:spacing w:after="120" w:line="276"/>
      </w:pPr>
      <w:r>
        <w:t xml:space="preserve">Standardized skin assessment using a validated tool ensures consistency in identifying and documenting skin breakdown, particularly in preterm infants. The Neonatal Skin Condition Score (NSCS) evaluates three domains: dryness (1 = normal to 3 = dry/cracking), erythema (1 = none to 3 = visible erythema over more than half of body), and breakdown (1 = none to 3 = extensive breakdown). Scores range from 3 (best) to 9 (worst).</w:t>
      </w:r>
    </w:p>
    <w:p>
      <w:pPr>
        <w:pStyle w:val="Heading2"/>
      </w:pPr>
      <w:r>
        <w:t xml:space="preserve">15.2 Common Skin Conditions Requiring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2000"/>
        <w:gridCol w:w="34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Appearance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Timing</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Significance</w:t>
            </w:r>
          </w:p>
        </w:tc>
        <w:tc>
          <w:tcPr>
            <w:tcW w:type="dxa" w:w="3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Erythema toxicum neonatorum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 blotchy rash with white or yellow pustules; migrating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1 to 3; resolves by day 7 to 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Benign; affects 30 to 70 percent of term newborns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 required; reassure parents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Milia</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Tiny white papules on nose and face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Trapped keratin; benign</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Self-resolving; no treatment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Mongolian spots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Blue-gray flat macules on lumbosacral area or buttocks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Benign dermal melanocytosis; more common in darker-skinned infants; document to prevent confusion with bruising</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 document clearly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Salmon patch (nevus simplex)</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Flat pink-red vascular marking on eyelids, glabella, nape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Benign; facial lesions typically fade by 1 to 2 years; nape lesion may persist</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 reassure parents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Pustular melanosis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Vesicles on brown macule base; predominantly on chin, neck, back</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Benign; more common in darker-skinned infants; vesicles rupture leaving pigmented macules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 macules fade over months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Port wine stain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Flat deep red-purple vascular malformation; does not blanch</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Capillary malformation; does not fade; if on V1 distribution (forehead/eyelid) evaluate for Sturge-Weber syndrome</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Dermatology referral; pulsed dye laser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Hemangioma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Initially flat; grows into raised red nodule over weeks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not be visible at birth; appears days to weeks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Proliferative phase (first 9 to 12 months) then involutes over years; refer if large, periorbital, or multiple</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Observation; propranolol if complicated</w:t>
            </w:r>
          </w:p>
        </w:tc>
      </w:tr>
    </w:tbl>
    <w:p>
      <w:r>
        <w:br w:type="page"/>
      </w:r>
    </w:p>
    <w:p>
      <w:pPr>
        <w:pStyle w:val="Heading1"/>
      </w:pPr>
      <w:r>
        <w:t xml:space="preserve">Chapter 18: Special Populations — Extended Coverage</w:t>
      </w:r>
    </w:p>
    <w:p>
      <w:pPr>
        <w:pStyle w:val="Heading2"/>
      </w:pPr>
      <w:r>
        <w:t xml:space="preserve">18.1 Infants of Diabetic Mothers — Comprehensive Management</w:t>
      </w:r>
    </w:p>
    <w:p>
      <w:pPr>
        <w:spacing w:after="120" w:line="276"/>
      </w:pPr>
      <w:r>
        <w:t xml:space="preserve">Maternal diabetes (pregestational type 1 or type 2, and gestational diabetes) affects the fetus through chronic hyperglycemia exposure. The fetal pancreas responds to sustained hyperglycemia with beta-cell hyperplasia and increased insulin production (the Pedersen hypothesis). Because insulin does not cross the placenta, the fetus exists in a state of hyperinsulinism. After birth, when the maternal glucose supply ceases, the infant's persistently elevated insulin levels drive glucose into cells, producing hypoglycemia.</w:t>
      </w:r>
    </w:p>
    <w:p>
      <w:pPr>
        <w:spacing w:after="120" w:line="276"/>
      </w:pPr>
      <w:r>
        <w:t xml:space="preserve">The severity of neonatal complications correlates with the degree and duration of maternal hyperglycemia during pregnancy. Infants of mothers with poorly controlled pregestational diabetes face the highest risk, while infants of mothers with well-controlled gestational diabetes may have minimal complications.</w:t>
      </w:r>
    </w:p>
    <w:p>
      <w:pPr>
        <w:pStyle w:val="Heading3"/>
      </w:pPr>
      <w:r>
        <w:t xml:space="preserve">IDM Complications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Complication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Pathophysiology</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Assessment</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Hypoglycemia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Fetal hyperinsulinism persisting after cord clamping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 screening per AAP protocol starting 30 min after first feed; continue q3h for 12 to 24h</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Early feeding; dextrose gel; IV D10W if refractory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Macrosomia</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Insulin-mediated growth; excessive fat and glycogen deposition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Plot birth weight on growth chart; assess for birth injury</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Anticipate shoulder dystocia; assess for brachial plexus injury and clavicle fracture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Insulin inhibits cortisol-mediated surfactant production; delayed lung maturity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assessment in first 2 to 4 hours; CXR if symptomatic</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respiratory care; surfactant if RDS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Polycythemia</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Chronic fetal hypoxia stimulates erythropoietin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hematocrit if symptomatic (plethora, tachypnea, jitteriness)</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Observe if venous Hct less than 65; partial exchange transfusion if Hct greater than 70 with symptoms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Hyperbilirubinemia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Polycythemia increases bilirubin load; hepatic immaturity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 bilirubin screening</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Phototherapy per 2022 AAP guidelines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Hypocalcemia</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Functional hypoparathyroidism; mechanism unclear</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Ionized calcium if symptomatic (jitteriness, seizures) or if calcium less than 7.0 mg/dL total</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calcium gluconate for symptomatic; oral calcium supplementation for mild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Cardiac hypertrophy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Insulin-mediated cardiac glycogen deposition; septal hypertrophy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Echocardiography if symptomatic (murmur, respiratory distress, poor perfusion)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Usually resolves spontaneously over 2 to 4 weeks; avoid inotropes (may worsen obstruction)</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Congenital anomalies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Periconceptional hyperglycemia during organogenesis (pregestational DM only)</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Thorough physical exam; echocardiography; renal ultrasound if indicated</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Anomaly-specific management</w:t>
            </w:r>
          </w:p>
        </w:tc>
      </w:tr>
    </w:tbl>
    <w:p>
      <w:r>
        <w:br w:type="page"/>
      </w:r>
    </w:p>
    <w:p>
      <w:pPr>
        <w:pStyle w:val="Heading2"/>
      </w:pPr>
      <w:r>
        <w:t xml:space="preserve">18.2 Substance-Exposed Newborns — Extended Management</w:t>
      </w:r>
    </w:p>
    <w:p>
      <w:pPr>
        <w:pStyle w:val="Heading3"/>
      </w:pPr>
      <w:r>
        <w:t xml:space="preserve">Neonatal Abstinence Syndrome / Neonatal Opioid Withdrawal Syndrome</w:t>
      </w:r>
    </w:p>
    <w:p>
      <w:pPr>
        <w:spacing w:after="120" w:line="276"/>
      </w:pPr>
      <w:r>
        <w:t xml:space="preserve">NAS/NOWS affects infants exposed in utero to opioids (heroin, methadone, buprenorphine, prescription opioids). Incidence has risen dramatically, from 1.5 per 1000 live births in 1999 to approximately 7 per 1000 in 2020 in the United States. Symptoms reflect central nervous system excitability and autonomic dysregulation as the opioid receptor stimulation ceases after birth.</w:t>
      </w:r>
    </w:p>
    <w:p>
      <w:pPr>
        <w:pStyle w:val="Heading3"/>
      </w:pPr>
      <w:r>
        <w:t xml:space="preserve">Eat Sleep Console (ESC) Model</w:t>
      </w:r>
    </w:p>
    <w:p>
      <w:pPr>
        <w:spacing w:after="120" w:line="276"/>
      </w:pPr>
      <w:r>
        <w:t xml:space="preserve">The Eat Sleep Console approach is replacing traditional Finnegan scoring at many institutions. The ESC model emphasizes functional assessment rather than symptom scoring: Can the infant eat adequately (taking at least 1 ounce per feed or breastfeeding effectively)? Can the infant sleep for at least 1 hour undisturbed? Can the infant be consoled within 10 minutes? If the answer to all three is yes, non-pharmacologic management continues. If any answer is no despite optimized non-pharmacologic care, pharmacologic treatment is considered.</w:t>
      </w:r>
    </w:p>
    <w:p>
      <w:pPr>
        <w:spacing w:after="120" w:line="276"/>
      </w:pPr>
      <w:r>
        <w:t xml:space="preserve">Non-pharmacologic interventions form the foundation of care regardless of model: low-stimulation environment (dim lights, minimal noise, limited handling); swaddling with extremities flexed; gentle rocking and holding; skin-to-skin contact; non-nutritive sucking; frequent small feedings (may need to feed every 2 hours or on demand); breastfeeding when mother is enrolled in medication-assisted treatment and not using illicit substances; rooming-in with the mother (shown to reduce pharmacotherapy rates and length of stay).</w:t>
      </w:r>
    </w:p>
    <w:p>
      <w:pPr>
        <w:spacing w:after="120" w:line="276"/>
      </w:pPr>
      <w:r>
        <w:t xml:space="preserve">When pharmacologic treatment is required, first-line therapy is oral morphine (0.05 to 0.1 mg/kg/dose every 3 to 4 hours, titrated to clinical response). Some institutions use methadone as first-line. Clonidine is used as adjunctive therapy when opioids alone are insufficient. Phenobarbital, once commonly used, has fallen out of favor as first-line treatment but may be used for polysubstance withdrawal (particularly when benzodiazepine or barbiturate exposure is suspected).</w:t>
      </w:r>
    </w:p>
    <w:p>
      <w:pPr>
        <w:pStyle w:val="Heading3"/>
      </w:pPr>
      <w:r>
        <w:t xml:space="preserve">Other Substance Exposures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39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Substance</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Neonatal Effects</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Onset</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Alcohol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Fetal alcohol spectrum disorder: dysmorphic features (short palpebral fissures, smooth philtrum, thin upper lip), growth restriction, neurobehavioral abnormalities, cardiac defects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Present at birth (features may be subtle)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care; developmental follow-up; occupational/speech therapy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Cocaine/stimulants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SGA, prematurity, placental abruption; neonatal irritability, tremors, feeding difficulties; potential for cerebral infarction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 to days</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care; monitoring; developmental follow-up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Marijuana/cannabis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Limited evidence; possible association with SGA and preterm birth; no clear neonatal withdrawal syndrome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applicable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Observation; discourage breastfeeding if active use (THC in breast milk)</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SSRIs/SNRIs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Neonatal adaptation syndrome: jitteriness, tachypnea, poor feeding, irritability in first 48 hours; rare persistent pulmonary hypertension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48 hours</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care; usually self-resolving within 3 to 5 days; PPHN screening if respiratory symptoms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Benzodiazepines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Sedation, hypotonia, poor feeding, hypothermia; withdrawal may be delayed (days to weeks)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Days to weeks (long half-life)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for delayed withdrawal; phenobarbital for severe symptoms</w:t>
            </w:r>
          </w:p>
        </w:tc>
      </w:tr>
    </w:tbl>
    <w:p>
      <w:r>
        <w:br w:type="page"/>
      </w:r>
    </w:p>
    <w:p>
      <w:pPr>
        <w:pStyle w:val="Heading1"/>
      </w:pPr>
      <w:r>
        <w:t xml:space="preserve">Chapter 19: Emergency Recognition — Extended Coverage</w:t>
      </w:r>
    </w:p>
    <w:p>
      <w:pPr>
        <w:pStyle w:val="Heading2"/>
      </w:pPr>
      <w:r>
        <w:t xml:space="preserve">19.1 The Deteriorating Neonate</w:t>
      </w:r>
    </w:p>
    <w:p>
      <w:pPr>
        <w:spacing w:after="120" w:line="276"/>
      </w:pPr>
      <w:r>
        <w:t xml:space="preserve">Early recognition of clinical deterioration is one of the most critical competencies in neonatal nursing. Unlike adults and older children, neonates have limited physiologic reserve and may deteriorate rapidly from apparently stable to life-threatening. The subtle and nonspecific nature of neonatal illness presentation means that experienced clinical assessment is often more valuable than any single laboratory value.</w:t>
      </w:r>
    </w:p>
    <w:p>
      <w:pPr>
        <w:spacing w:after="120" w:line="276"/>
      </w:pPr>
      <w:r>
        <w:t xml:space="preserve">The concept of 'clinical trajectory' is essential: a single set of vital signs, while important, is far less informative than the trend over time. A heart rate of 170 in an infant who has been 140 to 150 all day is more concerning than a heart rate of 170 in an infant who has been 160 to 180 during feeds. The nurse who knows the patient's baseline is uniquely positioned to detect deviation from that baseline.</w:t>
      </w:r>
    </w:p>
    <w:p>
      <w:pPr>
        <w:pStyle w:val="Heading2"/>
      </w:pPr>
      <w:r>
        <w:t xml:space="preserve">19.2 Newborn Early Warning Trigger Tool (NEWTT2)</w:t>
      </w:r>
    </w:p>
    <w:p>
      <w:pPr>
        <w:spacing w:after="120" w:line="276"/>
      </w:pPr>
      <w:r>
        <w:t xml:space="preserve">The NEWTT2 is a structured observation tool using a traffic-light system (green, amber, red) to classify clinical findings and guide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Green (Normal)</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Amber (Concern)</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Red (Urgent)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60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or 20 to 30 at rest</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80 or less than 20 or apnea</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Work of breathing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retractions or nasal flaring</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to severe retractions, grunting, head bobbing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Heart 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to 160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160 to 180 or 80 to 100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180 or less than 80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36.0 to 36.4 or 37.6 to 38.0</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36.0 or greater than 38.0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Color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Pink centrally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Acrocyanosis beyond 24h; mild pallor</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cyanosis; gray; mottled</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Tone and behavior</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Active, responsive, feeding well</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Decreased activity; poor feeding; not settling</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Floppy; unresponsive; inconsolable high-pitched cry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requirement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 air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Supplemental O2 needed to maintain SpO2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or escalating requirement</w:t>
            </w:r>
          </w:p>
        </w:tc>
      </w:tr>
    </w:tbl>
    <w:p>
      <w:pPr>
        <w:spacing w:after="120"/>
      </w:pPr>
    </w:p>
    <w:p>
      <w:pPr>
        <w:spacing w:after="120" w:line="276"/>
      </w:pPr>
      <w:r>
        <w:t xml:space="preserve">NEWTT2 escalation protocol: Any green parameters = routine care. One or more amber parameters = increase observation frequency; notify nurse-in-charge; document assessment. Any red parameter = immediate physician notification; bedside assessment; prepare for intervention.</w:t>
      </w:r>
    </w:p>
    <w:p>
      <w:pPr>
        <w:pStyle w:val="Heading2"/>
      </w:pPr>
      <w:r>
        <w:t xml:space="preserve">19.3 Neonatal Emergency Algorithms</w:t>
      </w:r>
    </w:p>
    <w:p>
      <w:pPr>
        <w:spacing w:after="120" w:line="276"/>
      </w:pPr>
      <w:r>
        <w:t xml:space="preserve">Four neonatal emergencies require immediate recognition and protocol-driven response:</w:t>
      </w:r>
    </w:p>
    <w:p>
      <w:pPr>
        <w:pStyle w:val="Heading3"/>
      </w:pPr>
      <w:r>
        <w:t xml:space="preserve">Tension Pneumothorax</w:t>
      </w:r>
    </w:p>
    <w:p>
      <w:pPr>
        <w:spacing w:after="120" w:line="276"/>
      </w:pPr>
      <w:r>
        <w:t xml:space="preserve">Presentation: Acute deterioration with unilateral absent breath sounds, shifted trachea and cardiac impulse, hypotension, and distended abdomen. Transillumination positive on the affected side (fiber-optic light placed on chest wall shows increased light transmission through air-filled pleural space). Management: Do not wait for CXR if clinical suspicion is high. Needle decompression with 22 to 24 gauge angiocatheter at the 2nd intercostal space, midclavicular line, connected to a 3-way stopcock and syringe. Follow with chest tube placement for ongoing air leak.</w:t>
      </w:r>
    </w:p>
    <w:p>
      <w:pPr>
        <w:pStyle w:val="Heading3"/>
      </w:pPr>
      <w:r>
        <w:t xml:space="preserve">Bilious Emesis</w:t>
      </w:r>
    </w:p>
    <w:p>
      <w:pPr>
        <w:spacing w:after="120" w:line="276"/>
      </w:pPr>
      <w:r>
        <w:t xml:space="preserve">Any green or yellow-green (bilious) emesis in a neonate is a surgical emergency until proven otherwise. The primary concern is malrotation with midgut volvulus, which can progress to complete intestinal necrosis within hours. Management: make NPO immediately, place OG tube to decompress the stomach, establish IV access, obtain surgical consultation urgently, and obtain an upper GI series (the diagnostic study of choice for malrotation). Do not delay surgical consultation for imaging.</w:t>
      </w:r>
    </w:p>
    <w:p>
      <w:pPr>
        <w:pStyle w:val="Heading3"/>
      </w:pPr>
      <w:r>
        <w:t xml:space="preserve">Ductal-Dependent Congenital Heart Disease</w:t>
      </w:r>
    </w:p>
    <w:p>
      <w:pPr>
        <w:spacing w:after="120" w:line="276"/>
      </w:pPr>
      <w:r>
        <w:t xml:space="preserve">Infants with ductal-dependent cardiac lesions (e.g., hypoplastic left heart syndrome, critical coarctation, critical pulmonary stenosis, transposition of the great arteries) may present with acute cardiovascular collapse as the ductus arteriosus closes in the first hours to days of life. Presentation includes: cyanosis unresponsive to supplemental oxygen, poor perfusion with weak pulses, metabolic acidosis, and cardiogenic shock. Management: prostaglandin E1 (PGE1) infusion at 0.05 mcg/kg/min IV to reopen the ductus; anticipate apnea as a side effect (have intubation equipment ready); cardiology and surgical consultation; stabilize for transfer to cardiac center.</w:t>
      </w:r>
    </w:p>
    <w:p>
      <w:pPr>
        <w:pStyle w:val="Heading3"/>
      </w:pPr>
      <w:r>
        <w:t xml:space="preserve">Seizures</w:t>
      </w:r>
    </w:p>
    <w:p>
      <w:pPr>
        <w:spacing w:after="120" w:line="276"/>
      </w:pPr>
      <w:r>
        <w:t xml:space="preserve">Neonatal seizures are a clinical emergency requiring rapid assessment and treatment. First-line pharmacologic treatment is phenobarbital, loading dose 20 mg/kg IV administered over 10 to 15 minutes. If seizures persist, additional phenobarbital boluses of 5 to 10 mg/kg may be given, up to a total loading dose of 40 mg/kg. Second-line options include fosphenytoin (20 mg PE/kg IV), levetiracetam (40 to 60 mg/kg IV), or midazolam infusion. Simultaneously, evaluate for treatable causes: check glucose (treat hypoglycemia immediately), check calcium and magnesium, obtain blood gas, and perform a sepsis evaluation.</w:t>
      </w:r>
    </w:p>
    <w:p>
      <w:pPr>
        <w:pStyle w:val="Heading1"/>
      </w:pPr>
      <w:r>
        <w:t xml:space="preserve">Chapter 20: Quality and Safety — Extended Coverage</w:t>
      </w:r>
    </w:p>
    <w:p>
      <w:pPr>
        <w:pStyle w:val="Heading2"/>
      </w:pPr>
      <w:r>
        <w:t xml:space="preserve">20.1 Medication Safety in the Newborn Nursery</w:t>
      </w:r>
    </w:p>
    <w:p>
      <w:pPr>
        <w:spacing w:after="120" w:line="276"/>
      </w:pPr>
      <w:r>
        <w:t xml:space="preserve">Neonatal medication errors are among the most common and most harmful errors in healthcare. Contributing factors include: the need for weight-based dosing calculations (often involving decimal points and small numbers), the narrow therapeutic windows for many neonatal medications, the need for dilution of concentrated adult formulations, the use of pumps at very low infusion rates, and the cognitive load on nurses caring for multiple patients.</w:t>
      </w:r>
    </w:p>
    <w:p>
      <w:pPr>
        <w:spacing w:after="120" w:line="276"/>
      </w:pPr>
      <w:r>
        <w:t xml:space="preserve">Safety strategies include: independent double-check for all high-alert medications (insulin, heparin, vasopressors, prostaglandin, narcotics, potassium chloride); smart pump technology with neonatal drug libraries; barcode medication administration (BCMA); standardized concentration protocols (e.g., standard dopamine concentration for all neonatal patients); limiting available concentrations in automated dispensing cabinets; and pharmacist verification of all neonatal medication orders before administration.</w:t>
      </w:r>
    </w:p>
    <w:p>
      <w:pPr>
        <w:pStyle w:val="Heading2"/>
      </w:pPr>
      <w:r>
        <w:t xml:space="preserve">20.2 Patient Identification and Infant Security</w:t>
      </w:r>
    </w:p>
    <w:p>
      <w:pPr>
        <w:spacing w:after="120" w:line="276"/>
      </w:pPr>
      <w:r>
        <w:t xml:space="preserve">Two patient identifiers (name and date of birth or medical record number) must be verified before every medication administration, procedure, or specimen collection. Matching identification bands on the infant, mother, and support person should be verified at every care transition. Infant security systems (electronic tags, locked units, staff education on abduction prevention) are essential components of newborn safety.</w:t>
      </w:r>
    </w:p>
    <w:p>
      <w:pPr>
        <w:pStyle w:val="Heading2"/>
      </w:pPr>
      <w:r>
        <w:t xml:space="preserve">20.3 Handoff Communication</w:t>
      </w:r>
    </w:p>
    <w:p>
      <w:pPr>
        <w:spacing w:after="120" w:line="276"/>
      </w:pPr>
      <w:r>
        <w:t xml:space="preserve">Standardized handoff communication using SBAR or a similar structured framework is critical at every transition of care: shift change, unit transfer, transport, and discharge. The handoff should include: patient identification, diagnosis, current clinical status, active problems and plans, pending labs or studies, parent communication and education status, and any safety concerns. Bedside handoff at shift change (performed at the patient's bedside with outgoing and incoming nurses) allows visual assessment and promotes accuracy.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Comprehensive Newborn Nursery Care: Volume II Extended Clinical Domains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2026-03-15T07:35:30.497Z</dcterms:created>
  <dcterms:modified xsi:type="dcterms:W3CDTF">2026-03-15T07:35:30.498Z</dcterms:modified>
</cp:coreProperties>
</file>

<file path=docProps/custom.xml><?xml version="1.0" encoding="utf-8"?>
<Properties xmlns="http://schemas.openxmlformats.org/officeDocument/2006/custom-properties" xmlns:vt="http://schemas.openxmlformats.org/officeDocument/2006/docPropsVTypes"/>
</file>