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52"/>
          <w:szCs w:val="52"/>
        </w:rPr>
        <w:t xml:space="preserve">Comprehensive Newborn Nursing Education Guide</w:t>
      </w:r>
    </w:p>
    <w:p>
      <w:pPr>
        <w:spacing w:after="100"/>
        <w:jc w:val="center"/>
      </w:pPr>
      <w:r>
        <w:rPr>
          <w:rFonts w:ascii="Arial" w:cs="Arial" w:eastAsia="Arial" w:hAnsi="Arial"/>
          <w:color w:val="1A7A6D"/>
          <w:sz w:val="36"/>
          <w:szCs w:val="36"/>
        </w:rPr>
        <w:t xml:space="preserve">From Well Baby to Critical Care</w:t>
      </w:r>
    </w:p>
    <w:p>
      <w:pPr>
        <w:spacing w:after="200"/>
        <w:jc w:val="center"/>
      </w:pPr>
      <w:r>
        <w:rPr>
          <w:rFonts w:ascii="Arial" w:cs="Arial" w:eastAsia="Arial" w:hAnsi="Arial"/>
          <w:i/>
          <w:iCs/>
          <w:sz w:val="24"/>
          <w:szCs w:val="24"/>
        </w:rPr>
        <w:t xml:space="preserve">For New Graduate Nurses | Infants 34 Weeks Gestational Age and Above</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Well Baby Care Fundamentals</w:t>
      </w:r>
    </w:p>
    <w:p>
      <w:pPr>
        <w:pStyle w:val="Heading2"/>
      </w:pPr>
      <w:r>
        <w:t xml:space="preserve">Chapter 1: Routine Newborn Assessment</w:t>
      </w:r>
    </w:p>
    <w:p>
      <w:pPr>
        <w:spacing w:after="120" w:line="276"/>
      </w:pPr>
      <w:r>
        <w:t xml:space="preserve">The routine newborn assessment encompasses a systematic evaluation of the infant from admission through discharge. For the new graduate nurse, developing a consistent and thorough assessment routine is the foundation upon which all clinical decision-making rests. The assessment begins with a review of the maternal and birth history, which provides essential context for interpreting neonatal findings.</w:t>
      </w:r>
    </w:p>
    <w:p>
      <w:pPr>
        <w:spacing w:after="120" w:line="276"/>
      </w:pPr>
      <w:r>
        <w:t xml:space="preserve">Key maternal history elements include: maternal age, blood type, and Rh status; prenatal care adequacy and screening results; Group B Streptococcus (GBS) status and adequacy of intrapartum antibiotic prophylaxis; gestational diabetes screening results; substance use history; medications taken during pregnancy; results of prenatal ultrasounds; duration of rupture of membranes; presence of maternal fever or signs of chorioamnionitis; and mode and indications for delivery.</w:t>
      </w:r>
    </w:p>
    <w:p>
      <w:pPr>
        <w:spacing w:after="120" w:line="276"/>
      </w:pPr>
      <w:r>
        <w:t xml:space="preserve">The birth history documents: gestational age at delivery; type of delivery and any complications; need for and extent of resuscitation; Apgar scores at 1 and 5 minutes; birth weight, length, and head circumference with percentiles; cord gas results if obtained; and any abnormalities noted at delivery.</w:t>
      </w:r>
    </w:p>
    <w:p>
      <w:pPr>
        <w:pStyle w:val="Heading3"/>
      </w:pPr>
      <w:r>
        <w:t xml:space="preserve">1.1 Admission Assessment Workflow</w:t>
      </w:r>
    </w:p>
    <w:p>
      <w:pPr>
        <w:spacing w:after="120" w:line="276"/>
      </w:pPr>
      <w:r>
        <w:t xml:space="preserve">Within the first 2 hours of life, the nurse should complete: verification of identification bands and matching to maternal records; initial vital signs including heart rate, respiratory rate, axillary temperature, and weight; assessment of airway patency and respiratory status; assessment of color and perfusion; gestational age assessment if indicated; initiation of skin-to-skin contact and first breastfeeding attempt; administration of vitamin K, erythromycin eye prophylaxis, and hepatitis B vaccine per institutional protocol; and documentation of the initial assessment.</w:t>
      </w:r>
    </w:p>
    <w:p>
      <w:pPr>
        <w:pStyle w:val="Heading2"/>
      </w:pPr>
      <w:r>
        <w:t xml:space="preserve">Chapter 2: Vital Signs Mastery</w:t>
      </w:r>
    </w:p>
    <w:p>
      <w:pPr>
        <w:spacing w:after="120" w:line="276"/>
      </w:pPr>
      <w:r>
        <w:t xml:space="preserve">Vital sign assessment in the neonate requires precision, patience, and an understanding of the normal variability in neonatal physiologic parameters. The new graduate nurse must develop the discipline to count heart rate and respiratory rate for a full 60 seconds, as shorter counting periods amplify the effect of the normal irregularity of neonatal heart rate and breathing.</w:t>
      </w:r>
    </w:p>
    <w:p>
      <w:pPr>
        <w:pStyle w:val="Heading3"/>
      </w:pPr>
      <w:r>
        <w:t xml:space="preserve">2.1 Heart Rate</w:t>
      </w:r>
    </w:p>
    <w:p>
      <w:pPr>
        <w:spacing w:after="120" w:line="276"/>
      </w:pPr>
      <w:r>
        <w:t xml:space="preserve">The neonatal heart rate is assessed by auscultation at the cardiac apex (left 4th intercostal space, midclavicular line) for a full 60 seconds. Normal resting heart rate for a term newborn is 100 to 160 beats per minute, with transient elevations to 180 to 190 during crying or feeding and decreases to 80 to 100 during deep sleep. The heart rate should be regular with sinus arrhythmia (respiratory variation). Persistent abnormalities require investigation.</w:t>
      </w:r>
    </w:p>
    <w:p>
      <w:pPr>
        <w:pStyle w:val="Heading3"/>
      </w:pPr>
      <w:r>
        <w:t xml:space="preserve">2.2 Respiratory Rate</w:t>
      </w:r>
    </w:p>
    <w:p>
      <w:pPr>
        <w:spacing w:after="120" w:line="276"/>
      </w:pPr>
      <w:r>
        <w:t xml:space="preserve">Neonatal breathing is often irregular, with periods of shallow rapid breathing alternating with deeper breaths. Count respirations for a full 60 seconds by observing abdominal excursion (neonates are diaphragmatic breathers). Normal is 30 to 60 breaths per minute. Persistent tachypnea (rate above 60 at rest) is one of the earliest and most sensitive indicators of neonatal illness.</w:t>
      </w:r>
    </w:p>
    <w:p>
      <w:pPr>
        <w:pStyle w:val="Heading3"/>
      </w:pPr>
      <w:r>
        <w:t xml:space="preserve">2.3 Temperature</w:t>
      </w:r>
    </w:p>
    <w:p>
      <w:pPr>
        <w:spacing w:after="120" w:line="276"/>
      </w:pPr>
      <w:r>
        <w:t xml:space="preserve">Axillary temperature is the standard in neonates. Target range is 36.5 to 37.5 degrees Celsius. Temperature should be assessed every 30 minutes until stable after birth, then every 3 to 4 hours for well newborns. Always correlate temperature with the environment before attributing abnormalities to illness.</w:t>
      </w:r>
    </w:p>
    <w:p>
      <w:pPr>
        <w:pStyle w:val="Heading2"/>
      </w:pPr>
      <w:r>
        <w:t xml:space="preserve">Chapter 3: Physical Examination Skills</w:t>
      </w:r>
    </w:p>
    <w:p>
      <w:pPr>
        <w:spacing w:after="120" w:line="276"/>
      </w:pPr>
      <w:r>
        <w:t xml:space="preserve">The complete newborn physical examination should be performed within the first 24 hours by the provider, but the nurse performs focused assessments continuously. Key nursing examination elements include:</w:t>
      </w:r>
    </w:p>
    <w:p>
      <w:pPr>
        <w:pStyle w:val="ListParagraph"/>
        <w:numPr>
          <w:ilvl w:val="0"/>
          <w:numId w:val="2"/>
        </w:numPr>
        <w:spacing w:after="60" w:line="260"/>
      </w:pPr>
      <w:r>
        <w:t xml:space="preserve">Head: Palpate fontanelles (anterior should be soft and flat; posterior should be fingertip-sized), assess sutures, note molding or swelling</w:t>
      </w:r>
    </w:p>
    <w:p>
      <w:pPr>
        <w:pStyle w:val="ListParagraph"/>
        <w:numPr>
          <w:ilvl w:val="0"/>
          <w:numId w:val="2"/>
        </w:numPr>
        <w:spacing w:after="60" w:line="260"/>
      </w:pPr>
      <w:r>
        <w:t xml:space="preserve">Eyes: Assess for red reflex, symmetry, discharge</w:t>
      </w:r>
    </w:p>
    <w:p>
      <w:pPr>
        <w:pStyle w:val="ListParagraph"/>
        <w:numPr>
          <w:ilvl w:val="0"/>
          <w:numId w:val="2"/>
        </w:numPr>
        <w:spacing w:after="60" w:line="260"/>
      </w:pPr>
      <w:r>
        <w:t xml:space="preserve">Ears: Position relative to outer canthus, presence of tags or pits</w:t>
      </w:r>
    </w:p>
    <w:p>
      <w:pPr>
        <w:pStyle w:val="ListParagraph"/>
        <w:numPr>
          <w:ilvl w:val="0"/>
          <w:numId w:val="2"/>
        </w:numPr>
        <w:spacing w:after="60" w:line="260"/>
      </w:pPr>
      <w:r>
        <w:t xml:space="preserve">Mouth: Palate integrity (visual and palpation), frenulum assessment</w:t>
      </w:r>
    </w:p>
    <w:p>
      <w:pPr>
        <w:pStyle w:val="ListParagraph"/>
        <w:numPr>
          <w:ilvl w:val="0"/>
          <w:numId w:val="2"/>
        </w:numPr>
        <w:spacing w:after="60" w:line="260"/>
      </w:pPr>
      <w:r>
        <w:t xml:space="preserve">Chest: Symmetry, breath sounds bilaterally, heart sounds, clavicles (crepitus or asymmetric Moro suggests fracture)</w:t>
      </w:r>
    </w:p>
    <w:p>
      <w:pPr>
        <w:pStyle w:val="ListParagraph"/>
        <w:numPr>
          <w:ilvl w:val="0"/>
          <w:numId w:val="2"/>
        </w:numPr>
        <w:spacing w:after="60" w:line="260"/>
      </w:pPr>
      <w:r>
        <w:t xml:space="preserve">Abdomen: Soft, non-distended; bowel sounds present; umbilical cord (3 vessels); no masses</w:t>
      </w:r>
    </w:p>
    <w:p>
      <w:pPr>
        <w:pStyle w:val="ListParagraph"/>
        <w:numPr>
          <w:ilvl w:val="0"/>
          <w:numId w:val="2"/>
        </w:numPr>
        <w:spacing w:after="60" w:line="260"/>
      </w:pPr>
      <w:r>
        <w:t xml:space="preserve">Genitalia: Appropriate for sex and gestational age; testes descended bilaterally in males; patent anus</w:t>
      </w:r>
    </w:p>
    <w:p>
      <w:pPr>
        <w:pStyle w:val="ListParagraph"/>
        <w:numPr>
          <w:ilvl w:val="0"/>
          <w:numId w:val="2"/>
        </w:numPr>
        <w:spacing w:after="60" w:line="260"/>
      </w:pPr>
      <w:r>
        <w:t xml:space="preserve">Extremities: Symmetric movement, hip stability (Ortolani and Barlow maneuvers), digits (count, webbing)</w:t>
      </w:r>
    </w:p>
    <w:p>
      <w:pPr>
        <w:pStyle w:val="ListParagraph"/>
        <w:numPr>
          <w:ilvl w:val="0"/>
          <w:numId w:val="2"/>
        </w:numPr>
        <w:spacing w:after="60" w:line="260"/>
      </w:pPr>
      <w:r>
        <w:t xml:space="preserve">Skin: Color, rashes, birthmarks, integrity; assess for jaundice (cephalocaudal progression)</w:t>
      </w:r>
    </w:p>
    <w:p>
      <w:pPr>
        <w:pStyle w:val="ListParagraph"/>
        <w:numPr>
          <w:ilvl w:val="0"/>
          <w:numId w:val="2"/>
        </w:numPr>
        <w:spacing w:after="60" w:line="260"/>
      </w:pPr>
      <w:r>
        <w:t xml:space="preserve">Neurologic: Tone, reflexes (Moro, rooting, sucking, grasp), behavioral state</w:t>
      </w:r>
    </w:p>
    <w:p>
      <w:r>
        <w:br w:type="page"/>
      </w:r>
    </w:p>
    <w:p>
      <w:pPr>
        <w:pStyle w:val="Heading2"/>
      </w:pPr>
      <w:r>
        <w:t xml:space="preserve">Chapter 4: Routine Care Procedures</w:t>
      </w:r>
    </w:p>
    <w:p>
      <w:pPr>
        <w:pStyle w:val="Heading3"/>
      </w:pPr>
      <w:r>
        <w:t xml:space="preserve">4.1 Bathing</w:t>
      </w:r>
    </w:p>
    <w:p>
      <w:pPr>
        <w:spacing w:after="120" w:line="276"/>
      </w:pPr>
      <w:r>
        <w:t xml:space="preserve">Delay the first bath at least 12 to 24 hours per AAP recommendation. Sponge baths are used until the umbilical cord separates. Water temperature 37 to 38 degrees Celsius. Wash from cleanest to dirtiest areas (face first, diaper area last). Pat dry immediately and maintain skin-to-skin or swaddle to prevent heat loss. Use pH-neutral cleansers sparingly.</w:t>
      </w:r>
    </w:p>
    <w:p>
      <w:pPr>
        <w:pStyle w:val="Heading3"/>
      </w:pPr>
      <w:r>
        <w:t xml:space="preserve">4.2 Cord Care</w:t>
      </w:r>
    </w:p>
    <w:p>
      <w:pPr>
        <w:spacing w:after="120" w:line="276"/>
      </w:pPr>
      <w:r>
        <w:t xml:space="preserve">Dry cord care is recommended in resource-rich settings. Keep the cord clean and dry; fold the diaper below the stump. Teach parents to recognize signs of omphalitis: redness, warmth, swelling, or discharge at the base of the cord. Normal cord separation occurs at 7 to 21 days. A small amount of dried blood or clear discharge at separation is normal.</w:t>
      </w:r>
    </w:p>
    <w:p>
      <w:pPr>
        <w:pStyle w:val="Heading3"/>
      </w:pPr>
      <w:r>
        <w:t xml:space="preserve">4.3 Circumcision Care</w:t>
      </w:r>
    </w:p>
    <w:p>
      <w:pPr>
        <w:spacing w:after="120" w:line="276"/>
      </w:pPr>
      <w:r>
        <w:t xml:space="preserve">If circumcision is performed (parental choice after informed consent), post-procedure care includes: apply petroleum jelly gauze to the site for the first 24 to 48 hours to prevent adhesion to the diaper; assess for bleeding (small amount of oozing is normal); monitor for signs of infection; do not forcefully retract any remaining foreskin. The site typically heals within 7 to 10 days.</w:t>
      </w:r>
    </w:p>
    <w:p>
      <w:pPr>
        <w:pStyle w:val="Heading2"/>
      </w:pPr>
      <w:r>
        <w:t xml:space="preserve">Chapter 5: Parent Education</w:t>
      </w:r>
    </w:p>
    <w:p>
      <w:pPr>
        <w:spacing w:after="120" w:line="276"/>
      </w:pPr>
      <w:r>
        <w:t xml:space="preserve">Parent education is most effective when delivered through a combination of verbal instruction, written materials, demonstration, and return demonstration. Key topics with teaching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Topic</w:t>
            </w:r>
          </w:p>
        </w:tc>
        <w:tc>
          <w:tcPr>
            <w:tcW w:type="dxa" w:w="4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Teaching Points</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Assess Understanding By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Safe Sleep</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Back to sleep, firm flat surface, no loose bedding, room sharing without bed sharing, pacifier after breastfeeding established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Parent verbalizes ABCs: Alone, on Back, in Crib</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Feeding</w:t>
            </w:r>
          </w:p>
        </w:tc>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on demand every 2 to 3 hours; 8 to 12 feedings per day; adequate latch; expected output (1 wet diaper per day of life through day 4, then 6 or more per day)</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Parent demonstrates feeding and documents output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Jaundice</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skin color in natural light; feeding adequacy prevents severe jaundice; follow-up bilirubin check if recommended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Parent recognizes yellow color progression and knows when to call</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Warning Signs</w:t>
            </w:r>
          </w:p>
        </w:tc>
        <w:tc>
          <w:tcPr>
            <w:tcW w:type="dxa" w:w="4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Fever greater than 100.4F, poor feeding, excessive jaundice, breathing difficulty, lethargy or irritability</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Parent lists 3 or more signs requiring call to provider</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Car Seat</w:t>
            </w:r>
          </w:p>
        </w:tc>
        <w:tc>
          <w:tcPr>
            <w:tcW w:type="dxa" w:w="4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Rear-facing in back seat; harness snug at shoulders; chest clip at armpit level</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Return demonstration of proper placement</w:t>
            </w:r>
          </w:p>
        </w:tc>
      </w:tr>
    </w:tbl>
    <w:p>
      <w:r>
        <w:br w:type="page"/>
      </w:r>
    </w:p>
    <w:p>
      <w:pPr>
        <w:pStyle w:val="Heading1"/>
      </w:pPr>
      <w:r>
        <w:t xml:space="preserve">Part II: High-Risk Recognition</w:t>
      </w:r>
    </w:p>
    <w:p>
      <w:pPr>
        <w:pStyle w:val="Heading2"/>
      </w:pPr>
      <w:r>
        <w:t xml:space="preserve">Chapter 7: Maternal Risk Factors and Neonatal Implications</w:t>
      </w:r>
    </w:p>
    <w:p>
      <w:pPr>
        <w:spacing w:after="120" w:line="276"/>
      </w:pPr>
      <w:r>
        <w:t xml:space="preserve">The maternal history provides critical context for anticipating neonatal complications. The new graduate nurse should review the maternal chart thoroughly and understand the neonatal implications of common maternal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Maternal Condition</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Neonatal Risk</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Nursing Assessment Priority</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Gestational or pregestational diabetes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Hypoglycemia, macrosomia, birth injury, polycythemia, RDS, cardiac hypertrophy</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 screening per protocol starting 30 minutes after first feed; respiratory assessment; feeding support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Hypertension / preeclampsia</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SGA, prematurity, thrombocytopenia, neutropenia</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Growth assessment; platelet monitoring if indicated; feeding support for SGA</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Chorioamnionitis / maternal fever</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risk (EOS), pneumonia</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Enhanced vital signs monitoring; sepsis workup per protocol; temperature stability</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GBS positive without adequate IAP</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GBS sepsis risk</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Enhanced observation or sepsis evaluation per institutional protocol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ROM greater than 18 hours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sepsis risk</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Enhanced vital signs q4h for 24 to 48 hours; assess for clinical signs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Substance use (opioids)</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NAS/NOWS, prematurity, SGA, SIDS risk</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 scoring or ESC assessment starting 2 to 4 hours after birth; non-pharmacologic interventions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Substance use (alcohol)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Fetal alcohol spectrum disorder</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Dysmorphic features assessment; feeding difficulties; neurobehavioral assessment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Maternal SSRIs</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Transient neonatal adaptation syndrome (jitteriness, tachypnea, poor feeding)</w:t>
            </w:r>
          </w:p>
        </w:tc>
        <w:tc>
          <w:tcPr>
            <w:tcW w:type="dxa" w:w="41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for symptoms in first 48 hours; usually self-resolving</w:t>
            </w:r>
          </w:p>
        </w:tc>
      </w:tr>
    </w:tbl>
    <w:p>
      <w:r>
        <w:br w:type="page"/>
      </w:r>
    </w:p>
    <w:p>
      <w:pPr>
        <w:pStyle w:val="Heading2"/>
      </w:pPr>
      <w:r>
        <w:t xml:space="preserve">Chapter 8: Chorioamnionitis and Maternal Fever</w:t>
      </w:r>
    </w:p>
    <w:p>
      <w:pPr>
        <w:spacing w:after="120" w:line="276"/>
      </w:pPr>
      <w:r>
        <w:t xml:space="preserve">Chorioamnionitis (now often termed intraamniotic infection or triple I) is diagnosed by the presence of maternal fever (38.0 degrees Celsius or higher) plus one or more of the following: maternal leukocytosis (greater than 15,000), purulent amniotic fluid, fetal tachycardia (baseline greater than 160 bpm), or uterine tenderness. Isolated maternal fever may result from epidural analgesia and does not always indicate infection.</w:t>
      </w:r>
    </w:p>
    <w:p>
      <w:pPr>
        <w:spacing w:after="120" w:line="276"/>
      </w:pPr>
      <w:r>
        <w:t xml:space="preserve">Neonates born to mothers with confirmed or suspected chorioamnionitis require close assessment because they are at significantly increased risk for early-onset sepsis. The management approach depends on the infant's clinical appearance and the institutional protocol (categorical approach, EOS Calculator, or enhanced observation). At a minimum, these infants require enhanced vital signs monitoring for at least 24 to 48 hours and a low threshold for full sepsis evaluation and empiric antibiotics if any clinical signs of illness develop.</w:t>
      </w:r>
    </w:p>
    <w:p>
      <w:pPr>
        <w:spacing w:after="120" w:line="276"/>
      </w:pPr>
      <w:r>
        <w:t xml:space="preserve">Nursing assessment focuses on the following key indicators: temperature instability (both hypothermia and hyperthermia), respiratory status (tachypnea, increased work of breathing, apnea), cardiovascular status (tachycardia, poor perfusion, hypotension), feeding behavior (poor feeding, feeding intolerance), activity level (lethargy, irritability, decreased responsiveness), and skin color (pallor, mottling, jaundice).</w:t>
      </w:r>
    </w:p>
    <w:p>
      <w:pPr>
        <w:pStyle w:val="Heading2"/>
      </w:pPr>
      <w:r>
        <w:t xml:space="preserve">Chapter 9: GBS Exposure</w:t>
      </w:r>
    </w:p>
    <w:p>
      <w:pPr>
        <w:spacing w:after="120" w:line="276"/>
      </w:pPr>
      <w:r>
        <w:t xml:space="preserve">Group B Streptococcus remains a leading cause of early-onset neonatal sepsis. Universal maternal screening is performed at 36 to 37 weeks of gestation. Adequate intrapartum antibiotic prophylaxis (IAP) is defined as penicillin, ampicillin, or cefazolin administered IV at least 4 hours before delivery. Clindamycin or vancomycin are used for penicillin-allergic mothers but may be considered inadequate IAP depending on institutional protocol.</w:t>
      </w:r>
    </w:p>
    <w:p>
      <w:pPr>
        <w:spacing w:after="120" w:line="276"/>
      </w:pPr>
      <w:r>
        <w:t xml:space="preserve">For well-appearing infants born to GBS-positive mothers with inadequate IAP: the categorical approach recommends limited evaluation (CBC, blood culture) and 48-hour observation; the EOS Calculator may recommend observation alone if the calculated risk is low; enhanced serial observation every 4 hours for 24 to 48 hours is an alternative. The critical nursing role is vigilant assessment for any clinical signs of illness, which may be subtle in the first hours of life.</w:t>
      </w:r>
    </w:p>
    <w:p>
      <w:r>
        <w:br w:type="page"/>
      </w:r>
    </w:p>
    <w:p>
      <w:pPr>
        <w:pStyle w:val="Heading1"/>
      </w:pPr>
      <w:r>
        <w:t xml:space="preserve">Part III: Critically Ill Newborn Assessment</w:t>
      </w:r>
    </w:p>
    <w:p>
      <w:pPr>
        <w:pStyle w:val="Heading2"/>
      </w:pPr>
      <w:r>
        <w:t xml:space="preserve">Chapter 13: Respiratory Distress Assessment</w:t>
      </w:r>
    </w:p>
    <w:p>
      <w:pPr>
        <w:spacing w:after="120" w:line="276"/>
      </w:pPr>
      <w:r>
        <w:t xml:space="preserve">Respiratory distress is the most common reason for NICU admission. The nurse must be able to rapidly assess the severity of distress and recognize deterioration. Assessment includes respiratory rate, work of breathing (retractions, nasal flaring, grunting), oxygen requirement, breath sounds, and chest symmetry. The Silverman-Anderson Score provides standardized severity grading.</w:t>
      </w:r>
    </w:p>
    <w:p>
      <w:pPr>
        <w:spacing w:after="120" w:line="276"/>
      </w:pPr>
      <w:r>
        <w:t xml:space="preserve">Critical distinctions the nurse must recognize: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Significance</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Grunting</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Infant is auto-PEEPing to maintain FRC; indicates alveolar collapse</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Escalate support; CPAP if not already initiated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Nasal flaring</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airway resistance; attempt to reduce resistance by dilating nares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Monitor closely; may need escalation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Intercostal retractions</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Generating excessive negative intrathoracic pressure to move air</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Severity guides intervention level</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Xiphoid retractions</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More severe than intercostal alone; diaphragmatic effort</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Consider escalation to CPAP or ventilation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Head bobbing</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Accessory muscle use of sternocleidomastoid; severe distress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Urgent escalation; prepare for intubation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See-saw breathing</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Paradoxical chest and abdominal movement; impending failure</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Immediate intervention; likely needs intubation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with bradycardia</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or obstructive apnea; respiratory failure if prolonged</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Stimulate; PPV if does not resolve; evaluate cause</w:t>
            </w:r>
          </w:p>
        </w:tc>
      </w:tr>
    </w:tbl>
    <w:p>
      <w:pPr>
        <w:spacing w:after="120"/>
      </w:pPr>
    </w:p>
    <w:p>
      <w:pPr>
        <w:pStyle w:val="Heading2"/>
      </w:pPr>
      <w:r>
        <w:t xml:space="preserve">Chapter 14: Cardiovascular Assessment in Critical Illness</w:t>
      </w:r>
    </w:p>
    <w:p>
      <w:pPr>
        <w:spacing w:after="120" w:line="276"/>
      </w:pPr>
      <w:r>
        <w:t xml:space="preserve">Cardiovascular assessment in the critically ill neonate focuses on perfusion, preload, and afterload. The goal is to identify shock (inadequate tissue oxygen delivery) before it becomes irreversible. Neonatal shock may be hypovolemic (hemorrhage, dehydration), cardiogenic (CHD, myocarditis, arrhythmia), distributive (sepsis), or obstructive (tension pneumothorax, cardiac tamponade).</w:t>
      </w:r>
    </w:p>
    <w:p>
      <w:pPr>
        <w:spacing w:after="120" w:line="276"/>
      </w:pPr>
      <w:r>
        <w:t xml:space="preserve">Signs of cardiovascular compromise include: tachycardia (early compensatory sign), hypotension (late sign in neonates; blood pressure may be maintained until decompensation), prolonged capillary refill (greater than 3 seconds), mottling or pallor, weak pulses, decreased urine output (less than 1 mL/kg/hour), metabolic acidosis (base deficit greater than negative 5), and altered level of consciousness.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CRITICAL CONCEPT</w:t>
            </w:r>
          </w:p>
          <w:p>
            <w:pPr>
              <w:spacing w:after="0"/>
            </w:pPr>
            <w:r>
              <w:rPr>
                <w:sz w:val="20"/>
                <w:szCs w:val="20"/>
              </w:rPr>
              <w:t xml:space="preserve">In neonates, blood pressure is a LATE indicator of cardiovascular compromise. By the time hypotension develops, the infant may have lost significant compensatory reserve. Tachycardia, poor perfusion, prolonged capillary refill, and decreased urine output are earlier and more reliable indicators of hemodynamic instability.</w:t>
            </w:r>
          </w:p>
        </w:tc>
      </w:tr>
    </w:tbl>
    <w:p>
      <w:pPr>
        <w:pStyle w:val="Heading2"/>
      </w:pPr>
      <w:r>
        <w:t xml:space="preserve">Chapter 15: Hypoglycemia Management</w:t>
      </w:r>
    </w:p>
    <w:p>
      <w:pPr>
        <w:spacing w:after="120" w:line="276"/>
      </w:pPr>
      <w:r>
        <w:t xml:space="preserve">Refer to the comprehensive hypoglycemia management algorithm detailed in the Level I and Level II Care Pathway (Document 05). The key points for new graduate nurses include understanding the time-based thresholds, recognizing that symptoms of neonatal hypoglycemia are nonspecific (jitteriness, poor feeding, lethargy, tachypnea, apnea, seizures, and hypothermia), and mastering the GIR calculation for IV glucose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Time Period</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Action Threshold</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 to 4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25 mg/dL</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 2 mL/kg IV push plus infusion at 80 mL/kg/day</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 to 4 hours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 to 40 mg/dL</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plus dextrose gel 0.5 mL/kg buccal; recheck in 30 to 60 minutes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24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35 mg/dL</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 2 mL/kg IV push plus infusion</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 to 24 hours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35 to 45 mg/dL</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and recheck; IV if persistent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48 hours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50 mg/dL persistent</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Endocrine evaluation for hyperinsulinism</w:t>
            </w:r>
          </w:p>
        </w:tc>
      </w:tr>
    </w:tbl>
    <w:p>
      <w:r>
        <w:br w:type="page"/>
      </w:r>
    </w:p>
    <w:p>
      <w:pPr>
        <w:pStyle w:val="Heading1"/>
      </w:pPr>
      <w:r>
        <w:t xml:space="preserve">Part IV: Communication and Clinical Decision-Making</w:t>
      </w:r>
    </w:p>
    <w:p>
      <w:pPr>
        <w:pStyle w:val="Heading2"/>
      </w:pPr>
      <w:r>
        <w:t xml:space="preserve">Chapter 19: Physician Notification Criteria</w:t>
      </w:r>
    </w:p>
    <w:p>
      <w:pPr>
        <w:spacing w:after="120" w:line="276"/>
      </w:pPr>
      <w:r>
        <w:t xml:space="preserve">Knowing when to call the physician is one of the most important clinical judgment skills for the new graduate nurse. The following criteria represent findings that require notification. The urgency depends on the severity and clinical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Immediate Notification (STAT)</w:t>
            </w:r>
          </w:p>
        </w:tc>
        <w:tc>
          <w:tcPr>
            <w:tcW w:type="dxa" w:w="4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Urgent Assessment (within 30 minutes)</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Heart Rate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80 or greater than 200 bpm sustained</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100 or greater than 180 bpm at rest</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Respiratory Rate</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80/min sustained or apnea greater than 20 seconds</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Greater than 60/min persistent at rest</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35.5 degrees C or greater than 38.0 degrees C</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36.0 degrees C or greater than 37.5 degrees C</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SpO2</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85 percent</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90 percent on room air or requiring FiO2 greater than 0.40</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Glucose</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Less than 25 mg/dL (0 to 4h) or less than 35 (4 to 24h)</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25 to 45 mg/dL range despite intervention</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Neurologic</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Seizure activity or bulging fontanelle</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Lethargy, hypotonia, persistent irritability</w:t>
            </w:r>
          </w:p>
        </w:tc>
      </w:tr>
      <w:tr>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w:t>
            </w:r>
          </w:p>
        </w:tc>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Bilious emesis</w:t>
            </w:r>
          </w:p>
        </w:tc>
        <w:tc>
          <w:tcPr>
            <w:tcW w:type="dxa" w:w="4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emesis, abdominal distension, absent stool by 48 hours</w:t>
            </w:r>
          </w:p>
        </w:tc>
      </w:tr>
      <w:tr>
        <w:tc>
          <w:tcPr>
            <w:tcW w:type="dxa" w:w="1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Color</w:t>
            </w:r>
          </w:p>
        </w:tc>
        <w:tc>
          <w:tcPr>
            <w:tcW w:type="dxa" w:w="3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cyanosis, diffuse pallor</w:t>
            </w:r>
          </w:p>
        </w:tc>
        <w:tc>
          <w:tcPr>
            <w:tcW w:type="dxa" w:w="4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Persistent mottling, progressive jaundice</w:t>
            </w:r>
          </w:p>
        </w:tc>
      </w:tr>
    </w:tbl>
    <w:p>
      <w:pPr>
        <w:spacing w:after="120"/>
      </w:pPr>
    </w:p>
    <w:p>
      <w:pPr>
        <w:pStyle w:val="Heading2"/>
      </w:pPr>
      <w:r>
        <w:t xml:space="preserve">Chapter 20: SBAR Communication</w:t>
      </w:r>
    </w:p>
    <w:p>
      <w:pPr>
        <w:spacing w:after="120" w:line="276"/>
      </w:pPr>
      <w:r>
        <w:t xml:space="preserve">SBAR (Situation, Background, Assessment, Recommendation) provides a structured framework for communicating clinical concerns to physicians and other team members. It ensures that critical information is communicated concisely and completely.</w:t>
      </w:r>
    </w:p>
    <w:p>
      <w:pPr>
        <w:spacing w:after="120" w:line="276"/>
      </w:pPr>
      <w:r>
        <w:t xml:space="preserve">Example neonatal SBAR for respiratory distress: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SBAR EXAMPLE</w:t>
            </w:r>
          </w:p>
          <w:p>
            <w:pPr>
              <w:spacing w:after="0"/>
            </w:pPr>
            <w:r>
              <w:rPr>
                <w:sz w:val="20"/>
                <w:szCs w:val="20"/>
              </w:rPr>
              <w:t xml:space="preserve">SITUATION: I am calling about Baby Smith, a 35-week male, now 6 hours old. I am concerned about increasing respiratory distress.
BACKGROUND: Born via SVD to a 28-year-old G2P2, maternal GBS positive with adequate IAP. Apgars 7 and 9. Birth weight 2,450 grams. Initial transition was unremarkable. He was on room air until 1 hour ago.
ASSESSMENT: Current vitals: HR 168, RR 72, SpO2 91 percent on room air, temperature 36.8 degrees C. Silverman-Anderson score is 5 with moderate retractions, nasal flaring, and audible grunt with stethoscope. Breath sounds are diminished bilaterally with fine crackles. He has not fed well in the last 2 hours.
RECOMMENDATION: I think this baby needs supplemental oxygen and a chest X-ray. I would like orders for oxygen to maintain SpO2 90 to 95 percent, continuous cardiorespiratory monitoring, and your assessment at bedside.</w:t>
            </w:r>
          </w:p>
        </w:tc>
      </w:tr>
    </w:tbl>
    <w:p>
      <w:pPr>
        <w:spacing w:after="120" w:line="276"/>
      </w:pPr>
      <w:r>
        <w:t xml:space="preserve">CUS escalation words should be used when the nurse's initial concern is not adequately addressed: C (I am Concerned), U (I am Uncomfortable), S (This is a Safety issue). Using CUS words signals increasing urgency and should trigger an immediate response.</w:t>
      </w:r>
    </w:p>
    <w:p>
      <w:r>
        <w:br w:type="page"/>
      </w:r>
    </w:p>
    <w:p>
      <w:pPr>
        <w:pStyle w:val="Heading1"/>
      </w:pPr>
      <w:r>
        <w:t xml:space="preserve">Part V: Practical Clinical Protocols</w:t>
      </w:r>
    </w:p>
    <w:p>
      <w:pPr>
        <w:pStyle w:val="Heading2"/>
      </w:pPr>
      <w:r>
        <w:t xml:space="preserve">Chapter 22: IV Fluid Management</w:t>
      </w:r>
    </w:p>
    <w:p>
      <w:pPr>
        <w:spacing w:after="120" w:line="276"/>
      </w:pPr>
      <w:r>
        <w:t xml:space="preserve">IV fluid management in neonates requires understanding of daily fluid requirements, glucose infusion rate calculations, and electrolyte management. Standard maintenance fluids for neonates 34 weeks and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Day of Life</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Fluid Volume</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Standard Fluid</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Approximate GIR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1</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60 to 80 mL/kg/day</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4.2 to 5.5 mg/kg/min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2</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80 to 100 mL/kg/day</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5.5 to 6.9 mg/kg/min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 3 and beyond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100 to 120 mL/kg/day (advance to 150)</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D10W or D10 1/4NS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6.9 to 10.4 mg/kg/min</w:t>
            </w:r>
          </w:p>
        </w:tc>
      </w:tr>
    </w:tbl>
    <w:p>
      <w:pPr>
        <w:spacing w:after="120"/>
      </w:pPr>
    </w:p>
    <w:p>
      <w:pPr>
        <w:spacing w:after="120" w:line="276"/>
      </w:pPr>
      <w:r>
        <w:t xml:space="preserve">Electrolytes (sodium and potassium) are typically not added until day 2 or 3 of life, after the initial postnatal diuresis has occurred and renal function is confirmed by urine output. Sodium is added at 2 to 3 mEq/kg/day and potassium at 1 to 2 mEq/kg/day when indicated.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3"/>
              <w:left w:val="single" w:color="856404" w:sz="3"/>
              <w:bottom w:val="single" w:color="856404" w:sz="1"/>
              <w:right w:val="single" w:color="856404" w:sz="1"/>
            </w:tcBorders>
            <w:shd w:fill="FEF3CD" w:val="clear"/>
            <w:tcMar>
              <w:top w:type="dxa" w:w="100"/>
              <w:left w:type="dxa" w:w="150"/>
              <w:bottom w:type="dxa" w:w="100"/>
              <w:right w:type="dxa" w:w="150"/>
            </w:tcMar>
          </w:tcPr>
          <w:p>
            <w:pPr>
              <w:spacing w:after="60"/>
            </w:pPr>
            <w:r>
              <w:rPr>
                <w:b/>
                <w:bCs/>
                <w:color w:val="856404"/>
                <w:sz w:val="22"/>
                <w:szCs w:val="22"/>
              </w:rPr>
              <w:t xml:space="preserve">GIR CALCULATION</w:t>
            </w:r>
          </w:p>
          <w:p>
            <w:pPr>
              <w:spacing w:after="0"/>
            </w:pPr>
            <w:r>
              <w:rPr>
                <w:sz w:val="20"/>
                <w:szCs w:val="20"/>
              </w:rPr>
              <w:t xml:space="preserve">GIR (mg/kg/min) = [IV Rate (mL/hr) x Dextrose Concentration (%)] / [Weight (kg) x 6]
Example: 3 kg infant on D10W at 12.5 mL/hr: GIR = (12.5 x 10) / (3 x 6) = 125 / 18 = 6.9 mg/kg/min
Target starting GIR: 4 to 6 mg/kg/min. Maximum peripheral GIR approximately 12.5 mg/kg/min (D12.5W). Higher concentrations require central access.</w:t>
            </w:r>
          </w:p>
        </w:tc>
      </w:tr>
    </w:tbl>
    <w:p>
      <w:pPr>
        <w:pStyle w:val="Heading2"/>
      </w:pPr>
      <w:r>
        <w:t xml:space="preserve">Chapter 23: Oxygen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Population</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Target SpO2</w:t>
            </w:r>
          </w:p>
        </w:tc>
        <w:tc>
          <w:tcPr>
            <w:tcW w:type="dxa" w:w="4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Rationale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Preterm less than 35 weeks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90 to 95 percent</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Minimize ROP and BPD risk; NeOProM data</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Term and late preterm (35 plus weeks)</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to 100 percent</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risk of hyperoxia complications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PPHN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95 to 100 percent pre-ductal initially</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Pulmonary vasodilation; may titrate down once stable</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resuscitation (term)</w:t>
            </w:r>
          </w:p>
        </w:tc>
        <w:tc>
          <w:tcPr>
            <w:tcW w:type="dxa" w:w="2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NRP minute-of-life targets</w:t>
            </w:r>
          </w:p>
        </w:tc>
        <w:tc>
          <w:tcPr>
            <w:tcW w:type="dxa" w:w="4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at 0.21 FiO2; titrate per SpO2</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During resuscitation (preterm less than 35 weeks)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Per NRP minute-of-life targets</w:t>
            </w:r>
          </w:p>
        </w:tc>
        <w:tc>
          <w:tcPr>
            <w:tcW w:type="dxa" w:w="4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at 0.21 to 0.30 FiO2; titrate per SpO2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3"/>
              <w:left w:val="single" w:color="C53030" w:sz="3"/>
              <w:bottom w:val="single" w:color="C53030" w:sz="1"/>
              <w:right w:val="single" w:color="C53030" w:sz="1"/>
            </w:tcBorders>
            <w:shd w:fill="FDE8E8" w:val="clear"/>
            <w:tcMar>
              <w:top w:type="dxa" w:w="100"/>
              <w:left w:type="dxa" w:w="150"/>
              <w:bottom w:type="dxa" w:w="100"/>
              <w:right w:type="dxa" w:w="150"/>
            </w:tcMar>
          </w:tcPr>
          <w:p>
            <w:pPr>
              <w:spacing w:after="60"/>
            </w:pPr>
            <w:r>
              <w:rPr>
                <w:b/>
                <w:bCs/>
                <w:color w:val="C53030"/>
                <w:sz w:val="22"/>
                <w:szCs w:val="22"/>
              </w:rPr>
              <w:t xml:space="preserve">WARNING</w:t>
            </w:r>
          </w:p>
          <w:p>
            <w:pPr>
              <w:spacing w:after="0"/>
            </w:pPr>
            <w:r>
              <w:rPr>
                <w:sz w:val="20"/>
                <w:szCs w:val="20"/>
              </w:rPr>
              <w:t xml:space="preserve">Oxygen is a medication in neonatal care. Both hypoxia and hyperoxia cause harm. Avoid SpO2 fluctuations. Set alarms appropriately (low alarm at 88 to 90 percent for preterm, 90 to 92 percent for term; high alarm at 95 to 97 percent for preterm on supplemental oxygen). Wean FiO2 promptly when SpO2 is above target.</w:t>
            </w:r>
          </w:p>
        </w:tc>
      </w:tr>
    </w:tbl>
    <w:p>
      <w:pPr>
        <w:pStyle w:val="Heading2"/>
      </w:pPr>
      <w:r>
        <w:t xml:space="preserve">Quick Reference: Red Flags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Finding</w:t>
            </w:r>
          </w:p>
        </w:tc>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Possible Cause</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Immediate Action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Central cyanosis</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CHD, PPHN, respiratory failure, methemoglobinemia</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Apply O2, obtain SpO2 pre and post-ductal, call physician STAT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Bilious emesis</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Malrotation with volvulus until proven otherwise</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Make NPO, insert OG to decompress, call surgeon STAT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Apnea greater than 20 seconds with bradycardia</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CNS pathology, metabolic, obstruction</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Stimulate, PPV if needed, workup</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Seizure</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HIE, intracranial hemorrhage, infection, metabolic</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Protect airway, monitor glucose, call physician, prepare for phenobarbital</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Temperature less than 35.5 degrees C</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Cold stress, sepsis, endocrine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Active warming, check glucose, assess for sepsis</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Petechiae/purpura</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Sepsis with DIC, TORCH infection, thrombocytopenia</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for systemic illness, obtain CBC with differential and platelets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Bulging fontanelle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Meningitis, IVH, hydrocephalus</w:t>
            </w:r>
          </w:p>
        </w:tc>
        <w:tc>
          <w:tcPr>
            <w:tcW w:type="dxa" w:w="3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 neurologic status, call physician STAT</w:t>
            </w:r>
          </w:p>
        </w:tc>
      </w:tr>
      <w:tr>
        <w:tc>
          <w:tcPr>
            <w:tcW w:type="dxa" w:w="2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Tense/distended abdomen with discoloration</w:t>
            </w:r>
          </w:p>
        </w:tc>
        <w:tc>
          <w:tcPr>
            <w:tcW w:type="dxa" w:w="3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NEC, perforation</w:t>
            </w:r>
          </w:p>
        </w:tc>
        <w:tc>
          <w:tcPr>
            <w:tcW w:type="dxa" w:w="39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Make NPO, OG decompression, IV access, surgical consult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Comprehensive Newborn Nursing Education: From Well Baby to Critical Care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 w:type="paragraph" w:styleId="Heading4">
    <w:name w:val="Heading 4"/>
    <w:basedOn w:val="Normal"/>
    <w:next w:val="Normal"/>
    <w:qFormat/>
    <w:pPr>
      <w:spacing w:after="100" w:before="160"/>
      <w:outlineLvl w:val="3"/>
    </w:pPr>
    <w:rPr>
      <w:rFonts w:ascii="Arial" w:cs="Arial" w:eastAsia="Arial" w:hAnsi="Arial"/>
      <w:b/>
      <w:bCs/>
      <w:i/>
      <w:i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2026-03-15T07:04:50.531Z</dcterms:created>
  <dcterms:modified xsi:type="dcterms:W3CDTF">2026-03-15T07:04:50.532Z</dcterms:modified>
</cp:coreProperties>
</file>

<file path=docProps/custom.xml><?xml version="1.0" encoding="utf-8"?>
<Properties xmlns="http://schemas.openxmlformats.org/officeDocument/2006/custom-properties" xmlns:vt="http://schemas.openxmlformats.org/officeDocument/2006/docPropsVTypes"/>
</file>