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Newborn Nursing Education Guide</w:t>
      </w:r>
    </w:p>
    <w:p>
      <w:pPr>
        <w:spacing w:after="200"/>
        <w:jc w:val="center"/>
      </w:pPr>
      <w:r>
        <w:rPr>
          <w:rFonts w:ascii="Arial" w:cs="Arial" w:eastAsia="Arial" w:hAnsi="Arial"/>
          <w:color w:val="1A7A6D"/>
          <w:sz w:val="30"/>
          <w:szCs w:val="30"/>
        </w:rPr>
        <w:t xml:space="preserve">Volume II: Advanced Critical Care and Procedures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Mechanical Ventilation for the Bedside Nurse</w:t>
      </w:r>
    </w:p>
    <w:p>
      <w:pPr>
        <w:pStyle w:val="Heading2"/>
      </w:pPr>
      <w:r>
        <w:t xml:space="preserve">1.1 Understanding Ventilator Graphics</w:t>
      </w:r>
    </w:p>
    <w:p>
      <w:pPr>
        <w:spacing w:after="120" w:line="276"/>
      </w:pPr>
      <w:r>
        <w:t xml:space="preserve">The ability to interpret basic ventilator waveforms is an essential skill for the neonatal nurse caring for mechanically ventilated infants. Three primary waveforms are displayed: pressure-time, flow-time, and volume-time. Each provides unique information about the patient-ventilator interaction, lung mechanics, and potential problems.</w:t>
      </w:r>
    </w:p>
    <w:p>
      <w:pPr>
        <w:pStyle w:val="Heading3"/>
      </w:pPr>
      <w:r>
        <w:t xml:space="preserve">Pressure-Time Waveform</w:t>
      </w:r>
    </w:p>
    <w:p>
      <w:pPr>
        <w:spacing w:after="120" w:line="276"/>
      </w:pPr>
      <w:r>
        <w:t xml:space="preserve">The pressure-time waveform displays airway pressure on the vertical axis and time on the horizontal axis. In pressure-controlled ventilation, the inspiratory pressure rises rapidly to the set PIP and maintains a square wave (plateau) for the duration of inspiration, then returns to PEEP during expiration. The peak inspiratory pressure (PIP), positive end-expiratory pressure (PEEP), and mean airway pressure (MAP) can be read directly from this waveform.</w:t>
      </w:r>
    </w:p>
    <w:p>
      <w:pPr>
        <w:spacing w:after="120" w:line="276"/>
      </w:pPr>
      <w:r>
        <w:t xml:space="preserve">Key findings: A gradually increasing PIP over sequential breaths (with constant volume) suggests decreasing compliance (atelectasis, pneumothorax, worsening disease). A sudden decrease in PIP may indicate an air leak around an uncuffed ETT or circuit disconnection. Failure of the pressure to return to PEEP during expiration indicates auto-PEEP (air trapping), seen in obstructive conditions like MAS or BPD.</w:t>
      </w:r>
    </w:p>
    <w:p>
      <w:pPr>
        <w:pStyle w:val="Heading3"/>
      </w:pPr>
      <w:r>
        <w:t xml:space="preserve">Flow-Time Waveform</w:t>
      </w:r>
    </w:p>
    <w:p>
      <w:pPr>
        <w:spacing w:after="120" w:line="276"/>
      </w:pPr>
      <w:r>
        <w:t xml:space="preserve">The flow-time waveform shows gas flow into (positive values) and out of (negative values) the lungs over time. In pressure ventilation, the inspiratory flow has a decelerating pattern (high initial flow that tapers as the alveoli fill). The expiratory flow should return to zero before the next breath begins. If expiratory flow does not reach zero, this indicates incomplete exhalation (air trapping) and the need for longer expiratory time or lower rate.</w:t>
      </w:r>
    </w:p>
    <w:p>
      <w:pPr>
        <w:pStyle w:val="Heading3"/>
      </w:pPr>
      <w:r>
        <w:t xml:space="preserve">Volume-Time Waveform</w:t>
      </w:r>
    </w:p>
    <w:p>
      <w:pPr>
        <w:spacing w:after="120" w:line="276"/>
      </w:pPr>
      <w:r>
        <w:t xml:space="preserve">The volume-time waveform displays the tidal volume delivered and exhaled during each breath. The inspiratory and expiratory limbs should be approximately equal; a significant difference suggests an air leak (inspiratory volume greater than expiratory, with the difference representing the leak around the ETT or through a chest tube/pneumothorax).</w:t>
      </w:r>
    </w:p>
    <w:p>
      <w:pPr>
        <w:pStyle w:val="Heading2"/>
      </w:pPr>
      <w:r>
        <w:t xml:space="preserve">1.2 Patient-Ventilator Asynchrony</w:t>
      </w:r>
    </w:p>
    <w:p>
      <w:pPr>
        <w:spacing w:after="120" w:line="276"/>
      </w:pPr>
      <w:r>
        <w:t xml:space="preserve">Patient-ventilator asynchrony occurs when the patient's respiratory effort is not synchronous with the ventilator's breath delivery. This results in increased work of breathing, patient discomfort, inefficient ventilation, and potentially increased lung injury. Types of asynchrony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Waveform Finding</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Cause</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Trigger asynchrony (auto-triggering)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Ventilator cycles without patient effort; erratic rate above set rate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Sensitivity set too sensitive; water in circuit; cardiac oscillations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Decrease sensitivity; drain circuit condensation; adjust trigger type</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Trigger asynchrony (missed triggers)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Visible patient effort on waveform without ventilator response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Sensitivity set too low; auto-PEEP preventing trigger</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sensitivity; reduce auto-PEEP; check for leak</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Flow asynchrony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Concave pressure waveform during inspiration (scooping)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Insufficient flow to meet patient demand</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flow rate; switch to pressure ventilation (variable flow)</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Cycle asynchrony (premature cycling)</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Patient still inspiring when ventilator cycles to exhalation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Inspiratory time too short; leak causing early flow termination</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Ti; adjust cycle criterion; address leak</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Cycle asynchrony (delayed cycling)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Patient expiratory effort begins before ventilator cycles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Inspiratory time too long; cycle threshold too high</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Decrease Ti; adjust cycle sensitivity</w:t>
            </w:r>
          </w:p>
        </w:tc>
      </w:tr>
    </w:tbl>
    <w:p>
      <w:r>
        <w:br w:type="page"/>
      </w:r>
    </w:p>
    <w:p>
      <w:pPr>
        <w:pStyle w:val="Heading2"/>
      </w:pPr>
      <w:r>
        <w:t xml:space="preserve">1.3 Blood Gas Interpretation for Neonates</w:t>
      </w:r>
    </w:p>
    <w:p>
      <w:pPr>
        <w:spacing w:after="120" w:line="276"/>
      </w:pPr>
      <w:r>
        <w:t xml:space="preserve">Arterial blood gas (ABG) analysis is the gold standard for assessing gas exchange, though capillary blood gases (CBGs) and venous blood gases (VBGs) are used more frequently in neonatal practice due to the difficulty and risk of arterial puncture. CBG values correlate well with arterial values for pH and pCO2 but not for pO2.</w:t>
      </w:r>
    </w:p>
    <w:p>
      <w:pPr>
        <w:pStyle w:val="Heading3"/>
      </w:pPr>
      <w:r>
        <w:t xml:space="preserve">Normal Neonatal Blood Gas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Arterial</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Capillary</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Venous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7.30 to 7.45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7.30 to 7.45</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7.28 to 7.42</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pCO2 (mmHg)</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45</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50</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40 to 55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pO2 (mmHg)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 to 80 (preterm: 45 to 65)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reliable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reliable</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HCO3 (mEq/L)</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 to 25</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 to 25</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 to 25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Base excess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+4</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+4</w:t>
            </w:r>
          </w:p>
        </w:tc>
      </w:tr>
    </w:tbl>
    <w:p>
      <w:pPr>
        <w:spacing w:after="120"/>
      </w:pPr>
    </w:p>
    <w:p>
      <w:pPr>
        <w:pStyle w:val="Heading3"/>
      </w:pPr>
      <w:r>
        <w:t xml:space="preserve">Blood Gas Interpretation Algorithm</w:t>
      </w:r>
    </w:p>
    <w:p>
      <w:pPr>
        <w:spacing w:after="120" w:line="276"/>
      </w:pPr>
      <w:r>
        <w:t xml:space="preserve">Step 1: Look at pH. Is it acidotic (less than 7.30), normal (7.30 to 7.45), or alkalotic (greater than 7.45)? Step 2: Determine the primary process. Is pCO2 elevated (respiratory acidosis) or decreased (respiratory alkalosis)? Is HCO3/BE abnormal (metabolic acidosis or alkalosis)? Step 3: Is there compensation? In a primary respiratory acidosis, the kidneys retain bicarbonate (HCO3 rises) to compensate. In a primary metabolic acidosis, the lungs hyperventilate (pCO2 drops) to compensate. Step 4: Apply clinically to guide ventilator adjustments.</w:t>
      </w:r>
    </w:p>
    <w:p>
      <w:pPr>
        <w:pStyle w:val="Heading3"/>
      </w:pPr>
      <w:r>
        <w:t xml:space="preserve">Ventilator Adjustments Based on Blood 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Problem</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Blood Gas Finding</w:t>
            </w:r>
          </w:p>
        </w:tc>
        <w:tc>
          <w:tcPr>
            <w:tcW w:type="dxa" w:w="4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Ventilator Adjustment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Hypoxemia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pO2 or SpO2 below target</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FiO2 (immediate); increase MAP (increase PEEP or PIP); increase Ti</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Hyperoxemia</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 pO2 or SpO2 above target</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Decrease FiO2 first; then decrease MAP (decrease PIP or PEEP)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Hypercarbia (respiratory acidosis)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 pCO2</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minute ventilation: increase rate or increase VT/PIP; increase flow for more efficient delivery</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Hypocarbia (respiratory alkalosis)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pCO2</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Decrease minute ventilation: decrease rate or decrease VT/PIP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 acidosis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HCO3 / negative BE</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Treat underlying cause (hypoxia, sepsis, NEC); ensure adequate perfusion; sodium bicarbonate only if pH less than 7.10 and hemodynamically compromised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PERMISSIVE HYPERCAPNIA</w:t>
            </w:r>
          </w:p>
          <w:p>
            <w:pPr>
              <w:spacing w:after="0"/>
            </w:pPr>
            <w:r>
              <w:rPr>
                <w:sz w:val="20"/>
                <w:szCs w:val="20"/>
              </w:rPr>
              <w:t xml:space="preserve">In many neonatal ventilation strategies, mild hypercarbia (pCO2 45 to 55 mmHg) with pH greater than 7.25 is accepted ('permissive hypercapnia') to allow lower ventilator pressures and reduce lung injury. This strategy has been shown to reduce BPD in some studies. The exception is PPHN, where mild alkalosis (pH 7.40 to 7.50) may be targeted to reduce pulmonary vascular resistance.</w:t>
            </w:r>
          </w:p>
        </w:tc>
      </w:tr>
    </w:tbl>
    <w:p>
      <w:r>
        <w:br w:type="page"/>
      </w:r>
    </w:p>
    <w:p>
      <w:pPr>
        <w:pStyle w:val="Heading1"/>
      </w:pPr>
      <w:r>
        <w:t xml:space="preserve">Chapter 2: Advanced Nursing Procedures</w:t>
      </w:r>
    </w:p>
    <w:p>
      <w:pPr>
        <w:pStyle w:val="Heading2"/>
      </w:pPr>
      <w:r>
        <w:t xml:space="preserve">2.1 Peripheral IV Access</w:t>
      </w:r>
    </w:p>
    <w:p>
      <w:pPr>
        <w:spacing w:after="120" w:line="276"/>
      </w:pPr>
      <w:r>
        <w:t xml:space="preserve">Peripheral IV insertion in neonates requires specialized technique due to the small caliber of neonatal veins, fragile vessel walls, and the thin, translucent skin that is prone to injury. Preferred sites include the dorsum of the hand, forearm, dorsum of the foot, and scalp veins. The saphenous vein at the ankle is often overlooked but provides reliable access.</w:t>
      </w:r>
    </w:p>
    <w:p>
      <w:pPr>
        <w:spacing w:after="120" w:line="276"/>
      </w:pPr>
      <w:r>
        <w:t xml:space="preserve">Technique: Use 24-gauge angiocatheter for most neonates (22-gauge for larger term infants). Apply a tourniquet or use transillumination to identify veins. Clean site with chlorhexidine (for infants greater than 2 months corrected age) or povidone-iodine/alcohol (for younger infants; chlorhexidine use in premature neonates remains controversial due to skin absorption concerns). Insert at a shallow angle (10 to 15 degrees) with bevel up. Advance until flashback is seen, then advance the catheter while withdrawing the needle. Secure with transparent dressing. Flush with 0.5 to 1 mL normal saline.</w:t>
      </w:r>
    </w:p>
    <w:p>
      <w:pPr>
        <w:pStyle w:val="Heading2"/>
      </w:pPr>
      <w:r>
        <w:t xml:space="preserve">2.2 Gavage Feeding</w:t>
      </w:r>
    </w:p>
    <w:p>
      <w:pPr>
        <w:spacing w:after="120" w:line="276"/>
      </w:pPr>
      <w:r>
        <w:t xml:space="preserve">Orogastric (OG) or nasogastric (NG) tube placement for gavage feeding is a fundamental Level II nursing skill. OG is preferred over NG for infants on respiratory support (nasal prongs, CPAP) because NG tubes increase nasal airway resistance and can interfere with CPAP delivery.</w:t>
      </w:r>
    </w:p>
    <w:p>
      <w:pPr>
        <w:spacing w:after="120" w:line="276"/>
      </w:pPr>
      <w:r>
        <w:t xml:space="preserve">Insertion depth measurement: NEX method (Nose to Earlobe to Xiphoid process) is the traditional method but may underestimate the true distance in some infants. Some institutions use the NEMU method (Nose to Earlobe to the point Midway between the Umbilicus and the xiphoid process). The most reliable confirmation of gastric placement is aspiration of gastric contents with pH testing: pH of 5.5 or less confirms gastric placement. The auscultatory ('whoosh') method alone is unreliable and should not be used as the sole verification method.</w:t>
      </w:r>
    </w:p>
    <w:p>
      <w:pPr>
        <w:spacing w:after="120" w:line="276"/>
      </w:pPr>
      <w:r>
        <w:t xml:space="preserve">Administration: Gravity bolus over 15 to 30 minutes is preferred for most feeds (mimics physiologic hormone cycling). Slow gravity drip (hang syringe at level of infant's ear or slightly above). Do not push feeds via syringe as this bypasses the physiologic regulation of flow rate. Continuous infusion via pump is reserved for infants with severe feeding intolerance, significant GER, or respiratory compromise during bolus feeds.</w:t>
      </w:r>
    </w:p>
    <w:p>
      <w:pPr>
        <w:pStyle w:val="Heading2"/>
      </w:pPr>
      <w:r>
        <w:t xml:space="preserve">2.3 Phototherapy Management</w:t>
      </w:r>
    </w:p>
    <w:p>
      <w:pPr>
        <w:spacing w:after="120" w:line="276"/>
      </w:pPr>
      <w:r>
        <w:t xml:space="preserve">Detailed phototherapy nursing management: Position the phototherapy device as close to the infant as safely possible (within manufacturer guidelines); LED devices can be positioned closer than conventional fluorescent units because they generate less heat. Multiple light sources (overhead plus underneath fiber-optic pad) increase the exposed surface area and improve the rate of bilirubin decline. Ensure the spectroradiometer reading confirms irradiance of at least 30 microwatts per square centimeter per nanometer at the infant's skin level for intensive phototherapy. Document the measured irradiance when phototherapy is initiated and at least daily during treatment.</w:t>
      </w:r>
    </w:p>
    <w:p>
      <w:pPr>
        <w:spacing w:after="120" w:line="276"/>
      </w:pPr>
      <w:r>
        <w:t xml:space="preserve">Feeding during phototherapy: Remove the infant from phototherapy for breastfeeding (maximize skin-to-skin time and maternal bonding); for formula-fed infants, feeding under phototherapy lights is acceptable. Do not supplement with water or glucose water (these do not reduce bilirubin and may reduce caloric intake). Ensure adequate fluid intake: phototherapy increases insensible water loss by 20 to 40 percent, so increasing oral intake by 10 to 20 percent above calculated maintenance or adding IV fluids may be necessary.</w:t>
      </w:r>
    </w:p>
    <w:p>
      <w:r>
        <w:br w:type="page"/>
      </w:r>
    </w:p>
    <w:p>
      <w:pPr>
        <w:pStyle w:val="Heading1"/>
      </w:pPr>
      <w:r>
        <w:t xml:space="preserve">Chapter 3: Fluid and Electrolyte Management</w:t>
      </w:r>
    </w:p>
    <w:p>
      <w:pPr>
        <w:pStyle w:val="Heading2"/>
      </w:pPr>
      <w:r>
        <w:t xml:space="preserve">3.1 Neonatal Fluid Physiology</w:t>
      </w:r>
    </w:p>
    <w:p>
      <w:pPr>
        <w:spacing w:after="120" w:line="276"/>
      </w:pPr>
      <w:r>
        <w:t xml:space="preserve">Total body water in the neonate is approximately 75 to 80 percent of body weight in term infants and up to 85 to 90 percent in preterm infants (compared to 60 percent in adults). The extracellular fluid (ECF) compartment is proportionally larger in neonates, comprising 45 percent of body weight in preterm and 35 percent in term infants. This expanded ECF undergoes physiologic contraction in the first 3 to 5 days of life through postnatal diuresis, manifesting as the expected weight loss of 5 to 15 percent of birth weight.</w:t>
      </w:r>
    </w:p>
    <w:p>
      <w:pPr>
        <w:spacing w:after="120" w:line="276"/>
      </w:pPr>
      <w:r>
        <w:t xml:space="preserve">Fluid management goals in the first week of life include: allowing the physiologic postnatal diuresis to occur (restricting fluids to 60 to 80 mL/kg/day on day 1); gradually increasing fluid intake as the diuresis completes and insensible losses increase; adding electrolytes only after the diuresis is established (typically day 2 to 3); and monitoring the balance between adequate hydration and avoidance of fluid overload (which is associated with PDA, NEC, BPD, and IVH in preterm infants).</w:t>
      </w:r>
    </w:p>
    <w:p>
      <w:pPr>
        <w:pStyle w:val="Heading2"/>
      </w:pPr>
      <w:r>
        <w:t xml:space="preserve">3.2 Insensible Water Loss</w:t>
      </w:r>
    </w:p>
    <w:p>
      <w:pPr>
        <w:spacing w:after="120" w:line="276"/>
      </w:pPr>
      <w:r>
        <w:t xml:space="preserve">Insensible water loss (IWL) in neonates occurs through evaporation from the skin and respiratory tract. It is influenced by gestational age (inversely proportional: ELBW infants can lose 100 to 150 mL/kg/day through the skin), postnatal age (the skin keratinizes over the first 2 weeks, reducing transepidermal water loss), environmental humidity (higher humidity reduces skin evaporation), use of a humidified incubator versus open warmer, phototherapy (increases IWL by 20 to 40 percent), and respiratory support (heated humidified CPAP reduces respiratory IWL).</w:t>
      </w:r>
    </w:p>
    <w:p>
      <w:pPr>
        <w:pStyle w:val="Heading2"/>
      </w:pPr>
      <w:r>
        <w:t xml:space="preserve">3.3 Electrolyte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1800"/>
        <w:gridCol w:w="30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Electrolyte</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Normal Range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to Add to IV Fluids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Dose</w:t>
            </w:r>
          </w:p>
        </w:tc>
        <w:tc>
          <w:tcPr>
            <w:tcW w:type="dxa" w:w="3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Monitoring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Sodium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135 to 145 mEq/L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2 to 3 (after postnatal diuresis begins)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3 mEq/kg/day</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BMP daily while on IV fluids; adjust for serum level</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Potassium</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5.5 mEq/L</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2 to 3 (after urine output established)</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to 2 mEq/kg/day</w:t>
            </w:r>
          </w:p>
        </w:tc>
        <w:tc>
          <w:tcPr>
            <w:tcW w:type="dxa" w:w="3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Verify urine output before adding; monitor with BMP; never bolus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Calcium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8.5 to 10.5 mg/dL (total); 4.5 to 5.3 mg/dL (ionized)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1 for VLBW or symptomatic</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to 2 mL/kg/day of 10% calcium gluconate in maintenance</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Ionized calcium; monitor for extravasation (severe tissue necrosis)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Magnesium</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2.5 mg/dL</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hypomagnesemic</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50 mg/kg/dose IV over 2 hours</w:t>
            </w:r>
          </w:p>
        </w:tc>
        <w:tc>
          <w:tcPr>
            <w:tcW w:type="dxa" w:w="3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Often low in conjunction with hypocalcemia; check if calcium does not correct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POTASSIUM SAFETY: Never add potassium to IV fluids without confirmed urine output. Neonatal hyperkalemia can be fatal. Maximum IV potassium concentration for peripheral infusion is 40 mEq/L. Maximum rate of potassium infusion is 0.5 mEq/kg/hour. Potassium should never be given as an IV push or bolus.</w:t>
            </w:r>
          </w:p>
        </w:tc>
      </w:tr>
    </w:tbl>
    <w:p>
      <w:r>
        <w:br w:type="page"/>
      </w:r>
    </w:p>
    <w:p>
      <w:pPr>
        <w:pStyle w:val="Heading1"/>
      </w:pPr>
      <w:r>
        <w:t xml:space="preserve">Chapter 4: Hemodynamic Assessment and Support</w:t>
      </w:r>
    </w:p>
    <w:p>
      <w:pPr>
        <w:pStyle w:val="Heading2"/>
      </w:pPr>
      <w:r>
        <w:t xml:space="preserve">4.1 Blood Pressure Management</w:t>
      </w:r>
    </w:p>
    <w:p>
      <w:pPr>
        <w:spacing w:after="120" w:line="276"/>
      </w:pPr>
      <w:r>
        <w:t xml:space="preserve">Neonatal blood pressure assessment uses the oscillometric method with an appropriately sized cuff. The cuff bladder should encircle at least 75 percent of the arm circumference, with the width covering approximately two-thirds of the upper arm length. Undersized cuffs overestimate and oversized cuffs underestimate blood pressure.</w:t>
      </w:r>
    </w:p>
    <w:p>
      <w:pPr>
        <w:spacing w:after="120" w:line="276"/>
      </w:pPr>
      <w:r>
        <w:t xml:space="preserve">The simple rule of thumb for acceptable minimum MAP in the first 72 hours is MAP approximately equal to gestational age in weeks (e.g., MAP of 28 mmHg is the minimum acceptable for a 28-week infant). However, blood pressure alone is a poor indicator of tissue perfusion. Clinical assessment of perfusion (capillary refill, skin color, urine output, lactate, base excess) should always be integrated with blood pressure measurements.</w:t>
      </w:r>
    </w:p>
    <w:p>
      <w:pPr>
        <w:pStyle w:val="Heading2"/>
      </w:pPr>
      <w:r>
        <w:t xml:space="preserve">4.2 Vasoactive Medications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31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Medication</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Starting Dose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Maximum</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Nursing Considerations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Dopamine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Dose-dependent: dopaminergic (1 to 3 mcg/kg/min), beta-1 (3 to 10), alpha (10 to 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mcg/kg/min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mcg/kg/min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access preferred for high doses; monitor HR; may suppress TSH</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Dobutamine</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Beta-1 agonist (inotropy without significant vasoconstriction)</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mcg/kg/min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mcg/kg/min</w:t>
            </w:r>
          </w:p>
        </w:tc>
        <w:tc>
          <w:tcPr>
            <w:tcW w:type="dxa" w:w="3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Better for cardiogenic shock; may cause hypotension at high doses due to beta-2 vasodilation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Epinephrine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Alpha and beta agonist (low dose beta predominant, high dose alpha predominant)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0.05 mcg/kg/min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mcg/kg/min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access required; potent; causes hyperglycemia and lactic acidosis (check glucose and lactate)</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Milrinone</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Phosphodiesterase III inhibitor (inotrope and vasodilator)</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Loading: 50 mcg/kg over 30 min; maintenance 0.25 to 0.75 mcg/kg/min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0.75 mcg/kg/min</w:t>
            </w:r>
          </w:p>
        </w:tc>
        <w:tc>
          <w:tcPr>
            <w:tcW w:type="dxa" w:w="3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Used for low cardiac output; causes hypotension; loading dose often omitted in neonates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Hydrocortisone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Glucocorticoid (for vasopressor-resistant hypotension)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mg/kg loading, then 0.5 mg/kg q8h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mg/kg/dose</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For catecholamine-resistant shock; addresses relative adrenal insufficiency in preterm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VASOACTIVE MEDICATION SAFETY</w:t>
            </w:r>
          </w:p>
          <w:p>
            <w:pPr>
              <w:spacing w:after="0"/>
            </w:pPr>
            <w:r>
              <w:rPr>
                <w:sz w:val="20"/>
                <w:szCs w:val="20"/>
              </w:rPr>
              <w:t xml:space="preserve">All vasoactive infusions must be administered through dedicated IV lines (preferably central access). Independent double-check is required at initiation and every rate change. Never flush a line with vasoactive medication running (can deliver a lethal bolus). Use smart pump with neonatal drug library. Monitor heart rate and blood pressure continuously. Document vital signs every 15 minutes during titration.</w:t>
            </w:r>
          </w:p>
        </w:tc>
      </w:tr>
    </w:tbl>
    <w:p>
      <w:pPr>
        <w:pStyle w:val="Heading1"/>
      </w:pPr>
      <w:r>
        <w:t xml:space="preserve">Chapter 5: Neonatal Transport Stabilization</w:t>
      </w:r>
    </w:p>
    <w:p>
      <w:pPr>
        <w:spacing w:after="120" w:line="276"/>
      </w:pPr>
      <w:r>
        <w:t xml:space="preserve">When an infant in the Level II nursery requires transfer to a higher level of care, the referring team is responsible for stabilization until the transport team arrives. The S.T.A.B.L.E. framework (Sugar, Temperature, Airway, Blood pressure, Lab work, Emotional support) provides the organizational structure for this stabilization period, which may last 1 to 4+ hours depending on transport team availability and distance.</w:t>
      </w:r>
    </w:p>
    <w:p>
      <w:pPr>
        <w:spacing w:after="120" w:line="276"/>
      </w:pPr>
      <w:r>
        <w:t xml:space="preserve">Key stabilization priorities: Establish and maintain an airway with appropriate respiratory support; achieve vascular access (peripheral IV minimum; UVC preferred for critically ill); initiate dextrose infusion to prevent hypoglycemia; maintain temperature 36.5 to 37.5 degrees C; obtain and send critical labs (glucose, blood gas, CBC, blood culture); administer antibiotics if sepsis is suspected (do not delay for transport team arrival); communicate with the receiving facility and provide a complete SBAR handoff; support the family emotionally and provide information about the receiving facility.</w:t>
      </w:r>
    </w:p>
    <w:p>
      <w:pPr>
        <w:spacing w:after="120" w:line="276"/>
      </w:pPr>
      <w:r>
        <w:t xml:space="preserve">Documentation for transport: Complete all sections of the facility's transport documentation form; include copies of the maternal chart, infant chart, all lab results, imaging studies (or send electronically), cord blood if available, placenta if requested, expressed breast milk, and all consent forms. Verify identification bands on the infant before transfer.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Newborn Nursing Education: Volume II Advanced Critical Care and Procedures</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2026-03-15T07:35:30.975Z</dcterms:created>
  <dcterms:modified xsi:type="dcterms:W3CDTF">2026-03-15T07:35:30.976Z</dcterms:modified>
</cp:coreProperties>
</file>

<file path=docProps/custom.xml><?xml version="1.0" encoding="utf-8"?>
<Properties xmlns="http://schemas.openxmlformats.org/officeDocument/2006/custom-properties" xmlns:vt="http://schemas.openxmlformats.org/officeDocument/2006/docPropsVTypes"/>
</file>