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Comprehensive Level II Nursery Nursing Skills Guide</w:t>
      </w:r>
    </w:p>
    <w:p>
      <w:pPr>
        <w:spacing w:after="200"/>
        <w:jc w:val="center"/>
      </w:pPr>
      <w:r>
        <w:rPr>
          <w:rFonts w:ascii="Arial" w:cs="Arial" w:eastAsia="Arial" w:hAnsi="Arial"/>
          <w:color w:val="1A7A6D"/>
          <w:sz w:val="30"/>
          <w:szCs w:val="30"/>
        </w:rPr>
        <w:t xml:space="preserve">Critical Care for Neonates 34 Weeks Gestational Age and Above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Foundational Concepts</w:t>
      </w:r>
    </w:p>
    <w:p>
      <w:pPr>
        <w:pStyle w:val="Heading2"/>
      </w:pPr>
      <w:r>
        <w:t xml:space="preserve">1.1 Level II Nursery Definition</w:t>
      </w:r>
    </w:p>
    <w:p>
      <w:pPr>
        <w:spacing w:after="120" w:line="276"/>
      </w:pPr>
      <w:r>
        <w:t xml:space="preserve">The Level II nursery, also designated as a Special Care Nursery (SCN), is defined by the AAP as a facility capable of providing care for infants born at 32 weeks or greater gestational age and weighing 1500 grams or more. Level II nurseries provide care that includes stabilization of ill newborns before transfer to a higher level facility, provision of respiratory support including CPAP and high-flow nasal cannula for brief duration, intravenous fluid and medication administration, gavage feeding, and phototherapy.</w:t>
      </w:r>
    </w:p>
    <w:p>
      <w:pPr>
        <w:spacing w:after="120" w:line="276"/>
      </w:pPr>
      <w:r>
        <w:t xml:space="preserve">Level II nurseries are further subdivided: Level IIA provides care as described above, while Level IIB (sometimes designated Level II+) adds the capability for mechanical ventilation for brief duration (typically less than 24 hours) and more complex respiratory support. The distinction is critical for staffing models, equipment requirements, and transfer protocols.</w:t>
      </w:r>
    </w:p>
    <w:p>
      <w:pPr>
        <w:pStyle w:val="Heading2"/>
      </w:pPr>
      <w:r>
        <w:t xml:space="preserve">1.2 Physiologic Differences: Late Preterm vs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System</w:t>
            </w:r>
          </w:p>
        </w:tc>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Late Preterm (34 to 36 weeks)</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Term (37 to 42 weeks)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Brain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65 percent of brain weight compared to term; active myelination and synaptogenesis; vulnerable to white matter injury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Brain development essentially complete for immediate postnatal adaptation; continued myelination through early childhood</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3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Surfactant may be insufficient; chest wall more compliant; respiratory drive less mature; apnea risk</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surfactant; stable respiratory drive; low apnea risk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Thermoregulation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brown fat and subcutaneous tissue; higher surface area to mass ratio; less effective nonshivering thermogenesis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brown fat stores; effective thermoregulation in normal environment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Hepatic</w:t>
            </w:r>
          </w:p>
        </w:tc>
        <w:tc>
          <w:tcPr>
            <w:tcW w:type="dxa" w:w="3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UGT1A1 enzyme activity; bilirubin conjugation less efficient; higher jaundice risk and severity</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Maturing enzyme activity; physiologic jaundice typically mild and self-limited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GI/Feeding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Immature suck-swallow-breathe coordination until 34 to 36 weeks PMA; lower gastric motility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Mature oral feeding skills; effective gastric motility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Immune</w:t>
            </w:r>
          </w:p>
        </w:tc>
        <w:tc>
          <w:tcPr>
            <w:tcW w:type="dxa" w:w="3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immunoglobulin G transfer (transplacental transfer peaks 36 to 40 weeks); reduced complement and neutrophil function</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passive immunity from maternal IgG; more effective innate immunity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Smaller glycogen stores; immature gluconeogenesis and ketogenesis; hypoglycemia risk</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glycogen stores for transition; effective counter-regulatory mechanisms</w:t>
            </w:r>
          </w:p>
        </w:tc>
      </w:tr>
    </w:tbl>
    <w:p>
      <w:r>
        <w:br w:type="page"/>
      </w:r>
    </w:p>
    <w:p>
      <w:pPr>
        <w:pStyle w:val="Heading1"/>
      </w:pPr>
      <w:r>
        <w:t xml:space="preserve">Section 2: Patient Assessment</w:t>
      </w:r>
    </w:p>
    <w:p>
      <w:pPr>
        <w:pStyle w:val="Heading2"/>
      </w:pPr>
      <w:r>
        <w:t xml:space="preserve">2.1 Systematic Assessment Framework</w:t>
      </w:r>
    </w:p>
    <w:p>
      <w:pPr>
        <w:spacing w:after="120" w:line="276"/>
      </w:pPr>
      <w:r>
        <w:t xml:space="preserve">The Level II nursery nurse performs comprehensive assessments at least every 3 to 4 hours, with more frequent focused assessments as clinical status dictates. The assessment follows a systematic approach ensuring no system is overlooked. Each assessment integrates vital signs, physical examination findings, and relevant laboratory data into a clinical picture that informs care decisions.</w:t>
      </w:r>
    </w:p>
    <w:p>
      <w:pPr>
        <w:pStyle w:val="Heading2"/>
      </w:pPr>
      <w:r>
        <w:t xml:space="preserve">2.10 Early Recognition of Clinical Deterioration</w:t>
      </w:r>
    </w:p>
    <w:p>
      <w:pPr>
        <w:spacing w:after="120" w:line="276"/>
      </w:pPr>
      <w:r>
        <w:t xml:space="preserve">The ability to recognize early signs of deterioration is perhaps the single most important nursing skill in the Level II nursery. Most neonatal deterioration follows a predictable trajectory from subtle to obvious signs, and early intervention at the subtle stage produces the best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4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Signs</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Nursing Response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Compensated (early)</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tachycardia (10 to 20 bpm above baseline); subtle increase in work of breathing; slight decrease in feeding vigor; temperature trending down; mild color change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monitoring frequency to every 1 to 2 hours; notify charge nurse; prepare to call physician if trend continues; document carefully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Progressive (worsening)</w:t>
            </w:r>
          </w:p>
        </w:tc>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tachycardia or new bradycardia; tachypnea greater than 60; oxygen desaturation requiring supplemental O2; poor feeding or feeding intolerance; temperature instability; increasing lethargy or irritability</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Call physician immediately; obtain vital signs; prepare for potential workup (labs, blood culture); ensure IV access available; increase monitoring to continuous if not already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Decompensated (critical)</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severe bradycardia (less than 80); hypotension; unresponsiveness; central cyanosis; seizure activity; cardiorespiratory arrest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Activate rapid response; initiate resuscitation per NRP; call for help; prepare for stabilization and transfer</w:t>
            </w:r>
          </w:p>
        </w:tc>
      </w:tr>
    </w:tbl>
    <w:p>
      <w:r>
        <w:br w:type="page"/>
      </w:r>
    </w:p>
    <w:p>
      <w:pPr>
        <w:pStyle w:val="Heading1"/>
      </w:pPr>
      <w:r>
        <w:t xml:space="preserve">Section 3: Respiratory Support</w:t>
      </w:r>
    </w:p>
    <w:p>
      <w:pPr>
        <w:pStyle w:val="Heading2"/>
      </w:pPr>
      <w:r>
        <w:t xml:space="preserve">3.1 Oxygen Therapy</w:t>
      </w:r>
    </w:p>
    <w:p>
      <w:pPr>
        <w:spacing w:after="120" w:line="276"/>
      </w:pPr>
      <w:r>
        <w:t xml:space="preserve">Supplemental oxygen is the most commonly used therapy in the Level II nursery. Understanding the principles of oxygen delivery, monitoring, and the risks of both hypoxia and hyperoxia is fundamental to safe neonatal nursing practice.</w:t>
      </w:r>
    </w:p>
    <w:p>
      <w:pPr>
        <w:spacing w:after="120" w:line="276"/>
      </w:pPr>
      <w:r>
        <w:t xml:space="preserve">Key principles: Oxygen is a drug that requires a prescription and specific targets. The target SpO2 range for preterm infants on supplemental oxygen is 90 to 95 percent, based on the NeOProM collaborative data showing that higher targets (91 to 95 percent) reduce mortality compared to lower targets (85 to 89 percent) but increase ROP risk slightly. For term infants, the target is 95 to 100 percent. FiO2 should be weaned promptly when SpO2 exceeds the target range.</w:t>
      </w:r>
    </w:p>
    <w:p>
      <w:pPr>
        <w:pStyle w:val="Heading2"/>
      </w:pPr>
      <w:r>
        <w:t xml:space="preserve">3.2 CPAP Management</w:t>
      </w:r>
    </w:p>
    <w:p>
      <w:pPr>
        <w:spacing w:after="120" w:line="276"/>
      </w:pPr>
      <w:r>
        <w:t xml:space="preserve">CPAP is the cornerstone of non-invasive respiratory support in the Level II nursery. It maintains functional residual capacity, prevents alveolar collapse, reduces work of breathing, and improves oxygenation. The Level II nurse must be proficient in CPAP setup, interface selection, monitoring, troubleshooting, and weaning.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CPAP Parameter</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Starting Value</w:t>
            </w:r>
          </w:p>
        </w:tc>
        <w:tc>
          <w:tcPr>
            <w:tcW w:type="dxa" w:w="4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Adjustment Guidelines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Pressure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 cmH2O</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by 1 cmH2O for persistent distress or desaturation (max 8 cmH2O in most Level II settings)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 to SpO2 target</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by 0.05 increments when SpO2 consistently above target; increase for desaturation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Interface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Binasal prongs or nasal mask sized to fill 60 to 80 percent of nares</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Rotate between prongs and mask to reduce nasal injury; check fit every 2 to 4 hours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Humidification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37 degrees C, 100 percent relative humidity</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Essential to prevent mucosal drying; check water level and temperature regularly</w:t>
            </w:r>
          </w:p>
        </w:tc>
      </w:tr>
    </w:tbl>
    <w:p>
      <w:pPr>
        <w:spacing w:after="120"/>
      </w:pPr>
    </w:p>
    <w:p>
      <w:pPr>
        <w:spacing w:after="120" w:line="276"/>
      </w:pPr>
      <w:r>
        <w:t xml:space="preserve">CPAP failure criteria (escalate to physician for consideration of intubation or transfer): FiO2 greater than 0.40 on maximal CPAP; worsening respiratory distress despite adequate CPAP; recurrent apnea requiring intervention; unable to maintain SpO2 in target range; hemodynamic instability; worsening blood gas (pH less than 7.20, PCO2 greater than 65).</w:t>
      </w:r>
    </w:p>
    <w:p>
      <w:pPr>
        <w:pStyle w:val="Heading2"/>
      </w:pPr>
      <w:r>
        <w:t xml:space="preserve">3.3 High-Flow Nasal Cannula</w:t>
      </w:r>
    </w:p>
    <w:p>
      <w:pPr>
        <w:spacing w:after="120" w:line="276"/>
      </w:pPr>
      <w:r>
        <w:t xml:space="preserve">HFNC delivers heated humidified blended gas at flow rates of 2 to 8 liters per minute for neonates. It generates variable positive pressure that depends on flow rate, prong size relative to nares, and whether the mouth is open or closed. HFNC is used as step-down from CPAP or as primary support for mild respiratory distress. CPAP remains superior for preventing extubation failure (RR 1.83 favoring CPAP over HFNC).</w:t>
      </w:r>
    </w:p>
    <w:p>
      <w:pPr>
        <w:pStyle w:val="Heading2"/>
      </w:pPr>
      <w:r>
        <w:t xml:space="preserve">3.4 to 3.9 Mechanical Ventilation and Advanced Airway Management</w:t>
      </w:r>
    </w:p>
    <w:p>
      <w:pPr>
        <w:spacing w:after="120" w:line="276"/>
      </w:pPr>
      <w:r>
        <w:t xml:space="preserve">Level II nurses caring for intubated patients must be competent in ETT management, suctioning, and ventilator monitoring. Key skills include: verifying ETT position (tip-to-lip markings, CO2 detection, bilateral breath sounds, CXR confirmation at T1 to T2 level); ETT sizing (gestational age in weeks divided by 10 equals ETT internal diameter in millimeters); depth formula (weight in kilograms plus 6 equals tip-to-lip distance in centimeters); suctioning using measured-depth technique with closed suction system at 60 to 80 mmHg for 5 to 10 seconds maximum; and the DOPE mnemonic for acute deterioration (Displacement, Obstruction, Pneumothorax, Equipment failure).</w:t>
      </w:r>
    </w:p>
    <w:p>
      <w:r>
        <w:br w:type="page"/>
      </w:r>
    </w:p>
    <w:p>
      <w:pPr>
        <w:pStyle w:val="Heading1"/>
      </w:pPr>
      <w:r>
        <w:t xml:space="preserve">Section 9: Pain Management</w:t>
      </w:r>
    </w:p>
    <w:p>
      <w:pPr>
        <w:spacing w:after="120" w:line="276"/>
      </w:pPr>
      <w:r>
        <w:t xml:space="preserve">Neonates experience pain, and untreated pain has both immediate and long-term consequences including altered pain processing, impaired neurodevelopment, and behavioral changes. Pain assessment using validated tools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Assessment Tool</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 Range</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Parameters Assessed</w:t>
            </w:r>
          </w:p>
        </w:tc>
        <w:tc>
          <w:tcPr>
            <w:tcW w:type="dxa" w:w="2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Range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NIPS (Neonatal Infant Pain Scale)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and term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Facial expression, cry, breathing pattern, arms, legs, state of arousal</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 to 7 (greater than 3 indicates pain)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PIPP-R (Premature Infant Pain Profile Revised)</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and term</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GA correction, behavioral state, HR change, SpO2 change, brow bulge, eye squeeze, nasolabial furrow</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 to 21 (greater than 6 to 12 moderate-severe)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N-PASS (Neonatal Pain, Agitation, Sedation Scale)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and term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Crying/irritability, behavior/state, facial expression, extremity tone, vital signs</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+10 (positive = pain; negative = sedation)</w:t>
            </w:r>
          </w:p>
        </w:tc>
      </w:tr>
    </w:tbl>
    <w:p>
      <w:pPr>
        <w:spacing w:after="120"/>
      </w:pPr>
    </w:p>
    <w:p>
      <w:pPr>
        <w:spacing w:after="120" w:line="276"/>
      </w:pPr>
      <w:r>
        <w:t xml:space="preserve">Non-pharmacologic pain management strategies should be used for all minor procedures and as adjuncts to pharmacologic management: non-nutritive sucking (pacifier), oral sucrose or glucose (0.5 to 1 mL placed on tongue 2 minutes before procedure), swaddling and facilitated tucking, skin-to-skin contact (kangaroo care), breastfeeding during minor procedures, and minimizing environmental stimulation (dim lights, reduce noise).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Comprehensive Level II Nursery Nursing Skills Guide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2026-03-15T07:09:01.178Z</dcterms:created>
  <dcterms:modified xsi:type="dcterms:W3CDTF">2026-03-15T07:09:01.179Z</dcterms:modified>
</cp:coreProperties>
</file>

<file path=docProps/custom.xml><?xml version="1.0" encoding="utf-8"?>
<Properties xmlns="http://schemas.openxmlformats.org/officeDocument/2006/custom-properties" xmlns:vt="http://schemas.openxmlformats.org/officeDocument/2006/docPropsVTypes"/>
</file>