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52"/>
          <w:szCs w:val="52"/>
        </w:rPr>
        <w:t xml:space="preserve">Advanced Critical Care Nursing</w:t>
      </w:r>
    </w:p>
    <w:p>
      <w:pPr>
        <w:spacing w:after="200"/>
        <w:jc w:val="center"/>
      </w:pPr>
      <w:r>
        <w:rPr>
          <w:rFonts w:ascii="Arial" w:cs="Arial" w:eastAsia="Arial" w:hAnsi="Arial"/>
          <w:color w:val="1A7A6D"/>
          <w:sz w:val="30"/>
          <w:szCs w:val="30"/>
        </w:rPr>
        <w:t xml:space="preserve">Mechanical Ventilation, Advanced Procedures, and Major NICU Diagnoses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Advanced Respiratory Support</w:t>
      </w:r>
    </w:p>
    <w:p>
      <w:pPr>
        <w:pStyle w:val="Heading2"/>
      </w:pPr>
      <w:r>
        <w:t xml:space="preserve">1.1 Mechanical Ventilation Modes</w:t>
      </w:r>
    </w:p>
    <w:p>
      <w:pPr>
        <w:spacing w:after="120" w:line="276"/>
      </w:pPr>
      <w:r>
        <w:t xml:space="preserve">Mechanical ventilation in neonates has evolved significantly over the past two decades, with a trend toward lung-protective strategies that minimize volutrauma, barotrauma, and atelectotrauma. The Level II and NICU nurse must understand the fundamental principles of each ventilation mode to effectively monitor and assess the ventilated infant.</w:t>
      </w:r>
    </w:p>
    <w:p>
      <w:pPr>
        <w:pStyle w:val="Heading3"/>
      </w:pPr>
      <w:r>
        <w:t xml:space="preserve">Assist/Control (A/C)</w:t>
      </w:r>
    </w:p>
    <w:p>
      <w:pPr>
        <w:spacing w:after="120" w:line="276"/>
      </w:pPr>
      <w:r>
        <w:t xml:space="preserve">In A/C mode, every patient-triggered breath receives full ventilator support. The ventilator delivers a mandatory breath for every detected patient effort plus any time-triggered breaths at the set rate. This means the patient determines the rate (if breathing above the set rate) while the ventilator provides consistent pressure or volume for every breath. A/C is commonly used as the initial mode for neonates requiring mechanical ventilation.</w:t>
      </w:r>
    </w:p>
    <w:p>
      <w:pPr>
        <w:spacing w:after="120" w:line="276"/>
      </w:pPr>
      <w:r>
        <w:t xml:space="preserve">A/C can be pressure-controlled (A/C-PC, where PIP is set and tidal volume varies) or volume-targeted (A/C-VC or A/C-VC+/PRVC, where tidal volume is set and pressure varies). Volume-targeted ventilation has been shown in meta-analyses to reduce death or BPD, pneumothorax, severe IVH, and periventricular leukomalacia compared to pure pressure-controlled ventilation.</w:t>
      </w:r>
    </w:p>
    <w:p>
      <w:pPr>
        <w:pStyle w:val="Heading3"/>
      </w:pPr>
      <w:r>
        <w:t xml:space="preserve">SIMV (Synchronized Intermittent Mandatory Ventilation)</w:t>
      </w:r>
    </w:p>
    <w:p>
      <w:pPr>
        <w:spacing w:after="120" w:line="276"/>
      </w:pPr>
      <w:r>
        <w:t xml:space="preserve">SIMV delivers a set number of mandatory breaths per minute, synchronized to patient effort when possible. Between mandatory breaths, the patient breathes spontaneously, typically with pressure support (SIMV-PC+PS). Compared to A/C, SIMV may result in more variable tidal volumes during spontaneous breaths and may increase work of breathing if pressure support is inadequate.</w:t>
      </w:r>
    </w:p>
    <w:p>
      <w:pPr>
        <w:pStyle w:val="Heading3"/>
      </w:pPr>
      <w:r>
        <w:t xml:space="preserve">Volume-Targeted Ventilation (VTV)</w:t>
      </w:r>
    </w:p>
    <w:p>
      <w:pPr>
        <w:spacing w:after="120" w:line="276"/>
      </w:pPr>
      <w:r>
        <w:t xml:space="preserve">VTV modes (Volume Guarantee on Draeger, PRVC or VC+ on PB980) allow the clinician to set a target tidal volume while the ventilator automatically adjusts the delivered pressure breath-by-breath to achieve that target. This provides the consistency of volume control with the variable flow delivery of pressure ventilation. Target tidal volumes are typically 4 to 6 mL/kg for neonates.</w:t>
      </w:r>
    </w:p>
    <w:p>
      <w:pPr>
        <w:pStyle w:val="Heading2"/>
      </w:pPr>
      <w:r>
        <w:t xml:space="preserve">1.2 High-Frequency Ventilation</w:t>
      </w:r>
    </w:p>
    <w:p>
      <w:pPr>
        <w:pStyle w:val="Heading3"/>
      </w:pPr>
      <w:r>
        <w:t xml:space="preserve">HFOV (High-Frequency Oscillatory Ventilation)</w:t>
      </w:r>
    </w:p>
    <w:p>
      <w:pPr>
        <w:spacing w:after="120" w:line="276"/>
      </w:pPr>
      <w:r>
        <w:t xml:space="preserve">HFOV delivers very small tidal volumes at very high rates (typically 8 to 15 Hz or 480 to 900 breaths per minute). It works on the principle of enhanced gas mixing and diffusion rather than bulk flow ventilation. The two primary controls are mean airway pressure (MAP, which controls oxygenation by maintaining lung recruitment) and amplitude (delta P, which controls ventilation/CO2 removal). HFOV is typically used as rescue therapy when conventional ventilation fails, for air leak syndromes, and for severe RDS unresponsive to surfactant and conventional ventilation.</w:t>
      </w:r>
    </w:p>
    <w:p>
      <w:pPr>
        <w:pStyle w:val="Heading3"/>
      </w:pPr>
      <w:r>
        <w:t xml:space="preserve">HFJV (High-Frequency Jet Ventilation)</w:t>
      </w:r>
    </w:p>
    <w:p>
      <w:pPr>
        <w:spacing w:after="120" w:line="276"/>
      </w:pPr>
      <w:r>
        <w:t xml:space="preserve">HFJV (Bunnell Life Pulse ventilator) delivers short pulses of gas through a specialized endotracheal tube adapter at rates of 240 to 600 breaths per minute (4 to 10 Hz). It is used concurrently with a conventional ventilator that provides PEEP, sigh breaths, and monitoring. HFJV is particularly effective for pulmonary interstitial emphysema (PIE) and other air leak syndromes, where the low tidal volumes and low peak pressures reduce air leak while maintaining gas exchange.</w:t>
      </w:r>
    </w:p>
    <w:p>
      <w:pPr>
        <w:pStyle w:val="Heading2"/>
      </w:pPr>
      <w:r>
        <w:t xml:space="preserve">1.3 Surfactant Administration</w:t>
      </w:r>
    </w:p>
    <w:p>
      <w:pPr>
        <w:spacing w:after="120" w:line="276"/>
      </w:pPr>
      <w:r>
        <w:t xml:space="preserve">Surfactant replacement therapy revolutionized the management of respiratory distress syndrome in preterm infants. Current practice has shifted from prophylactic surfactant administration to selective treatment guided by the need for respiratory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Technique</w:t>
            </w:r>
          </w:p>
        </w:tc>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Advantages</w:t>
            </w:r>
          </w:p>
        </w:tc>
        <w:tc>
          <w:tcPr>
            <w:tcW w:type="dxa" w:w="2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Disadvantages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INSURE</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Intubate, instill surfactant, extubate to CPAP</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Brief intubation; proven effective</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Requires intubation; anesthesia exposure</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LISA/MIST</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Thin catheter (feeding tube or specialized catheter) placed through vocal cords while infant breathes on CPAP</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Avoids intubation; infant breathes spontaneously throughout; lower BPD rates in some studies</w:t>
            </w:r>
          </w:p>
        </w:tc>
        <w:tc>
          <w:tcPr>
            <w:tcW w:type="dxa" w:w="2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Requires laryngoscopy skill; may require sedation; coughing can occur</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Traditional ETT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Surfactant instilled through ETT with infant on mechanical ventilation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Standard technique; reliable delivery</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Requires continued ventilation; highest barotrauma risk</w:t>
            </w:r>
          </w:p>
        </w:tc>
      </w:tr>
    </w:tbl>
    <w:p>
      <w:pPr>
        <w:spacing w:after="120"/>
      </w:pPr>
    </w:p>
    <w:p>
      <w:pPr>
        <w:spacing w:after="120" w:line="276"/>
      </w:pPr>
      <w:r>
        <w:t xml:space="preserve">Available surfactant preparations in the US include: beractant (Survanta, 4 mL/kg), calfactant (Infasurf, 3 mL/kg), poractant alfa (Curosurf, initial dose 2.5 mL/kg, subsequent 1.25 mL/kg), and lucinactant (Surfaxin, 5.8 mL/kg). Poractant alfa contains the highest phospholipid concentration (80 mg/mL) and has the smallest volume per dose.</w:t>
      </w:r>
    </w:p>
    <w:p>
      <w:pPr>
        <w:pStyle w:val="Heading2"/>
      </w:pPr>
      <w:r>
        <w:t xml:space="preserve">1.4 Inhaled Nitric Oxide (iNO)</w:t>
      </w:r>
    </w:p>
    <w:p>
      <w:pPr>
        <w:spacing w:after="120" w:line="276"/>
      </w:pPr>
      <w:r>
        <w:t xml:space="preserve">Inhaled nitric oxide is a selective pulmonary vasodilator used for PPHN and hypoxemic respiratory failure in term and near-term infants (34 weeks or greater). It is initiated at 20 ppm and titrated based on oxygenation response. Oxygenation index (OI) guides initiation and management: OI = (MAP x FiO2 x 100) / PaO2. iNO is typically initiated when OI exceeds 15 to 25. ECMO is considered when OI exceeds 40 despite iNO and maximal conventional support. iNO must be weaned gradually (not abruptly discontinued) to prevent rebound pulmonary hypertension.</w:t>
      </w:r>
    </w:p>
    <w:p>
      <w:r>
        <w:br w:type="page"/>
      </w:r>
    </w:p>
    <w:p>
      <w:pPr>
        <w:pStyle w:val="Heading1"/>
      </w:pPr>
      <w:r>
        <w:t xml:space="preserve">Chapter 2: Advanced Procedures</w:t>
      </w:r>
    </w:p>
    <w:p>
      <w:pPr>
        <w:pStyle w:val="Heading2"/>
      </w:pPr>
      <w:r>
        <w:t xml:space="preserve">2.1 Umbilical Catheter Management</w:t>
      </w:r>
    </w:p>
    <w:p>
      <w:pPr>
        <w:spacing w:after="120" w:line="276"/>
      </w:pPr>
      <w:r>
        <w:t xml:space="preserve">Umbilical arterial catheters (UACs) and umbilical venous catheters (UVCs) provide vascular access in critically ill neonates during the first days of life. The nursing role encompasses preparation, assistance with insertion, position verification, line care, monitoring, and complication recognition.</w:t>
      </w:r>
    </w:p>
    <w:p>
      <w:pPr>
        <w:spacing w:after="120" w:line="276"/>
      </w:pPr>
      <w:r>
        <w:t xml:space="preserve">UAC positioning: Low position (tip at L3 to L4, above the aortic bifurcation) or high position (tip at T6 to T10, above the celiac axis and below the ductus arteriosus). High position is generally preferred due to lower rates of vascular complications. Insertion depth formula: UAC (cm) = (3 x birth weight in kg) + 9, divided by 2, plus 1 for high position.</w:t>
      </w:r>
    </w:p>
    <w:p>
      <w:pPr>
        <w:spacing w:after="120" w:line="276"/>
      </w:pPr>
      <w:r>
        <w:t xml:space="preserve">UVC positioning: Tip at the junction of the inferior vena cava and right atrium (approximately T8 to T10 on chest X-ray). Insertion depth formula: (0.5 x UAC length) + 1 cm, or (birth weight in kg x 1.5) + 5.5 cm.</w:t>
      </w:r>
    </w:p>
    <w:p>
      <w:pPr>
        <w:spacing w:after="120" w:line="276"/>
      </w:pPr>
      <w:r>
        <w:t xml:space="preserve">Complications to monitor: thrombosis (limb ischemia, discoloration, absent pulses distal to UAC), infection (erythema at insertion site, systemic sepsis signs), hemorrhage (line disconnection, accidental removal), vessel spasm (blanching of lower extremities with UAC), necrotizing enterocolitis (association with UAC), cardiac arrhythmia or perforation (UVC malposition in heart).</w:t>
      </w:r>
    </w:p>
    <w:p>
      <w:pPr>
        <w:pStyle w:val="Heading2"/>
      </w:pPr>
      <w:r>
        <w:t xml:space="preserve">2.2 Therapeutic Hypothermia for HIE</w:t>
      </w:r>
    </w:p>
    <w:p>
      <w:pPr>
        <w:spacing w:after="120" w:line="276"/>
      </w:pPr>
      <w:r>
        <w:t xml:space="preserve">Therapeutic hypothermia (TH) is the standard of care for moderate to severe hypoxic-ischemic encephalopathy in term and near-term infants (36 weeks or greater). The goal is to reduce the target core temperature to 33.5 degrees Celsius (plus or minus 0.5 degrees) within 6 hours of birth and maintain cooling for 72 hours, followed by gradual rewarming over 6 to 12 hours (0.5 degrees per hour maximum).</w:t>
      </w:r>
    </w:p>
    <w:p>
      <w:pPr>
        <w:spacing w:after="120" w:line="276"/>
      </w:pPr>
      <w:r>
        <w:t xml:space="preserve">Eligibility criteria include: gestational age 36 weeks or greater; evidence of perinatal event (sentinel event, fetal heart rate abnormalities, cord pH less than 7.0 or base deficit greater than negative 16, Apgar less than 5 at 10 minutes, or continued need for ventilation at 10 minutes); and moderate to severe encephalopathy on clinical examination (Sarnat staging).</w:t>
      </w:r>
    </w:p>
    <w:p>
      <w:pPr>
        <w:spacing w:after="120" w:line="276"/>
      </w:pPr>
      <w:r>
        <w:t xml:space="preserve">Nursing care during TH: continuous core temperature monitoring (esophageal or rectal probe); vital signs every 15 minutes during induction, every 30 minutes during maintenance, every 15 minutes during rewarming; continuous EEG or aEEG monitoring; assess skin integrity every 2 hours (fat necrosis risk); strict intake and output; monitor for complications including sinus bradycardia (expected, treat only if hemodynamically significant), thrombocytopenia, coagulopathy, skin breakdown, and subcutaneous fat necrosis.</w:t>
      </w:r>
    </w:p>
    <w:p>
      <w:r>
        <w:br w:type="page"/>
      </w:r>
    </w:p>
    <w:p>
      <w:pPr>
        <w:pStyle w:val="Heading1"/>
      </w:pPr>
      <w:r>
        <w:t xml:space="preserve">Chapter 3: Major NICU Diagnoses</w:t>
      </w:r>
    </w:p>
    <w:p>
      <w:pPr>
        <w:pStyle w:val="Heading2"/>
      </w:pPr>
      <w:r>
        <w:t xml:space="preserve">3.1 Persistent Pulmonary Hypertension of the Newborn (PPHN)</w:t>
      </w:r>
    </w:p>
    <w:p>
      <w:pPr>
        <w:spacing w:after="120" w:line="276"/>
      </w:pPr>
      <w:r>
        <w:t xml:space="preserve">PPHN occurs when pulmonary vascular resistance remains elevated after birth, causing right-to-left shunting through the ductus arteriosus and foramen ovale. This produces severe hypoxemia that is often refractory to conventional respiratory support. Causes include MAS, pneumonia, RDS, CDH, sepsis, and idiopathic.</w:t>
      </w:r>
    </w:p>
    <w:p>
      <w:pPr>
        <w:spacing w:after="120" w:line="276"/>
      </w:pPr>
      <w:r>
        <w:t xml:space="preserve">Diagnosis is suggested by: labile hypoxemia, pre-ductal to post-ductal SpO2 differential greater than 5 to 10 percent, and confirmed by echocardiography showing elevated pulmonary artery pressures with right-to-left shunting. Management includes optimizing lung recruitment, inhaled nitric oxide, hemodynamic support, sedation (to minimize pulmonary vasospasm from agitation), and ECMO for refractory cases.</w:t>
      </w:r>
    </w:p>
    <w:p>
      <w:pPr>
        <w:pStyle w:val="Heading2"/>
      </w:pPr>
      <w:r>
        <w:t xml:space="preserve">3.2 Necrotizing Enterocolitis (NEC)</w:t>
      </w:r>
    </w:p>
    <w:p>
      <w:pPr>
        <w:spacing w:after="120" w:line="276"/>
      </w:pPr>
      <w:r>
        <w:t xml:space="preserve">NEC is the most common and most serious gastrointestinal emergency in neonates, with mortality rates of 20 to 30 percent for surgical NEC. It predominantly affects preterm infants but can occur in term infants with risk factors (CHD, asphyxia, polycythemia). Bell staging classifies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Bell Stage</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Clinical Findings</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Radiographic Findings</w:t>
            </w:r>
          </w:p>
        </w:tc>
        <w:tc>
          <w:tcPr>
            <w:tcW w:type="dxa" w:w="34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Management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I (Suspected)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Temperature instability, apnea, bradycardia, abdominal distension, feeding intolerance, guaiac-positive stools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Normal or nonspecific ileus pattern</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NPO, OG decompression, antibiotics, serial exams and X-rays</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IIA (Definite, mild)</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Above plus absent bowel sounds, abdominal tenderness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Intestinal dilation, pneumatosis intestinalis (intramural air)</w:t>
            </w:r>
          </w:p>
        </w:tc>
        <w:tc>
          <w:tcPr>
            <w:tcW w:type="dxa" w:w="3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NPO 7 to 14 days, antibiotics, serial exams, surgical consultation</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IIB (Definite, moderate)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Above plus abdominal wall erythema, palpable mass, metabolic acidosis, thrombocytopenia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Pneumatosis plus portal venous gas, ascites</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NPO 14 days, antibiotics, paracentesis if tense ascites, close surgical monitoring</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IIIA (Advanced, bowel intact)</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Above plus hypotension, DIC, respiratory failure, severe acidosis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Above plus generalized peritonitis, ascites</w:t>
            </w:r>
          </w:p>
        </w:tc>
        <w:tc>
          <w:tcPr>
            <w:tcW w:type="dxa" w:w="3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NPO, antibiotics, vasopressors, ventilatory support, surgical consultation</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Stage IIIB (Advanced, perforation)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Above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Pneumoperitoneum (free air)</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Emergent surgical intervention (laparotomy or peritoneal drain)</w:t>
            </w:r>
          </w:p>
        </w:tc>
      </w:tr>
    </w:tbl>
    <w:p>
      <w:pPr>
        <w:spacing w:after="120"/>
      </w:pPr>
    </w:p>
    <w:p>
      <w:pPr>
        <w:pStyle w:val="Heading2"/>
      </w:pPr>
      <w:r>
        <w:t xml:space="preserve">3.3 Intraventricular Hemorrhage (IVH)</w:t>
      </w:r>
    </w:p>
    <w:p>
      <w:pPr>
        <w:spacing w:after="120" w:line="276"/>
      </w:pPr>
      <w:r>
        <w:t xml:space="preserve">IVH is primarily a complication of prematurity, originating in the fragile capillaries of the germinal matrix. Grading follows the Papile classification: Grade I (germinal matrix hemorrhage only), Grade II (intraventricular blood without ventricular dilation), Grade III (intraventricular blood with ventricular dilation), Grade IV (parenchymal hemorrhage, now understood as periventricular hemorrhagic infarction). Grades I and II generally have good outcomes; Grades III and IV carry significant risk for hydrocephalus and neurodevelopmental impairment.</w:t>
      </w:r>
    </w:p>
    <w:p>
      <w:pPr>
        <w:spacing w:after="120" w:line="276"/>
      </w:pPr>
      <w:r>
        <w:t xml:space="preserve">Prevention bundles include: antenatal steroids (most effective single intervention), minimal handling in first 72 hours, midline head positioning with head of bed elevated 15 to 30 degrees, avoidance of rapid volume infusion and sodium bicarbonate boluses, correction of coagulopathy, and maintenance of hemodynamic stability.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Advanced Critical Care Nursing for Neonates</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2026-03-15T07:09:01.375Z</dcterms:created>
  <dcterms:modified xsi:type="dcterms:W3CDTF">2026-03-15T07:09:01.375Z</dcterms:modified>
</cp:coreProperties>
</file>

<file path=docProps/custom.xml><?xml version="1.0" encoding="utf-8"?>
<Properties xmlns="http://schemas.openxmlformats.org/officeDocument/2006/custom-properties" xmlns:vt="http://schemas.openxmlformats.org/officeDocument/2006/docPropsVTypes"/>
</file>