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2"/>
          <w:szCs w:val="52"/>
        </w:rPr>
        <w:t xml:space="preserve">Level I and Level II Nursery</w:t>
      </w:r>
    </w:p>
    <w:p>
      <w:pPr>
        <w:spacing w:after="100"/>
        <w:jc w:val="center"/>
      </w:pPr>
      <w:r>
        <w:rPr>
          <w:rFonts w:ascii="Arial" w:cs="Arial" w:eastAsia="Arial" w:hAnsi="Arial"/>
          <w:color w:val="1A7A6D"/>
          <w:sz w:val="40"/>
          <w:szCs w:val="40"/>
        </w:rPr>
        <w:t xml:space="preserve">Standardized Care Pathway</w:t>
      </w:r>
    </w:p>
    <w:p>
      <w:pPr>
        <w:spacing w:after="200"/>
        <w:jc w:val="center"/>
      </w:pPr>
      <w:r>
        <w:rPr>
          <w:rFonts w:ascii="Arial" w:cs="Arial" w:eastAsia="Arial" w:hAnsi="Arial"/>
          <w:i/>
          <w:iCs/>
          <w:sz w:val="22"/>
          <w:szCs w:val="22"/>
        </w:rPr>
        <w:t xml:space="preserve">Comprehensive Evidence-Based Protocols for Diagnostic Criteria, Interventions, Monitoring, Escalation, and Discharge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Pathway Overview and Scope</w:t>
      </w:r>
    </w:p>
    <w:p>
      <w:pPr>
        <w:spacing w:after="120" w:line="276"/>
      </w:pPr>
      <w:r>
        <w:t xml:space="preserve">This standardized care pathway provides evidence-based guidance for the management of newborn infants in Level I (Well Newborn) and Level II (Special Care) nursery settings. It integrates the 2022 AAP Clinical Practice Guidelines for hyperbilirubinemia, the 2011 AAP Clinical Report on neonatal hypoglycemia, 2024 AAP Guidelines for levels of neonatal care, NRP 9th edition (2025), current VON quality benchmarks, and PubMed-derived evidence into a unified clinical framework. The pathway is designed for use in rural and community hospital settings where neonatology is not available on site and specialist consultation occurs by telemedicine.</w:t>
      </w:r>
    </w:p>
    <w:p>
      <w:pPr>
        <w:pStyle w:val="Heading2"/>
      </w:pPr>
      <w:r>
        <w:t xml:space="preserve">1.1 AAP Levels of Neonatal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800"/>
        <w:gridCol w:w="2500"/>
        <w:gridCol w:w="3060"/>
      </w:tblGrid>
      <w:tr>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Level</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Designation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Patient Population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Core Capabilities</w:t>
            </w:r>
          </w:p>
        </w:tc>
        <w:tc>
          <w:tcPr>
            <w:tcW w:type="dxa" w:w="3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Staffing Requirements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Level I</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Well Newborn Nursery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Healthy term (37+ weeks); stable late preterm (35 to 36 6/7 weeks) after observation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Stabilize/care for healthy newborns; perform neonatal resuscitation; stabilize unexpected ill newborns pending transfer</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with neonatal competencies available at all times; NRP-trained provider at every delivery</w:t>
            </w:r>
          </w:p>
        </w:tc>
      </w:tr>
      <w:tr>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Level IIA</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Special Care Nursery</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Infants 32+ weeks and 1500g+; short-term respiratory support; IV fluids; phototherapy</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All Level I plus: CPAP, HFNC (for brief duration); IV fluids and medications; gavage feeding; phototherapy; antibiotics; stable convalescing infants transferred from higher levels</w:t>
            </w:r>
          </w:p>
        </w:tc>
        <w:tc>
          <w:tcPr>
            <w:tcW w:type="dxa" w:w="3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RN-to-patient ratio 1:3 to 1:4; NNP or neonatologist available by telemedicine; RT available or RN with respiratory competency</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Level IIB (II+)</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Extended Special Care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IIA plus brief mechanical ventilation</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All IIA plus: mechanical ventilation for brief duration (typically less than 24 hours); more complex monitoring</w:t>
            </w:r>
          </w:p>
        </w:tc>
        <w:tc>
          <w:tcPr>
            <w:tcW w:type="dxa" w:w="3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IIA plus: physician capable of intubation and emergency procedures available; RT available 24/7</w:t>
            </w:r>
          </w:p>
        </w:tc>
      </w:tr>
    </w:tbl>
    <w:p>
      <w:pPr>
        <w:spacing w:after="120"/>
      </w:pPr>
    </w:p>
    <w:p>
      <w:pPr>
        <w:pStyle w:val="Heading2"/>
      </w:pPr>
      <w:r>
        <w:t xml:space="preserve">1.2 Inclusion and Exclusion Criteria</w:t>
      </w:r>
    </w:p>
    <w:p>
      <w:pPr>
        <w:spacing w:after="120" w:line="276"/>
      </w:pPr>
      <w:r>
        <w:t xml:space="preserve">This pathway applies to all newborns admitted to Level I and Level II nurseries. Infants meeting Level III or IV criteria (gestational age less than 32 weeks, birth weight less than 1500 grams, major congenital anomalies requiring surgery, anticipated need for prolonged mechanical ventilation, hemodynamic instability requiring vasoactive support, or need for subspecialty services not available at the facility) should be transferred to an appropriate higher-level facility. During the stabilization period prior to transfer, the relevant sections of this pathway apply.</w:t>
      </w:r>
    </w:p>
    <w:p>
      <w:r>
        <w:br w:type="page"/>
      </w:r>
    </w:p>
    <w:p>
      <w:pPr>
        <w:pStyle w:val="Heading1"/>
      </w:pPr>
      <w:r>
        <w:t xml:space="preserve">Section 2: Thermoregulation Pathway</w:t>
      </w:r>
    </w:p>
    <w:p>
      <w:pPr>
        <w:spacing w:after="120" w:line="276"/>
      </w:pPr>
      <w:r>
        <w:t xml:space="preserve">Thermoregulation is the first clinical domain addressed in this pathway because temperature stability is a prerequisite for metabolic stability, respiratory function, and successful feeding. Hypothermia increases oxygen consumption, depletes glycogen stores, promotes metabolic acidosis, and exacerbates respiratory distress. Every degree below 36.5 degrees Celsius at NICU admission is associated with a 28 percent increase in mortality risk in VLBW infants and significant increases in morbidity across all gestational ages.</w:t>
      </w:r>
    </w:p>
    <w:p>
      <w:pPr>
        <w:pStyle w:val="Heading2"/>
      </w:pPr>
      <w:r>
        <w:t xml:space="preserve">2.1 Delivery Room Thermoregulation Protocol</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500"/>
        <w:gridCol w:w="1400"/>
      </w:tblGrid>
      <w:tr>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Environmental Temp</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Interventions</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Admission Temp</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 vaginal delivery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23 to 25 degrees C</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Immediate drying; skin-to-skin with mother under warm blanket; hat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 cesarean delivery</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23 to 25 degrees C</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Pre-warmed radiant warmer if SSC not immediately possible; dry and swaddle; SSC as soon as feasible</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(34 to 36 weeks)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to 26 degrees C</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Pre-warmed radiant warmer; dry thoroughly; hat; chemical warming mattress available; SSC when stable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r>
      <w:tr>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less than 34 weeks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26 degrees C</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Polyethylene wrap or bag (without drying below neck); chemical warming mattress; hat; pre-warmed transport incubator</w:t>
            </w:r>
          </w:p>
        </w:tc>
        <w:tc>
          <w:tcPr>
            <w:tcW w:type="dxa" w:w="14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Resuscitation required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26 degrees C</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Radiant warmer in servo mode; plastic wrap for less than 32 weeks; chemical mattress; avoid hypothermia during prolonged resuscitation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r>
    </w:tbl>
    <w:p>
      <w:pPr>
        <w:spacing w:after="120"/>
      </w:pPr>
    </w:p>
    <w:p>
      <w:pPr>
        <w:pStyle w:val="Heading2"/>
      </w:pPr>
      <w:r>
        <w:t xml:space="preserve">2.2 Nursery Thermoregulation Management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200"/>
        <w:gridCol w:w="24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Classification (WHO)</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Temperature Range</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Assessment</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w:t>
            </w:r>
          </w:p>
        </w:tc>
        <w:tc>
          <w:tcPr>
            <w:tcW w:type="dxa" w:w="2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Monitoring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36.5 to 37.5 degrees 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Routine vital signs per protocol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Routine care; appropriate clothing and blankets; room temp 22 to 26 degrees C</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 every 3 to 4 hours (Level I); every 2 to 4 hours (Level II)</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Cold stress (mild hypothermia)</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36.0 to 36.4 degrees C</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environment; assess feeding adequacy; assess for sepsis if unexplained</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Skin-to-skin contact; warm blankets; increase ambient temperature; hat; ensure adequate caloric intake; recheck in 30 to 60 minutes</w:t>
            </w:r>
          </w:p>
        </w:tc>
        <w:tc>
          <w:tcPr>
            <w:tcW w:type="dxa" w:w="2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Recheck every 30 minutes until 36.5+ achieved; then resume routine schedule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Moderate hypothermia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32.0 to 35.9 degrees 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Full assessment including glucose; consider sepsis evaluation; assess cardiovascular status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Radiant warmer in servo mode (set skin temp 36.5); rewarm gradually (0.5 degrees C per hour maximum to prevent apnea); check glucose immediately; IV access if glucose low</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temperature monitoring; glucose every 30 minutes during rewarming; vital signs every 15 minutes; consider transfer to Level II or III</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Severe hypothermia</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32.0 degrees C</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Full sepsis evaluation; glucose; blood gas; coagulation studies; cardiovascular assessment</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Aggressive rewarming with multiple modalities; warmed IV fluids; anticipate coagulopathy and metabolic acidosis; prepare for resuscitation; TRANSFER TO LEVEL III/IV</w:t>
            </w:r>
          </w:p>
        </w:tc>
        <w:tc>
          <w:tcPr>
            <w:tcW w:type="dxa" w:w="2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monitoring of all parameters; this is a medical emergency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Hyperthermia</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37.5 degrees 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environment first; then assess for sepsis; maternal fever exposure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 environmental heat sources; remove excess clothing/blankets; if persistent and no environmental cause, evaluate for sepsis</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Recheck in 30 minutes; if greater than 38.0 and no environmental cause, full sepsis evaluation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EXCEPTION TO REWARMING: If hypoxic-ischemic encephalopathy (HIE) is suspected in an infant 36 weeks or greater with moderate to severe encephalopathy, initiate PASSIVE COOLING (turn off warmer, do NOT actively rewarm). Target core temperature 33.0 to 34.0 degrees C rectal. Monitor rectal temperature every 15 minutes. Initiate transport to a cooling center immediately. Do not delay passive cooling while awaiting transport.</w:t>
            </w:r>
          </w:p>
        </w:tc>
      </w:tr>
    </w:tbl>
    <w:p>
      <w:r>
        <w:br w:type="page"/>
      </w:r>
    </w:p>
    <w:p>
      <w:pPr>
        <w:pStyle w:val="Heading1"/>
      </w:pPr>
      <w:r>
        <w:t xml:space="preserve">Section 3: Hypoglycemia Pathway</w:t>
      </w:r>
    </w:p>
    <w:p>
      <w:pPr>
        <w:spacing w:after="120" w:line="276"/>
      </w:pPr>
      <w:r>
        <w:t xml:space="preserve">Neonatal hypoglycemia is one of the most common metabolic problems in the newborn nursery. The 2011 AAP Clinical Report remains the primary US guideline and uses time-based operational thresholds rather than a single diagnostic glucose value. This approach recognizes that blood glucose concentrations normally decrease after birth as the neonate transitions from continuous placental glucose supply to intermittent enteral feeding. The Pediatric Endocrine Society (PES) guideline provides additional guidance for persistent and recurrent hypoglycemia beyond the transitional period.</w:t>
      </w:r>
    </w:p>
    <w:p>
      <w:pPr>
        <w:pStyle w:val="Heading2"/>
      </w:pPr>
      <w:r>
        <w:t xml:space="preserve">3.1 Screening Protocol</w:t>
      </w:r>
    </w:p>
    <w:p>
      <w:pPr>
        <w:pStyle w:val="Heading3"/>
      </w:pPr>
      <w:r>
        <w:t xml:space="preserve">Who to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At-Risk Population</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Pathophysiology</w:t>
            </w:r>
          </w:p>
        </w:tc>
        <w:tc>
          <w:tcPr>
            <w:tcW w:type="dxa" w:w="3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Screening Duration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(34 0/7 to 36 6/7 weeks)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Reduced hepatic glycogen stores; immature gluconeogenesis and ketogenesis; decreased subcutaneous fat for thermogenesis</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First 24 hours of life minimum</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Small for gestational age (less than 10th percentile)</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Depleted glycogen and fat stores from chronic intrauterine undernutrition; reduced gluconeogenic substrate</w:t>
            </w:r>
          </w:p>
        </w:tc>
        <w:tc>
          <w:tcPr>
            <w:tcW w:type="dxa" w:w="3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First 24 hours; longer if glucose unstable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Large for gestational age (greater than 90th percentile)</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Often associated with undiagnosed or poorly controlled maternal glucose intolerance; fetal hyperinsulinism</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First 12 to 24 hours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Infant of diabetic mother (pregestational or gestational)</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Fetal beta-cell hyperplasia from chronic hyperglycemia exposure; persistent hyperinsulinism after cord clamping</w:t>
            </w:r>
          </w:p>
        </w:tc>
        <w:tc>
          <w:tcPr>
            <w:tcW w:type="dxa" w:w="3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First 12 to 24 hours; may need extended screening for IDM with poor maternal control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Perinatal stress (asphyxia, sepsis, hypothermia, respiratory distress)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glucose consumption; depleted glycogen stores from stress response; impaired counter-regulatory responses</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Duration of acute illness plus 24 hours after stabilization</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Discordant twin (smaller twin)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Possible placental insufficiency with reduced glycogen stores; consider SGA criteria</w:t>
            </w:r>
          </w:p>
        </w:tc>
        <w:tc>
          <w:tcPr>
            <w:tcW w:type="dxa" w:w="3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SGA protocol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Beckwith-Wiedemann syndrome or other overgrowth syndromes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Congenital hyperinsulinism</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Extended screening; endocrine consultation</w:t>
            </w:r>
          </w:p>
        </w:tc>
      </w:tr>
    </w:tbl>
    <w:p>
      <w:pPr>
        <w:spacing w:after="120"/>
      </w:pPr>
    </w:p>
    <w:p>
      <w:pPr>
        <w:pStyle w:val="Heading3"/>
      </w:pPr>
      <w:r>
        <w:t xml:space="preserve">Screening Schedule</w:t>
      </w:r>
    </w:p>
    <w:p>
      <w:pPr>
        <w:spacing w:after="120" w:line="276"/>
      </w:pPr>
      <w:r>
        <w:t xml:space="preserve">Screen within 30 minutes of the first feed (first feed should occur within 1 hour of birth). Continue screening before each feed (every 2 to 3 hours) for the first 24 hours. For IDMs with poor maternal glycemic control: consider extending screening to 48 hours. For SGA infants: screen for 24 hours minimum; extend if any glucose below 45 mg/dL occurs. Point-of-care glucose meters are acceptable for screening but any value below the treatment threshold should be confirmed with a laboratory glucose if it will not delay treatment.</w:t>
      </w:r>
    </w:p>
    <w:p>
      <w:pPr>
        <w:pStyle w:val="Heading2"/>
      </w:pPr>
      <w:r>
        <w:t xml:space="preserve">3.2 Management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1"/>
              <w:right w:val="single" w:color="1565C0" w:sz="1"/>
            </w:tcBorders>
            <w:shd w:fill="E3F2FD" w:val="clear"/>
            <w:tcMar>
              <w:top w:type="dxa" w:w="100"/>
              <w:left w:type="dxa" w:w="150"/>
              <w:bottom w:type="dxa" w:w="100"/>
              <w:right w:type="dxa" w:w="150"/>
            </w:tcMar>
          </w:tcPr>
          <w:p>
            <w:pPr>
              <w:spacing w:after="60"/>
            </w:pPr>
            <w:r>
              <w:rPr>
                <w:b/>
                <w:bCs/>
                <w:color w:val="1565C0"/>
                <w:sz w:val="22"/>
                <w:szCs w:val="22"/>
              </w:rPr>
              <w:t xml:space="preserve">BIRTH TO 4 HOURS</w:t>
            </w:r>
          </w:p>
          <w:p>
            <w:pPr>
              <w:spacing w:after="0"/>
            </w:pPr>
            <w:r>
              <w:rPr>
                <w:sz w:val="20"/>
                <w:szCs w:val="20"/>
              </w:rPr>
              <w:t xml:space="preserve">Initial feed by 1 hour of life. Screen glucose 30 minutes after first feed.
Glucose LESS THAN 25 mg/dL at any time -&gt; SYMPTOMATIC THRESHOLD: IV D10W 2 mL/kg bolus over 1 to 2 minutes followed by D10W infusion at 80 mL/kg/day (GIR 5.5 mg/kg/min). Recheck glucose in 30 minutes.
Glucose 25 to 40 mg/dL -&gt; INTERVENTION THRESHOLD: Administer oral dextrose gel 40% (0.5 mL/kg massaged into buccal mucosa) PLUS breast or formula feed. Recheck glucose 30 minutes after intervention. If glucose still 25 to 40 mg/dL after gel plus feed -&gt; IV D10W as above. If glucose now greater than 40 mg/dL -&gt; continue feeds every 2 to 3 hours with pre-feed glucose checks.
Glucose GREATER THAN 40 mg/dL -&gt; Continue feeds every 2 to 3 hours; screen per protocol.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3"/>
              <w:bottom w:val="single" w:color="1565C0" w:sz="1"/>
              <w:right w:val="single" w:color="1565C0" w:sz="1"/>
            </w:tcBorders>
            <w:shd w:fill="E3F2FD" w:val="clear"/>
            <w:tcMar>
              <w:top w:type="dxa" w:w="100"/>
              <w:left w:type="dxa" w:w="150"/>
              <w:bottom w:type="dxa" w:w="100"/>
              <w:right w:type="dxa" w:w="150"/>
            </w:tcMar>
          </w:tcPr>
          <w:p>
            <w:pPr>
              <w:spacing w:after="60"/>
            </w:pPr>
            <w:r>
              <w:rPr>
                <w:b/>
                <w:bCs/>
                <w:color w:val="1565C0"/>
                <w:sz w:val="22"/>
                <w:szCs w:val="22"/>
              </w:rPr>
              <w:t xml:space="preserve">4 TO 24 HOURS</w:t>
            </w:r>
          </w:p>
          <w:p>
            <w:pPr>
              <w:spacing w:after="0"/>
            </w:pPr>
            <w:r>
              <w:rPr>
                <w:sz w:val="20"/>
                <w:szCs w:val="20"/>
              </w:rPr>
              <w:t xml:space="preserve">Screen before each feed (every 2 to 3 hours).
Glucose LESS THAN 35 mg/dL -&gt; IV D10W 2 mL/kg bolus followed by infusion. Recheck in 30 minutes.
Glucose 35 to 45 mg/dL -&gt; Dextrose gel plus feed; recheck in 30 to 60 minutes. If persistent 35 to 45 after intervention -&gt; IV glucose.
Glucose GREATER THAN 45 mg/dL -&gt; Continue screening per protocol. If three consecutive pre-feed values are 45 mg/dL or greater, may discontinue screening.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3"/>
              <w:bottom w:val="single" w:color="E65100" w:sz="1"/>
              <w:right w:val="single" w:color="E65100" w:sz="1"/>
            </w:tcBorders>
            <w:shd w:fill="FFF3E0" w:val="clear"/>
            <w:tcMar>
              <w:top w:type="dxa" w:w="100"/>
              <w:left w:type="dxa" w:w="150"/>
              <w:bottom w:type="dxa" w:w="100"/>
              <w:right w:type="dxa" w:w="150"/>
            </w:tcMar>
          </w:tcPr>
          <w:p>
            <w:pPr>
              <w:spacing w:after="60"/>
            </w:pPr>
            <w:r>
              <w:rPr>
                <w:b/>
                <w:bCs/>
                <w:color w:val="E65100"/>
                <w:sz w:val="22"/>
                <w:szCs w:val="22"/>
              </w:rPr>
              <w:t xml:space="preserve">PERSISTENT HYPOGLYCEMIA (beyond 48 hours)</w:t>
            </w:r>
          </w:p>
          <w:p>
            <w:pPr>
              <w:spacing w:after="0"/>
            </w:pPr>
            <w:r>
              <w:rPr>
                <w:sz w:val="20"/>
                <w:szCs w:val="20"/>
              </w:rPr>
              <w:t xml:space="preserve">If unable to maintain glucose greater than 50 mg/dL despite GIR of 8 to 10 mg/kg/min, or if requiring GIR greater than 10 to 12 mg/kg/min to maintain euglycemia:
1. Obtain CRITICAL SAMPLE during next hypoglycemic episode (before treatment): insulin, C-peptide, cortisol, growth hormone, free fatty acids, beta-hydroxybutyrate, ammonia, lactate, pyruvate, acylcarnitine profile, urine organic acids
2. Consult pediatric endocrinology
3. Consider: congenital hyperinsulinism (most common), panhypopituitarism, cortisol deficiency, fatty acid oxidation defect, glycogen storage disease
4. May need glucagon stimulation test or diazoxide trial
5. Consider transfer to tertiary center for endocrine workup</w:t>
            </w:r>
          </w:p>
        </w:tc>
      </w:tr>
    </w:tbl>
    <w:p>
      <w:pPr>
        <w:pStyle w:val="Heading2"/>
      </w:pPr>
      <w:r>
        <w:t xml:space="preserve">3.3 IV Glucose Management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7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Guideline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Initial bolus</w:t>
            </w:r>
          </w:p>
        </w:tc>
        <w:tc>
          <w:tcPr>
            <w:tcW w:type="dxa" w:w="7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 2 mL/kg (200 mg/kg) IV push over 1 to 2 minutes; do NOT use D25W or D50W (osmolar injury risk with peripheral IV; use only through UVC)</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Initial infusion</w:t>
            </w:r>
          </w:p>
        </w:tc>
        <w:tc>
          <w:tcPr>
            <w:tcW w:type="dxa" w:w="7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 at 80 mL/kg/day = GIR approximately 5.5 mg/kg/min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Glucose recheck</w:t>
            </w:r>
          </w:p>
        </w:tc>
        <w:tc>
          <w:tcPr>
            <w:tcW w:type="dxa" w:w="7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30 minutes after bolus; then every 1 to 2 hours until stable above threshold; then before feeds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glucose remains low</w:t>
            </w:r>
          </w:p>
        </w:tc>
        <w:tc>
          <w:tcPr>
            <w:tcW w:type="dxa" w:w="7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 rate: 80 -&gt; 100 -&gt; 120 -&gt; 150 mL/kg/day. If at 150 mL/kg/day and still low, increase concentration: D10W -&gt; D12.5W (maximum for peripheral IV). D15W or higher requires central access (UVC).</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Target GIR</w:t>
            </w:r>
          </w:p>
        </w:tc>
        <w:tc>
          <w:tcPr>
            <w:tcW w:type="dxa" w:w="7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8 mg/kg/min for most infants; up to 10 to 12 for refractory; greater than 12 = likely hyperinsulinism</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Weaning IV glucose</w:t>
            </w:r>
          </w:p>
        </w:tc>
        <w:tc>
          <w:tcPr>
            <w:tcW w:type="dxa" w:w="7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Begin when tolerating enteral feeds at 100+ mL/kg/day with pre-feed glucose consistently greater than 50 mg/dL. Wean GIR by 1 to 2 mg/kg/min every 4 to 6 hours while advancing feeds. Check glucose 30 to 60 minutes after each wean.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Discontinue IV</w:t>
            </w:r>
          </w:p>
        </w:tc>
        <w:tc>
          <w:tcPr>
            <w:tcW w:type="dxa" w:w="7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When GIR weaned to approximately 4 mg/kg/min and tolerating full enteral feeds with glucose consistently greater than 50 mg/dL before feeds. Check glucose before next 3 feeds after IV discontinuation.</w:t>
            </w:r>
          </w:p>
        </w:tc>
      </w:tr>
    </w:tbl>
    <w:p>
      <w:pPr>
        <w:spacing w:after="120"/>
      </w:pPr>
    </w:p>
    <w:p>
      <w:pPr>
        <w:pStyle w:val="Heading2"/>
      </w:pPr>
      <w:r>
        <w:t xml:space="preserve">3.4 GIR Quick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600"/>
        <w:gridCol w:w="1500"/>
        <w:gridCol w:w="1600"/>
        <w:gridCol w:w="1860"/>
      </w:tblGrid>
      <w:tr>
        <w:tc>
          <w:tcPr>
            <w:tcW w:type="dxa" w:w="13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D10W Rate (mL/kg/day)</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D10W Rate for 2 kg (mL/hr)</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D10W Rate for 2.5 kg (mL/hr)</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D10W Rate for 3 kg (mL/hr)</w:t>
            </w:r>
          </w:p>
        </w:tc>
        <w:tc>
          <w:tcPr>
            <w:tcW w:type="dxa" w:w="1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D10W Rate for 3.5 kg (mL/hr)</w:t>
            </w:r>
          </w:p>
        </w:tc>
        <w:tc>
          <w:tcPr>
            <w:tcW w:type="dxa" w:w="1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Approximate GIR</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6.3</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8.8</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4.2 mg/kg/min</w:t>
            </w:r>
          </w:p>
        </w:tc>
      </w:tr>
      <w:tr>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6.7</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11.7</w:t>
            </w:r>
          </w:p>
        </w:tc>
        <w:tc>
          <w:tcPr>
            <w:tcW w:type="dxa" w:w="1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5.5 mg/kg/min</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14.6</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6.9 mg/kg/min</w:t>
            </w:r>
          </w:p>
        </w:tc>
      </w:tr>
      <w:tr>
        <w:tc>
          <w:tcPr>
            <w:tcW w:type="dxa" w:w="13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12.5</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w:t>
            </w:r>
          </w:p>
        </w:tc>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17.5</w:t>
            </w:r>
          </w:p>
        </w:tc>
        <w:tc>
          <w:tcPr>
            <w:tcW w:type="dxa" w:w="1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8.3 mg/kg/min</w:t>
            </w:r>
          </w:p>
        </w:tc>
      </w:tr>
      <w:tr>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15.6</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21.9</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10.4 mg/kg/min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GIR FORMULA: GIR (mg/kg/min) = [Rate (mL/hr) x Dextrose concentration (%)] / [Weight (kg) x 6]. Example: 3 kg infant on D10W at 15 mL/hr: GIR = (15 x 10) / (3 x 6) = 150 / 18 = 8.3 mg/kg/min. To calculate rate needed for a target GIR: Rate (mL/hr) = [GIR x Weight (kg) x 6] / Dextrose concentration (%).</w:t>
            </w:r>
          </w:p>
        </w:tc>
      </w:tr>
    </w:tbl>
    <w:p>
      <w:r>
        <w:br w:type="page"/>
      </w:r>
    </w:p>
    <w:p>
      <w:pPr>
        <w:pStyle w:val="Heading1"/>
      </w:pPr>
      <w:r>
        <w:t xml:space="preserve">Section 4: Hyperbilirubinemia Pathway</w:t>
      </w:r>
    </w:p>
    <w:p>
      <w:pPr>
        <w:spacing w:after="120" w:line="276"/>
      </w:pPr>
      <w:r>
        <w:t xml:space="preserve">This pathway follows the 2022 AAP Clinical Practice Guideline for the management of hyperbilirubinemia in the newborn infant 35 or more weeks of gestation (Kemper et al., Pediatrics 2022). This represents a major revision of the prior 2004 guideline with approximately 47 percent lower phototherapy thresholds for infants with neurotoxicity risk factors and several important new recommendations.</w:t>
      </w:r>
    </w:p>
    <w:p>
      <w:pPr>
        <w:pStyle w:val="Heading2"/>
      </w:pPr>
      <w:r>
        <w:t xml:space="preserve">4.1 Universal Pre-Discharge Bilirubin Screening</w:t>
      </w:r>
    </w:p>
    <w:p>
      <w:pPr>
        <w:spacing w:after="120" w:line="276"/>
      </w:pPr>
      <w:r>
        <w:t xml:space="preserve">The 2022 AAP guideline recommends universal pre-discharge bilirubin screening using either total serum bilirubin (TSB) or transcutaneous bilirubin (TcB) measurement for all newborns before discharge. The measured bilirubin is plotted on the hour-specific nomogram to determine the risk zone (low, low-intermediate, high-intermediate, or high). The risk zone guides follow-up timing: high-risk zone infants require follow-up within 24 hours; high-intermediate within 48 hours; and low or low-intermediate within 48 to 72 hours for the first outpatient visit.</w:t>
      </w:r>
    </w:p>
    <w:p>
      <w:pPr>
        <w:spacing w:after="120" w:line="276"/>
      </w:pPr>
      <w:r>
        <w:t xml:space="preserve">TcB measurement is a validated, non-invasive screening tool that correlates well with TSB in most circumstances. However, TcB may be unreliable: during or after phototherapy (TcB underestimates TSB); in deeply pigmented skin (TcB may overestimate at low TSB levels and underestimate at high levels in some devices); and at TSB levels above 15 mg/dL (confirmation with laboratory TSB recommended). If TcB is used as the screening method and the result is within 3 mg/dL of the phototherapy threshold, a confirmatory TSB should be obtained.</w:t>
      </w:r>
    </w:p>
    <w:p>
      <w:pPr>
        <w:pStyle w:val="Heading2"/>
      </w:pPr>
      <w:r>
        <w:t xml:space="preserve">4.2 Neurotoxicity Risk Factor Assessment</w:t>
      </w:r>
    </w:p>
    <w:p>
      <w:pPr>
        <w:spacing w:after="120" w:line="276"/>
      </w:pPr>
      <w:r>
        <w:t xml:space="preserve">The 2022 guideline introduces a formal categorization of neurotoxicity risk factors that modifies both phototherapy and exchange transfusion thresholds. Infants with any neurotoxicity risk factor have LOWER treatment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Neurotoxicity Risk Factor</w:t>
            </w:r>
          </w:p>
        </w:tc>
        <w:tc>
          <w:tcPr>
            <w:tcW w:type="dxa" w:w="6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 / Notes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Gestational age 35 0/7 to 37 6/7 weeks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GA within this range = higher risk; each week below 38 weeks lowers the threshold</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Serum albumin less than 3.0 g/dL</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Albumin is the primary carrier of unconjugated bilirubin; low albumin increases the fraction of free (unbound) bilirubin available to cross the blood-brain barrier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Isoimmune hemolytic disease</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Positive direct antiglobulin test (DAT/Coombs); ABO or Rh incompatibility with ongoing hemolysis; increases bilirubin production rate</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G6PD deficiency</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X-linked enzyme deficiency affecting approximately 400 million people worldwide; triggers hemolytic crises with oxidative stress (infection, certain medications, fava beans); most common enzymatic cause of severe neonatal hyperbilirubinemia worldwide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Other hemolytic conditions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Spherocytosis, elliptocytosis, pyruvate kinase deficiency, alpha-thalassemia; any condition producing accelerated RBC destruction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w:t>
            </w:r>
          </w:p>
        </w:tc>
        <w:tc>
          <w:tcPr>
            <w:tcW w:type="dxa" w:w="6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Systemic infection impairs hepatic conjugation and may increase hemolysis; sepsis alone can cause rapidly rising bilirubin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Significant clinical instability in preceding 24 hours</w:t>
            </w:r>
          </w:p>
        </w:tc>
        <w:tc>
          <w:tcPr>
            <w:tcW w:type="dxa" w:w="6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Acidosis (pH less than 7.15), respiratory failure, hemodynamic instability, temperature instability requiring significant intervention; these conditions may impair the blood-brain barrier and increase bilirubin neurotoxicity</w:t>
            </w:r>
          </w:p>
        </w:tc>
      </w:tr>
    </w:tbl>
    <w:p>
      <w:pPr>
        <w:spacing w:after="120"/>
      </w:pPr>
    </w:p>
    <w:p>
      <w:pPr>
        <w:pStyle w:val="Heading2"/>
      </w:pPr>
      <w:r>
        <w:t xml:space="preserve">4.3 Phototherapy Initiation Thresholds</w:t>
      </w:r>
    </w:p>
    <w:p>
      <w:pPr>
        <w:spacing w:after="120" w:line="276"/>
      </w:pPr>
      <w:r>
        <w:t xml:space="preserve">The 2022 AAP guideline provides hour-specific phototherapy thresholds based on gestational age and the presence or absence of neurotoxicity risk factors. The thresholds are presented as curves on nomograms, but the following table provides approximate values at key time points for clinical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gridCol w:w="23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Infant Age</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38+ weeks, No Risk Factors</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38+ weeks, WITH Risk Factors</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35 to 37 weeks, No Risk Factors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35 to 37 weeks, WITH Risk Factors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hours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 mg/dL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9.5 mg/dL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mg/dL</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 mg/dL</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36 hours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13.5 mg/dL</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11.0 mg/dL</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11.5 mg/dL</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9.0 mg/dL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48 hours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mg/dL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 mg/dL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13.0 mg/dL</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mg/dL</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72 hours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17.5 mg/dL</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14.0 mg/dL</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15.0 mg/dL</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12.0 mg/dL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96 hours and beyond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18.0 to 20.0 mg/dL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14.5 to 17.0 mg/dL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16.0 to 17.5 mg/dL</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12.5 to 14.5 mg/dL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These are approximate values for quick clinical reference. ALWAYS refer to the hour-specific nomogram for exact thresholds. The actual nomogram curves provide continuous hour-by-hour thresholds. The 2022 thresholds are approximately 47% LOWER than the 2004 thresholds for infants with risk factors.</w:t>
            </w:r>
          </w:p>
        </w:tc>
      </w:tr>
    </w:tbl>
    <w:p>
      <w:pPr>
        <w:pStyle w:val="Heading2"/>
      </w:pPr>
      <w:r>
        <w:t xml:space="preserve">4.4 Phototherapy Management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4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Actions</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Bilirubin Monitoring</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Initiation</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Confirm TSB at or above phototherapy threshold for gestational age and risk factor status. Initiate INTENSIVE phototherapy (irradiance 30+ microwatts/cm2/nm) using LED device positioned as close as manufacturer allows. Maximum skin exposure (diaper only). Apply opaque eye shields. Verify irradiance with spectroradiometer at infant skin level.</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Recheck TSB 4 to 6 hours after initiation to confirm response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During treatment</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Maintain continuous phototherapy for TSB at or above escalation threshold (2 mg/dL below exchange). Cycled phototherapy (off for feeds and bonding) acceptable for TSB well below escalation threshold. Monitor temperature every 2 to 4 hours. Ensure adequate hydration (increase oral intake 10 to 20% or supplement IV). Eye shield care every 2 to 4 hours. Document irradiance at least daily.</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TSB every 6 to 12 hours until trending down consistently; then every 12 to 24 hours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Escalation phototherapy threshold</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TSB within 2 mg/dL of exchange transfusion threshold: INTENSIFY phototherapy (add second light source or fiber-optic pad underneath; ensure maximum irradiance). Consider IV fluid supplementation. Prepare for possible exchange transfusion. CONSULT neonatology.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TSB every 2 to 4 hours until clearly trending down and well below escalation threshold</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Discontinuation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Discontinue phototherapy when TSB has fallen to at least 2 to 3 mg/dL below the phototherapy threshold for the infant's current age. For infants with risk factors, consider a more conservative threshold for discontinuation.</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Rebound TSB 12 to 24 hours after stopping phototherapy. If TSB rises above or near the phototherapy threshold, reinitiate.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Post-phototherapy</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for rebound hyperbilirubinemia. Risk factors for rebound: GA less than 37 weeks, positive DAT, phototherapy initiated before 72 hours, TSB at or above escalation threshold during treatment.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At least one rebound TSB 12 to 24 hours after discontinuation. Consider additional check at 48 hours for high-risk infants.</w:t>
            </w:r>
          </w:p>
        </w:tc>
      </w:tr>
    </w:tbl>
    <w:p>
      <w:pPr>
        <w:spacing w:after="120"/>
      </w:pPr>
    </w:p>
    <w:p>
      <w:pPr>
        <w:pStyle w:val="Heading2"/>
      </w:pPr>
      <w:r>
        <w:t xml:space="preserve">4.5 Exchange Transfusion Thresholds and Preparation</w:t>
      </w:r>
    </w:p>
    <w:p>
      <w:pPr>
        <w:spacing w:after="120" w:line="276"/>
      </w:pPr>
      <w:r>
        <w:t xml:space="preserve">Exchange transfusion is indicated when TSB reaches or exceeds the exchange transfusion threshold despite intensive phototherapy, or when the infant shows signs of acute bilirubin encephalopathy regardless of TSB level. Approximate exchange transfusion thresholds (ALWAYS confirm with the nomogram):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Exchange Threshold at 24h</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Exchange Threshold at 48h</w:t>
            </w:r>
          </w:p>
        </w:tc>
        <w:tc>
          <w:tcPr>
            <w:tcW w:type="dxa" w:w="2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Exchange Threshold at 72h+</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38+ weeks, no risk factors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18.5 mg/dL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21.0 mg/dL</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24.0 mg/dL</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38+ weeks, WITH risk factors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16.0 mg/dL</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18.5 mg/dL</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21.0 mg/dL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37 weeks, no risk factors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16.5 mg/dL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19.0 mg/dL</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21.5 mg/dL</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37 weeks, WITH risk factors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14.5 mg/dL</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16.5 mg/dL</w:t>
            </w:r>
          </w:p>
        </w:tc>
        <w:tc>
          <w:tcPr>
            <w:tcW w:type="dxa" w:w="2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19.0 mg/dL</w:t>
            </w:r>
          </w:p>
        </w:tc>
      </w:tr>
    </w:tbl>
    <w:p>
      <w:pPr>
        <w:spacing w:after="120"/>
      </w:pPr>
    </w:p>
    <w:p>
      <w:pPr>
        <w:spacing w:after="120" w:line="276"/>
      </w:pPr>
      <w:r>
        <w:t xml:space="preserve">Exchange transfusion preparation in a Level I or II setting (TRANSFER to Level III required, but prepare while awaiting transport): Obtain blood type and crossmatch (infant and mother); obtain consent; establish UVC access if possible (or ensure peripheral IV for volume replacement); continuous cardiorespiratory monitoring; have resuscitation equipment at bedside; maintain intensive phototherapy during transport; communicate blood bank needs to receiving facility. A double-volume exchange (approximately 170 mL/kg) removes approximately 50 percent of the bilirubin and 85 percent of antibody-coated red blood cells.</w:t>
      </w:r>
    </w:p>
    <w:p>
      <w:r>
        <w:br w:type="page"/>
      </w:r>
    </w:p>
    <w:p>
      <w:pPr>
        <w:pStyle w:val="Heading1"/>
      </w:pPr>
      <w:r>
        <w:t xml:space="preserve">Section 5: Early-Onset Sepsis Pathway</w:t>
      </w:r>
    </w:p>
    <w:p>
      <w:pPr>
        <w:spacing w:after="120" w:line="276"/>
      </w:pPr>
      <w:r>
        <w:t xml:space="preserve">Early-onset sepsis (EOS), defined as systemic bacterial infection occurring within the first 72 hours of life, results from vertical transmission of organisms from the maternal genital tract during labor and delivery. The incidence of EOS in the United States is approximately 0.5 to 1.0 per 1000 live births for term infants and 2 to 5 per 1000 for preterm infants. GBS and E. coli account for approximately 70 percent of cases. Mortality is approximately 3 percent for term infants and 20 to 30 percent for preterm infants with EOS.</w:t>
      </w:r>
    </w:p>
    <w:p>
      <w:pPr>
        <w:pStyle w:val="Heading2"/>
      </w:pPr>
      <w:r>
        <w:t xml:space="preserve">5.1 Risk Factor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Risk Factor</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Relative Risk Increase</w:t>
            </w:r>
          </w:p>
        </w:tc>
        <w:tc>
          <w:tcPr>
            <w:tcW w:type="dxa" w:w="5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Mechanism</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GBS colonization without adequate IAP</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20-fold increase over treated</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Direct ascension and fetal exposure; IAP reduces transmission from 50% to 1 to 2%</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Chorioamnionitis (intraamniotic infection)</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 to 10 fold</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temp 38.0+C plus fetal tachycardia, uterine tenderness, or purulent fluid</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Prolonged rupture of membranes (greater than 18 hours)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4 fold</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Loss of barrier protection; ascending infection from vaginal flora</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labor (less than 37 weeks)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3 fold</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labor may be triggered by occult infection; immature neonatal immune system</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Previous infant with invasive GBS disease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(not precisely quantified)</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maternal colonization with high bacterial load</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GBS bacteriuria during this pregnancy</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Equivalent to heavy colonization</w:t>
            </w:r>
          </w:p>
        </w:tc>
        <w:tc>
          <w:tcPr>
            <w:tcW w:type="dxa" w:w="5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Indicates high GBS colony count; inadequate treatment of UTI may persist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fever (38.0 degrees C or higher) without chorioamnionitis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 may be epidural-related</w:t>
            </w:r>
          </w:p>
        </w:tc>
        <w:tc>
          <w:tcPr>
            <w:tcW w:type="dxa" w:w="5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Epidural fever occurs in 15 to 25% of labors with epidural; difficult to distinguish from infection</w:t>
            </w:r>
          </w:p>
        </w:tc>
      </w:tr>
    </w:tbl>
    <w:p>
      <w:pPr>
        <w:spacing w:after="120"/>
      </w:pPr>
    </w:p>
    <w:p>
      <w:pPr>
        <w:pStyle w:val="Heading2"/>
      </w:pPr>
      <w:r>
        <w:t xml:space="preserve">5.2 Three Approaches to EOS Risk Assessment</w:t>
      </w:r>
    </w:p>
    <w:p>
      <w:pPr>
        <w:spacing w:after="120" w:line="276"/>
      </w:pPr>
      <w:r>
        <w:t xml:space="preserve">This pathway supports all three validated approaches. The institution should adopt one approach and apply it consistently. The choice depends on nursing assessment capability, staffing models, and institutional culture.</w:t>
      </w:r>
    </w:p>
    <w:p>
      <w:pPr>
        <w:pStyle w:val="Heading3"/>
      </w:pPr>
      <w:r>
        <w:t xml:space="preserve">Approach A: Categorical (Traditional CDC/AAP)</w:t>
      </w:r>
    </w:p>
    <w:p>
      <w:pPr>
        <w:spacing w:after="120" w:line="276"/>
      </w:pPr>
      <w:r>
        <w:t xml:space="preserve">If any risk factors present in a term or late preterm infant: obtain limited evaluation (CBC with differential at 6 to 12 hours of age, blood culture) and initiate enhanced observation with vital signs every 4 hours for 48 hours. If chorioamnionitis diagnosed: obtain limited evaluation plus begin empiric antibiotics (ampicillin plus gentamicin) regardless of clinical appearance. If well-appearing with risk factors other than chorioamnionitis: enhanced observation alone is an acceptable alternative to empiric antibiotics.</w:t>
      </w:r>
    </w:p>
    <w:p>
      <w:pPr>
        <w:spacing w:after="120" w:line="276"/>
      </w:pPr>
      <w:r>
        <w:t xml:space="preserve">Advantages: Simple algorithm; maximizes sensitivity; long track record. Disadvantages: Highest rate of antibiotic exposure (5 to 10 percent of all newborns evaluated); highest rate of mother-infant separation; highest rate of unnecessary blood cultures.</w:t>
      </w:r>
    </w:p>
    <w:p>
      <w:pPr>
        <w:pStyle w:val="Heading3"/>
      </w:pPr>
      <w:r>
        <w:t xml:space="preserve">Approach B: EOS Calculator (Kaiser Permanente)</w:t>
      </w:r>
    </w:p>
    <w:p>
      <w:pPr>
        <w:spacing w:after="120" w:line="276"/>
      </w:pPr>
      <w:r>
        <w:t xml:space="preserve">Enter maternal data into the validated multivariate model (available at neonatalsepsiscalculator.kaiserpermanente.org): gestational age, highest maternal intrapartum temperature, ROM duration, maternal GBS status, and type of intrapartum antibiotics. The calculator produces a birth-level EOS risk per 1000 live births, which is then modified by the infant's clinical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Clinical Presentation</w:t>
            </w:r>
          </w:p>
        </w:tc>
        <w:tc>
          <w:tcPr>
            <w:tcW w:type="dxa" w:w="3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Definition</w:t>
            </w:r>
          </w:p>
        </w:tc>
        <w:tc>
          <w:tcPr>
            <w:tcW w:type="dxa" w:w="3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Effect on Risk</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Well-appearing</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Normal vital signs; no respiratory distress; feeding well; normal tone; normal color</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Risk remains at or near birth-level risk</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Equivocal</w:t>
            </w:r>
          </w:p>
        </w:tc>
        <w:tc>
          <w:tcPr>
            <w:tcW w:type="dxa" w:w="3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Any clinical signs that are not clearly normal but not clearly ill: mild tachypnea that resolves, temperature instability that resolves with environmental adjustment, borderline tone</w:t>
            </w:r>
          </w:p>
        </w:tc>
        <w:tc>
          <w:tcPr>
            <w:tcW w:type="dxa" w:w="37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Risk multiplied approximately 5 to 10 fold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Clinical illness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respiratory distress; hemodynamic instability; seizures; hypotonia; poor perfusion; need for respiratory support</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Risk multiplied approximately 20 to 50 fold</w:t>
            </w:r>
          </w:p>
        </w:tc>
      </w:tr>
    </w:tbl>
    <w:p>
      <w:pPr>
        <w:spacing w:after="120"/>
      </w:pPr>
    </w:p>
    <w:p>
      <w:pPr>
        <w:spacing w:after="120" w:line="276"/>
      </w:pPr>
      <w:r>
        <w:t xml:space="preserve">Recommendations based on combined risk: Less than 0.65 per 1000 = routine care (no labs, no antibiotics, no enhanced observation beyond routine). 0.65 to 1.54 per 1000 = enhanced observation with vital signs every 4 hours for 24 hours minimum. Greater than or equal to 1.54 per 1000 = blood culture plus empiric antibiotics. Clinical illness at any risk level = full evaluation plus empiric antibiotics.</w:t>
      </w:r>
    </w:p>
    <w:p>
      <w:pPr>
        <w:spacing w:after="120" w:line="276"/>
      </w:pPr>
      <w:r>
        <w:t xml:space="preserve">Advantages: Reduces antibiotic exposure by 40 to 60 percent; reduces NICU admissions and mother-infant separation; validated in over 200,000 infants across multiple centers. Disadvantages: Requires data entry and calculation; relies on accurate clinical exam classification; not validated below 34 weeks GA; requires institutional buy-in and education.</w:t>
      </w:r>
    </w:p>
    <w:p>
      <w:pPr>
        <w:pStyle w:val="Heading3"/>
      </w:pPr>
      <w:r>
        <w:t xml:space="preserve">Approach C: Enhanced Serial Observation</w:t>
      </w:r>
    </w:p>
    <w:p>
      <w:pPr>
        <w:spacing w:after="120" w:line="276"/>
      </w:pPr>
      <w:r>
        <w:t xml:space="preserve">For well-appearing at-risk infants (including those born to mothers with chorioamnionitis who appear well): enhanced vital signs assessment every 4 hours for 24 to 48 hours by trained nursing staff. No empiric labs or antibiotics unless clinical signs develop. If any clinical signs develop, proceed to full evaluation and empiric antibiotics immediately.</w:t>
      </w:r>
    </w:p>
    <w:p>
      <w:pPr>
        <w:spacing w:after="120" w:line="276"/>
      </w:pPr>
      <w:r>
        <w:t xml:space="preserve">Enhanced observation parameters: heart rate (trend from baseline); respiratory rate and work of breathing; temperature (core and peripheral if available); color and perfusion (capillary refill, mottling); feeding behavior (vigor, volume tolerance); activity and tone; and general assessment (parental concern should be incorporated). Any deviation from normal triggers physician notification and evaluation.</w:t>
      </w:r>
    </w:p>
    <w:p>
      <w:pPr>
        <w:spacing w:after="120" w:line="276"/>
      </w:pPr>
      <w:r>
        <w:t xml:space="preserve">Advantages: Lowest antibiotic exposure; least mother-infant separation; empowers nursing assessment. Disadvantages: Requires robust nursing assessment capability and staffing; may generate anxiety in parents and staff; may miss subtle or rapidly progressive presentations; requires a safety net of readily available lab and treatment capability.</w:t>
      </w:r>
    </w:p>
    <w:p>
      <w:pPr>
        <w:pStyle w:val="Heading2"/>
      </w:pPr>
      <w:r>
        <w:t xml:space="preserve">5.3 Empiric Antibiotic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1200"/>
        <w:gridCol w:w="29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Medication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Dose</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Interval</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Route</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Coverage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Ampicillin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 mg/kg/dose (100 mg/kg/dose for meningitis)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12 hours for age 0 to 7 days (term); every 8 hours for age 8+ days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push over 3 to 5 minutes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GBS, Listeria, most Enterococcus, some gram-negatives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Gentamicin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mg/kg/dose for 35+ weeks; 5 mg/kg/dose for less than 35 weeks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24 hours for 35+ weeks; every 36 hours for 30 to 34 weeks; every 48 hours for less than 30 weeks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over 30 minutes</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Gram-negative coverage including E. coli; synergy with ampicillin for GBS and Enterococcus</w:t>
            </w:r>
          </w:p>
        </w:tc>
      </w:tr>
    </w:tbl>
    <w:p>
      <w:pPr>
        <w:spacing w:after="120"/>
      </w:pPr>
    </w:p>
    <w:p>
      <w:pPr>
        <w:spacing w:after="120" w:line="276"/>
      </w:pPr>
      <w:r>
        <w:t xml:space="preserve">Timing: Antibiotics should be administered within 1 hour of the decision to treat. Blood culture MUST be obtained before the first dose of antibiotics. Order both ampicillin and gentamicin simultaneously; give ampicillin first (IV push) while gentamicin is being prepared (30-minute infusion).</w:t>
      </w:r>
    </w:p>
    <w:p>
      <w:pPr>
        <w:spacing w:after="120" w:line="276"/>
      </w:pPr>
      <w:r>
        <w:t xml:space="preserve">Duration: If blood culture is negative at 36 to 48 hours AND the infant is clinically well, discontinue antibiotics. If blood culture is positive, continue for 7 to 10 days (14 to 21 days for meningitis). If clinical suspicion remains high despite negative blood culture (partially treated by maternal IAP, strong clinical illness), consider completing a 48-hour course with close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5724" w:sz="3"/>
              <w:left w:val="single" w:color="155724" w:sz="3"/>
              <w:bottom w:val="single" w:color="155724" w:sz="1"/>
              <w:right w:val="single" w:color="155724" w:sz="1"/>
            </w:tcBorders>
            <w:shd w:fill="D4EDDA" w:val="clear"/>
            <w:tcMar>
              <w:top w:type="dxa" w:w="100"/>
              <w:left w:type="dxa" w:w="150"/>
              <w:bottom w:type="dxa" w:w="100"/>
              <w:right w:type="dxa" w:w="150"/>
            </w:tcMar>
          </w:tcPr>
          <w:p>
            <w:pPr>
              <w:spacing w:after="60"/>
            </w:pPr>
            <w:r>
              <w:rPr>
                <w:b/>
                <w:bCs/>
                <w:color w:val="155724"/>
                <w:sz w:val="22"/>
                <w:szCs w:val="22"/>
              </w:rPr>
              <w:t xml:space="preserve">CLINICAL PEARL</w:t>
            </w:r>
          </w:p>
          <w:p>
            <w:pPr>
              <w:spacing w:after="0"/>
            </w:pPr>
            <w:r>
              <w:rPr>
                <w:sz w:val="20"/>
                <w:szCs w:val="20"/>
              </w:rPr>
              <w:t xml:space="preserve">The 36-HOUR RULE is the cornerstone of neonatal antibiotic stewardship. Modern blood culture systems (continuous monitoring, automated detection) have a sensitivity of 96 to 99 percent for true bacteremia by 36 hours of incubation. An infant who is clinically well with a blood culture negative at 36 hours has a very low probability of EOS, and antibiotics can be safely discontinued.</w:t>
            </w:r>
          </w:p>
        </w:tc>
      </w:tr>
    </w:tbl>
    <w:p>
      <w:r>
        <w:br w:type="page"/>
      </w:r>
    </w:p>
    <w:p>
      <w:pPr>
        <w:pStyle w:val="Heading1"/>
      </w:pPr>
      <w:r>
        <w:t xml:space="preserve">Section 6: Respiratory Support Pathway</w:t>
      </w:r>
    </w:p>
    <w:p>
      <w:pPr>
        <w:spacing w:after="120" w:line="276"/>
      </w:pPr>
      <w:r>
        <w:t xml:space="preserve">Respiratory distress is the most common reason for admission to the special care nursery and the most frequent indication for transfer to a higher level of care. This pathway provides a structured approach to respiratory assessment, escalation, and de-escalation of support in the Level I and Level II nursery setting.</w:t>
      </w:r>
    </w:p>
    <w:p>
      <w:pPr>
        <w:pStyle w:val="Heading2"/>
      </w:pPr>
      <w:r>
        <w:t xml:space="preserve">6.1 Initial Respiratory Assessment</w:t>
      </w:r>
    </w:p>
    <w:p>
      <w:pPr>
        <w:spacing w:after="120" w:line="276"/>
      </w:pPr>
      <w:r>
        <w:t xml:space="preserve">Every newborn should be assessed for respiratory distress within the first 2 hours of life. The assessment includes: respiratory rate (count for 60 seconds at rest); work of breathing using the Silverman-Anderson Score; oxygen saturation (pre-ductal, right hand); auscultation of breath sounds (symmetry, adventitious sounds); color assessment; and overall clinical impression (comfortable versus distressed).</w:t>
      </w:r>
    </w:p>
    <w:p>
      <w:pPr>
        <w:pStyle w:val="Heading2"/>
      </w:pPr>
      <w:r>
        <w:t xml:space="preserve">6.2 Differential Diagnosis of Neonatal Respiratory Distress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800"/>
        <w:gridCol w:w="1800"/>
        <w:gridCol w:w="2200"/>
      </w:tblGrid>
      <w:tr>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c>
          <w:tcPr>
            <w:tcW w:type="dxa" w:w="9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Typical Onset</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Clinical Features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CXR Findings</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Expected Course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TTN (Transient Tachypnea of the Newborn)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to 2 hours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Tachypnea (60 to 80+); mild retractions; often after cesarean or rapid delivery; term or late preterm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Perihilar streaking; fluid in fissures; hyperinflation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Resolves within 24 to 72 hours; supportive care</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RDS (Respiratory Distress Syndrome)</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to 4 hours, progressive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Progressive tachypnea, grunting, retractions; preterm; worsens over first 48 hours without surfactant</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Diffuse ground-glass opacities; air bronchograms; low lung volumes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need CPAP or surfactant; peaks at 48 to 72 hours; recovery over 3 to 7 days</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Pneumonia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Variable (birth to days)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distress with systemic illness signs (temperature instability, poor feeding, lethargy)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Patchy infiltrates; may mimic RDS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Antibiotics; supportive respiratory care; duration depends on organism</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Pneumothorax</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Sudden onset</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Acute deterioration; asymmetric breath sounds; transillumination positive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Visible pleural air; mediastinal shift if tension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Needle decompression for tension; chest tube for persistent</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MAS (Meconium Aspiration Syndrome)</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Meconium-stained fluid; barrel-shaped chest; coarse breath sounds; may develop PPHN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Hyperinflation with patchy infiltrates; bilateral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Supportive; surfactant for severe; iNO for PPHN; ECMO if refractory</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Congenital heart disease</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Hours to days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Cyanosis unresponsive to supplemental O2; murmur (may be absent); differential pre/post-ductal SpO2; hepatomegaly; poor perfusion</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May show cardiomegaly, pulmonary edema, or normal; compare with echo</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CCHD screen; echocardiography; PGE1 if ductal-dependent; cardiology consult</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CDH (Congenital Diaphragmatic Hernia)</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distress with scaphoid abdomen; bowel sounds in chest; barrel-shaped on affected side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Bowel loops in thorax; mediastinal shift; absent diaphragmatic contour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Intubation (avoid bag-mask); OG decompression; TRANSFER to surgical center</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Choanal atresia</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Bilateral: severe distress relieved by crying (mouth breathing); unilateral: may present later</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CT scan diagnostic</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Oral airway for immediate management; ENT surgical repair</w:t>
            </w:r>
          </w:p>
        </w:tc>
      </w:tr>
    </w:tbl>
    <w:p>
      <w:pPr>
        <w:spacing w:after="120"/>
      </w:pPr>
    </w:p>
    <w:p>
      <w:pPr>
        <w:pStyle w:val="Heading2"/>
      </w:pPr>
      <w:r>
        <w:t xml:space="preserve">6.3 Respiratory Support Escalation Pathway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1800"/>
        <w:gridCol w:w="3360"/>
      </w:tblGrid>
      <w:tr>
        <w:tc>
          <w:tcPr>
            <w:tcW w:type="dxa" w:w="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Step</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Modality</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Settings</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Escalation Trigger</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Nursing Actions</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Room air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SpO2 less than 90% at rest; tachypnea greater than 60 persistent; increased WOB</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Position airway (neutral or sniffing position); clear secretions; assess for cause</w:t>
            </w:r>
          </w:p>
        </w:tc>
      </w:tr>
      <w:tr>
        <w:tc>
          <w:tcPr>
            <w:tcW w:type="dxa" w:w="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Low-flow nasal cannula</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0.25 to 1 LPM; titrate FiO2 to target SpO2</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to maintain SpO2; worsening WOB; apnea</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SpO2 monitoring; assess every 1 to 2 hours; document Silverman-Anderson score</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High-flow nasal cannula (HFNC)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 to 6 LPM heated humidified; titrate FiO2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on max flow; worsening WOB; recurrent apnea</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Ensure proper cannula size (less than 50% nares occlusion); monitor temperature; assess every 1 hour</w:t>
            </w:r>
          </w:p>
        </w:tc>
      </w:tr>
      <w:tr>
        <w:tc>
          <w:tcPr>
            <w:tcW w:type="dxa" w:w="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 to 8 cmH2O; titrate FiO2</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0.40 on CPAP 6+; CPAP failure criteria met (see Section 6.4)</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Interface selection and skin assessment every 2 to 4 hours; gastric decompression with OG tube; continuous monitoring</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Consider surfactant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Beractant 4 mL/kg or poractant alfa 2.5 mL/kg via LISA or INSURE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FiO2 greater than 0.30 to 0.40 on CPAP 6+ in preterm with RDS; clinical deterioration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Prepare intubation equipment; medication at bedside; monitor for acute changes in compliance</w:t>
            </w:r>
          </w:p>
        </w:tc>
      </w:tr>
      <w:tr>
        <w:tc>
          <w:tcPr>
            <w:tcW w:type="dxa" w:w="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Mechanical ventilation</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clinical indication and mode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failure; apnea unresponsive to CPAP and caffeine; surfactant failure; cardiovascular instability</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Prepare for intubation; verify ETT position; continuous monitoring; prepare for possible transfer</w:t>
            </w:r>
          </w:p>
        </w:tc>
      </w:tr>
      <w:tr>
        <w:tc>
          <w:tcPr>
            <w:tcW w:type="dxa" w:w="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Consider TRANSFER</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Ventilation anticipated greater than 24 hours (Level IIA); any ventilation (Level I); FiO2 greater than 0.60; hemodynamic instability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Initiate transport process; stabilize using S.T.A.B.L.E.; communicate with receiving facility</w:t>
            </w:r>
          </w:p>
        </w:tc>
      </w:tr>
    </w:tbl>
    <w:p>
      <w:pPr>
        <w:spacing w:after="120"/>
      </w:pPr>
    </w:p>
    <w:p>
      <w:pPr>
        <w:pStyle w:val="Heading2"/>
      </w:pPr>
      <w:r>
        <w:t xml:space="preserve">6.4 CPAP Failure Criteria</w:t>
      </w:r>
    </w:p>
    <w:p>
      <w:pPr>
        <w:spacing w:after="120" w:line="276"/>
      </w:pPr>
      <w:r>
        <w:t xml:space="preserve">Any of the following constitutes CPAP failure and should trigger consideration of intubation and/or transfer:</w:t>
      </w:r>
    </w:p>
    <w:p>
      <w:pPr>
        <w:pStyle w:val="ListParagraph"/>
        <w:numPr>
          <w:ilvl w:val="0"/>
          <w:numId w:val="2"/>
        </w:numPr>
        <w:spacing w:after="60" w:line="260"/>
      </w:pPr>
      <w:r>
        <w:t xml:space="preserve">FiO2 greater than 0.40 on CPAP 6 to 8 cmH2O (after surfactant if indicated and available)</w:t>
      </w:r>
    </w:p>
    <w:p>
      <w:pPr>
        <w:pStyle w:val="ListParagraph"/>
        <w:numPr>
          <w:ilvl w:val="0"/>
          <w:numId w:val="2"/>
        </w:numPr>
        <w:spacing w:after="60" w:line="260"/>
      </w:pPr>
      <w:r>
        <w:t xml:space="preserve">Worsening respiratory distress: Silverman-Anderson score greater than 6 despite adequate CPAP</w:t>
      </w:r>
    </w:p>
    <w:p>
      <w:pPr>
        <w:pStyle w:val="ListParagraph"/>
        <w:numPr>
          <w:ilvl w:val="0"/>
          <w:numId w:val="2"/>
        </w:numPr>
        <w:spacing w:after="60" w:line="260"/>
      </w:pPr>
      <w:r>
        <w:t xml:space="preserve">Recurrent significant apnea: more than 6 events requiring stimulation per 6 hours, or any event requiring PPV</w:t>
      </w:r>
    </w:p>
    <w:p>
      <w:pPr>
        <w:pStyle w:val="ListParagraph"/>
        <w:numPr>
          <w:ilvl w:val="0"/>
          <w:numId w:val="2"/>
        </w:numPr>
        <w:spacing w:after="60" w:line="260"/>
      </w:pPr>
      <w:r>
        <w:t xml:space="preserve">Inability to maintain SpO2 in target range despite FiO2 and CPAP optimization</w:t>
      </w:r>
    </w:p>
    <w:p>
      <w:pPr>
        <w:pStyle w:val="ListParagraph"/>
        <w:numPr>
          <w:ilvl w:val="0"/>
          <w:numId w:val="2"/>
        </w:numPr>
        <w:spacing w:after="60" w:line="260"/>
      </w:pPr>
      <w:r>
        <w:t xml:space="preserve">Respiratory acidosis: pH less than 7.20 or pCO2 greater than 65 mmHg on blood gas</w:t>
      </w:r>
    </w:p>
    <w:p>
      <w:pPr>
        <w:pStyle w:val="ListParagraph"/>
        <w:numPr>
          <w:ilvl w:val="0"/>
          <w:numId w:val="2"/>
        </w:numPr>
        <w:spacing w:after="60" w:line="260"/>
      </w:pPr>
      <w:r>
        <w:t xml:space="preserve">Hemodynamic instability: hypotension, poor perfusion, metabolic acidosis</w:t>
      </w:r>
    </w:p>
    <w:p>
      <w:pPr>
        <w:pStyle w:val="ListParagraph"/>
        <w:numPr>
          <w:ilvl w:val="0"/>
          <w:numId w:val="2"/>
        </w:numPr>
        <w:spacing w:after="60" w:line="260"/>
      </w:pPr>
      <w:r>
        <w:t xml:space="preserve">Worsening chest X-ray (complete white-out, pneumothorax, large pleural effusion)</w:t>
      </w:r>
    </w:p>
    <w:p>
      <w:pPr>
        <w:pStyle w:val="Heading2"/>
      </w:pPr>
      <w:r>
        <w:t xml:space="preserve">6.5 Respiratory Support De-escalation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Transition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Criteria to Wean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2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Monitoring</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Ventilator to CPAP/NIPPV</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settings: PIP 14 to 16 or VT 4 to 5 mL/kg; PEEP 5; Rate less than 20; FiO2 less than 0.30; adequate spontaneous effort; caffeine loaded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Extubate to CPAP 6 to 7 cmH2O (or NIPPV); same FiO2 initially</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Continuous monitoring; blood gas 1 hour post-extubation; assess for reintubation criteria for 48 to 72 hours</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CPAP to HFNC</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CPAP 4 to 5 cmH2O for 12 to 24 hours; FiO2 less than 0.25; no significant apnea</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Trial on HFNC 4 to 6 LPM; same FiO2 initially</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closely for 24 to 48 hours; return to CPAP if increased WOB or FiO2 requirement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HFNC to low-flow NC</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HFNC 2 to 3 LPM; FiO2 0.21 to 0.25</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Transition to low-flow NC 0.5 to 1 LPM</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for 24 hours; assess feeding tolerance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Low-flow NC to room air</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0.25 LPM or less; SpO2 95+ on room air trials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Discontinue supplemental oxygen</w:t>
            </w:r>
          </w:p>
        </w:tc>
        <w:tc>
          <w:tcPr>
            <w:tcW w:type="dxa" w:w="2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SpO2 for 24 hours including during feeds and sleep; some need longer room air trial</w:t>
            </w:r>
          </w:p>
        </w:tc>
      </w:tr>
    </w:tbl>
    <w:p>
      <w:r>
        <w:br w:type="page"/>
      </w:r>
    </w:p>
    <w:p>
      <w:pPr>
        <w:pStyle w:val="Heading1"/>
      </w:pPr>
      <w:r>
        <w:t xml:space="preserve">Section 7: Feeding Pathway</w:t>
      </w:r>
    </w:p>
    <w:p>
      <w:pPr>
        <w:pStyle w:val="Heading2"/>
      </w:pPr>
      <w:r>
        <w:t xml:space="preserve">7.1 Feeding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1800"/>
        <w:gridCol w:w="31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First Feed Timing</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Feeding Method</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Volume</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Frequency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Healthy term, well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1 hour (skin-to-skin at breast)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Breastfeeding preferred; formula if chosen by family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 lib (infant-driven)</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 to 12 times per 24 hours (every 2 to 3 hours)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(34 to 36 weeks), stable</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1 to 2 hours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 with supplementation plan; formula via bottle if not breastfeeding</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15 mL per feed initially; advance with tolerance</w:t>
            </w:r>
          </w:p>
        </w:tc>
        <w:tc>
          <w:tcPr>
            <w:tcW w:type="dxa" w:w="3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2 to 3 hours (do not allow sleeping through feeds; wake to feed)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Level II admission, no respiratory distress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Within 2 to 4 hours if clinically stable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 or bottle if oral feeding safe; gavage if less than 34 weeks PMA or too fatigued for oral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20 mL/kg/day trophic then advance 20 to 30 mL/kg/day</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2 to 3 hours</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Level II admission, mild respiratory distress (CPAP/HFNC)</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Once respiratory support stable (typically 4 to 12 hours)</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Gavage (OG preferred while on CPAP); advance to oral when respiratory status improves and infant demonstrates readiness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Trophic 10 to 20 mL/kg/day; advance per protocol</w:t>
            </w:r>
          </w:p>
        </w:tc>
        <w:tc>
          <w:tcPr>
            <w:tcW w:type="dxa" w:w="3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2 to 3 hours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Significant respiratory distress or hemodynamic instability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initially; reassess every 6 to 12 hours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fluids (D10W at 60 to 80 mL/kg/day); trophic gavage when stable enough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NPO or trophic volumes only</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Reassess readiness every 6 to 12 hours</w:t>
            </w:r>
          </w:p>
        </w:tc>
      </w:tr>
    </w:tbl>
    <w:p>
      <w:pPr>
        <w:spacing w:after="120"/>
      </w:pPr>
    </w:p>
    <w:p>
      <w:pPr>
        <w:pStyle w:val="Heading2"/>
      </w:pPr>
      <w:r>
        <w:t xml:space="preserve">7.2 Breastfeeding Support Protocol</w:t>
      </w:r>
    </w:p>
    <w:p>
      <w:pPr>
        <w:spacing w:after="120" w:line="276"/>
      </w:pPr>
      <w:r>
        <w:t xml:space="preserve">The AAP recommends exclusive breastfeeding for approximately 6 months with continuation for 2 years or beyond. In the hospital setting, nursing support for breastfeeding includes: skin-to-skin contact as soon as possible after birth and frequently thereafter; assistance with positioning and latch within the first hour; assessment of feeding effectiveness at least every 8 to 12 hours by a trained nurse; lactation consultant referral within 24 hours for any feeding difficulty; supplementation decision pathway (see below); pump instruction for mothers whose infants cannot breastfeed or feed ineffectively.</w:t>
      </w:r>
    </w:p>
    <w:p>
      <w:pPr>
        <w:pStyle w:val="Heading3"/>
      </w:pPr>
      <w:r>
        <w:t xml:space="preserve">Supplementation Decision Pathway</w:t>
      </w:r>
    </w:p>
    <w:p>
      <w:pPr>
        <w:spacing w:after="120" w:line="276"/>
      </w:pPr>
      <w:r>
        <w:t xml:space="preserve">Supplementation with expressed breast milk, donor human milk, or formula should be considered if: blood glucose is below threshold despite breastfeeding attempts (see Hypoglycemia Pathway); weight loss exceeds 7 percent of birth weight before day 5 (or 10 percent at any time); infant is unable to sustain effective feeding (inadequate transfer demonstrated by pre/post weights or clinical assessment); clinical dehydration develops (hypernatremia, decreased urine output, excessive weight loss); or bilirubin is approaching phototherapy threshold and feeding volume inadequacy is a contributing factor.</w:t>
      </w:r>
    </w:p>
    <w:p>
      <w:pPr>
        <w:spacing w:after="120" w:line="276"/>
      </w:pPr>
      <w:r>
        <w:t xml:space="preserve">When supplementation is needed, the preferred order is: mother's own expressed milk (hand expression or pump) &gt; pasteurized donor human milk &gt; standard infant formula (20 kcal/oz for term; 22 to 24 kcal/oz for preterm). Alternative feeding methods that support breastfeeding include: cup feeding, syringe feeding, supplemental nursing system (SNS at breast), and paced bottle feeding.</w:t>
      </w:r>
    </w:p>
    <w:p>
      <w:r>
        <w:br w:type="page"/>
      </w:r>
    </w:p>
    <w:p>
      <w:pPr>
        <w:pStyle w:val="Heading1"/>
      </w:pPr>
      <w:r>
        <w:t xml:space="preserve">Section 8: Mandatory Newborn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200"/>
        <w:gridCol w:w="29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Screening Test</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Timing</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 if Abnormal</w:t>
            </w:r>
          </w:p>
        </w:tc>
        <w:tc>
          <w:tcPr>
            <w:tcW w:type="dxa" w:w="2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Documentation Required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 newborn screen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to 48 hours of life (some states require 2nd screen at 7 to 14 days)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Heel stick blood spots on filter paper card; state laboratory analysis for 30+ conditions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State lab notifies provider and family; confirmatory testing per state protocol; immediate intervention for time-critical conditions (e.g., CAH, galactosemia)</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 and time of collection; feeding status; tracking number; result received and reviewed</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Universal hearing screen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Before discharge</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OAE (otoacoustic emissions) or ABR (auditory brainstem response); ABR preferred for NICU infants</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Refer to audiology within 1 month for diagnostic evaluation; EHDI 1-3-6 timeline (screen by 1 month, diagnose by 3 months, intervene by 6 months)</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 of screening; pass/refer result for each ear; follow-up plan if refer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CCHD pulse oximetry screening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hours of age or before discharge if earlier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Pre-ductal (right hand) and post-ductal (either foot) SpO2 simultaneously or sequentially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Pass: both 95%+ and differential 3% or less. Borderline: 90 to 94% or differential greater than 3% (repeat x3 at 1-hour intervals). Fail: below 90% at any time or 3 borderline results -&gt; echocardiography and cardiology consultation</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 time, pre-ductal SpO2, post-ductal SpO2, result (pass/fail), follow-up if fail</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Pre-discharge bilirubin</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Before discharge (ideally at 24 to 48 hours)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TSB (serum) or TcB (transcutaneous); plot on hour-specific nomogram</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Based on risk zone: high -&gt; follow-up in 24 hours; high-intermediate -&gt; 48 hours; low-intermediate/low -&gt; routine 48 to 72 hours</w:t>
            </w:r>
          </w:p>
        </w:tc>
        <w:tc>
          <w:tcPr>
            <w:tcW w:type="dxa" w:w="2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TSB or TcB value, hour of age at measurement, risk zone, follow-up plan</w:t>
            </w:r>
          </w:p>
        </w:tc>
      </w:tr>
    </w:tbl>
    <w:p>
      <w:r>
        <w:br w:type="page"/>
      </w:r>
    </w:p>
    <w:p>
      <w:pPr>
        <w:pStyle w:val="Heading1"/>
      </w:pPr>
      <w:r>
        <w:t xml:space="preserve">Section 9: Escalation and Transfer Criteria</w:t>
      </w:r>
    </w:p>
    <w:p>
      <w:pPr>
        <w:pStyle w:val="Heading2"/>
      </w:pPr>
      <w:r>
        <w:t xml:space="preserve">9.1 Level I to Level II Transfer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4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Trigger</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Urgency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Gestational age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35 weeks requiring more than routine observation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Non-emergent if stable</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weight</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1800 grams</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Non-emergent if stable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Need for supplemental oxygen beyond brief blow-by; CPAP or HFNC required; persistent tachypnea greater than 60 beyond 4 hours of life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 if progressive; emergent if FiO2 greater than 0.40</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hypoglycemia requiring IV dextrose</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Hyperbilirubinemia</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TSB approaching escalation (within 2 mg/dL of exchange) or exchange threshold; phototherapy required if Level I does not have equipment</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 to emergent depending on TSB level and trajectory</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Infection</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Full sepsis evaluation requiring IV antibiotics (ampicillin plus gentamicin)</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Inability to maintain adequate oral intake; gavage feeding required</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Non-emergent</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Monitoring</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Need for continuous cardiorespiratory monitoring beyond Level I capability</w:t>
            </w:r>
          </w:p>
        </w:tc>
        <w:tc>
          <w:tcPr>
            <w:tcW w:type="dxa" w:w="3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clinical situation</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NAS/NOWS</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 requiring pharmacologic treatment or prolonged hospitalization</w:t>
            </w:r>
          </w:p>
        </w:tc>
        <w:tc>
          <w:tcPr>
            <w:tcW w:type="dxa" w:w="3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Non-emergent</w:t>
            </w:r>
          </w:p>
        </w:tc>
      </w:tr>
    </w:tbl>
    <w:p>
      <w:pPr>
        <w:spacing w:after="120"/>
      </w:pPr>
    </w:p>
    <w:p>
      <w:pPr>
        <w:pStyle w:val="Heading2"/>
      </w:pPr>
      <w:r>
        <w:t xml:space="preserve">9.2 Level II to Level III/IV Transfer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4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Trigger</w:t>
            </w:r>
          </w:p>
        </w:tc>
        <w:tc>
          <w:tcPr>
            <w:tcW w:type="dxa" w:w="3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Urgency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Gestational age</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32 weeks</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Anticipatory if time allows; emergent if born at facility</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Birth weight</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1500 grams</w:t>
            </w:r>
          </w:p>
        </w:tc>
        <w:tc>
          <w:tcPr>
            <w:tcW w:type="dxa" w:w="3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Same as above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Mechanical ventilation anticipated greater than 24 hours; FiO2 greater than 0.60 on maximal CPAP; CPAP failure; need for HFOV or HFJV; refractory apnea despite caffeine and CPAP</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Cardiovascular</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Hemodynamic instability requiring vasopressors; suspected ductal-dependent congenital heart disease</w:t>
            </w:r>
          </w:p>
        </w:tc>
        <w:tc>
          <w:tcPr>
            <w:tcW w:type="dxa" w:w="3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Neurologic</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Therapeutic hypothermia for HIE (must initiate within 6 hours of birth); seizures requiring anticonvulsant therapy</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Surgical</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Any condition requiring surgical intervention: NEC with perforation, gastroschisis, omphalocele, CDH, intestinal obstruction, tracheoesophageal fistula</w:t>
            </w:r>
          </w:p>
        </w:tc>
        <w:tc>
          <w:tcPr>
            <w:tcW w:type="dxa" w:w="3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Hematologic</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Exchange transfusion required</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Emergent</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4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hypoglycemia requiring GIR greater than 12 mg/kg/min or central line for dextrose concentration greater than D12.5W</w:t>
            </w:r>
          </w:p>
        </w:tc>
        <w:tc>
          <w:tcPr>
            <w:tcW w:type="dxa" w:w="36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Renal</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Acute kidney injury with fluid and electrolyte management beyond Level II capability</w:t>
            </w:r>
          </w:p>
        </w:tc>
        <w:tc>
          <w:tcPr>
            <w:tcW w:type="dxa" w:w="3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single" w:color="E65100" w:sz="3"/>
              <w:bottom w:val="single" w:color="E65100" w:sz="1"/>
              <w:right w:val="single" w:color="E65100" w:sz="1"/>
            </w:tcBorders>
            <w:shd w:fill="FFF3E0" w:val="clear"/>
            <w:tcMar>
              <w:top w:type="dxa" w:w="100"/>
              <w:left w:type="dxa" w:w="150"/>
              <w:bottom w:type="dxa" w:w="100"/>
              <w:right w:type="dxa" w:w="150"/>
            </w:tcMar>
          </w:tcPr>
          <w:p>
            <w:pPr>
              <w:spacing w:after="60"/>
            </w:pPr>
            <w:r>
              <w:rPr>
                <w:b/>
                <w:bCs/>
                <w:color w:val="E65100"/>
                <w:sz w:val="22"/>
                <w:szCs w:val="22"/>
              </w:rPr>
              <w:t xml:space="preserve">TRANSPORT ACTIVATION</w:t>
            </w:r>
          </w:p>
          <w:p>
            <w:pPr>
              <w:spacing w:after="0"/>
            </w:pPr>
            <w:r>
              <w:rPr>
                <w:sz w:val="20"/>
                <w:szCs w:val="20"/>
              </w:rPr>
              <w:t xml:space="preserve">When a transfer trigger is identified: 1) Notify the attending physician immediately. 2) Contact the receiving facility and confirm bed availability. 3) Activate the transport team (provide gestational age, weight, diagnosis, current clinical status, and specific needs). 4) Begin S.T.A.B.L.E. stabilization. 5) Prepare SBAR transport handoff documentation. 6) Notify parents and provide receiving facility contact information. 7) Maintain communication with receiving facility during stabilization period.</w:t>
            </w:r>
          </w:p>
        </w:tc>
      </w:tr>
    </w:tbl>
    <w:p>
      <w:r>
        <w:br w:type="page"/>
      </w:r>
    </w:p>
    <w:p>
      <w:pPr>
        <w:pStyle w:val="Heading1"/>
      </w:pPr>
      <w:r>
        <w:t xml:space="preserve">Section 10: Discharge Pathway</w:t>
      </w:r>
    </w:p>
    <w:p>
      <w:pPr>
        <w:pStyle w:val="Heading2"/>
      </w:pPr>
      <w:r>
        <w:t xml:space="preserve">10.1 Physiologic Readiness Criteria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800"/>
        <w:gridCol w:w="3260"/>
      </w:tblGrid>
      <w:tr>
        <w:tc>
          <w:tcPr>
            <w:tcW w:type="dxa" w:w="11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Documentation</w:t>
            </w:r>
          </w:p>
        </w:tc>
        <w:tc>
          <w:tcPr>
            <w:tcW w:type="dxa" w:w="32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Special Populations</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Thermoregulation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Maintains axillary temperature 36.5 to 37.5 degrees C in open crib with standard clothing for at least 24 hours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24 hours of documented stable temperatures</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may need extended observation; ensure ability to maintain temperature during feeds</w:t>
            </w:r>
          </w:p>
        </w:tc>
      </w:tr>
      <w:tr>
        <w:tc>
          <w:tcPr>
            <w:tcW w:type="dxa" w:w="1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Sustained adequate oral intake supporting weight gain; breastfeeding: effective latch and transfer demonstrated; formula: taking adequate volumes per weight</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 log with volumes, duration, and assessment of adequacy; weight trend documented</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Late preterm: may need supplementation plan; ensure 24 hours of demonstrated competence</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Weight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Weight loss has reached nadir and is trending upward or stable; no more than 7 percent loss for exclusively breastfed, 5 percent for formula-fed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Daily weights with trend; discharge weight documented</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weight loss approaches 10 percent, investigate cause before discharge</w:t>
            </w:r>
          </w:p>
        </w:tc>
      </w:tr>
      <w:tr>
        <w:tc>
          <w:tcPr>
            <w:tcW w:type="dxa" w:w="1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on room air for at least 24 hours (unless planned home oxygen); no significant apnea for at least 5 days or last 24 hours</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Room air SpO2 documented; apnea-free interval documented</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event-free interval may need to be longer per institutional protocol</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Cardiovascular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Stable heart rate and blood pressure; no hemodynamically significant events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Routine vital signs within normal limits</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CCHD screen passed; any murmur evaluated</w:t>
            </w:r>
          </w:p>
        </w:tc>
      </w:tr>
      <w:tr>
        <w:tc>
          <w:tcPr>
            <w:tcW w:type="dxa" w:w="1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Bilirubin</w:t>
            </w:r>
          </w:p>
        </w:tc>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Below phototherapy threshold on current trajectory; rebound check (if applicable) reassuring</w:t>
            </w:r>
          </w:p>
        </w:tc>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Last bilirubin value and risk zone documented with follow-up plan</w:t>
            </w:r>
          </w:p>
        </w:tc>
        <w:tc>
          <w:tcPr>
            <w:tcW w:type="dxa" w:w="32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If phototherapy required, rebound check at 12 to 24 hours; ensure follow-up for recheck</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Glucose stable off IV supplementation for at least 12 hours; maintaining glucose with oral feeds alone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Final glucose values documented; feeding plan sufficient to maintain euglycemia</w:t>
            </w:r>
          </w:p>
        </w:tc>
        <w:tc>
          <w:tcPr>
            <w:tcW w:type="dxa" w:w="32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IDM, SGA: ensure extended monitoring shows stability</w:t>
            </w:r>
          </w:p>
        </w:tc>
      </w:tr>
    </w:tbl>
    <w:p>
      <w:pPr>
        <w:spacing w:after="120"/>
      </w:pPr>
    </w:p>
    <w:p>
      <w:pPr>
        <w:pStyle w:val="Heading2"/>
      </w:pPr>
      <w:r>
        <w:t xml:space="preserve">10.2 Pre-Discharge Checklist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000"/>
        <w:gridCol w:w="2800"/>
      </w:tblGrid>
      <w:tr>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1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Responsible</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Screenings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 newborn screen completed (result pending or received)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 Lab</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Date/time of collection</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Screenings</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Hearing screen completed (pass or refer with follow-up plan)</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Audiology / RN</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Result and follow-up plan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Screenings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CCHD pulse oximetry screen passed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Pre/post-ductal SpO2 values and result</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Screenings</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Pre-discharge bilirubin obtained and risk-stratified</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 Lab</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Value, risk zone, follow-up timing</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Immunizations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Hepatitis B vaccine administered (dose 1)</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 lot, site, manufacturer</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Medications</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Vitamin K administered</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 dose, route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Medications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Erythromycin eye prophylaxis administered</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 and time</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Safety</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 seat tolerance test completed (if less than 37 weeks GA)</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Duration, result (pass/fail)</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Safety</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Safe sleep education provided and modeled during hospitalization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Documentation of education and parent verbalization of ABCs</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Education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 plan documented (breast, formula, supplementation plan, follow-up with lactation if needed)</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 LC</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Written plan provided to family</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Education</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Warning signs reviewed (fever, poor feeding, jaundice, breathing difficulty, lethargy)</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Documentation of education; parent verbalization of key signs</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Education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Umbilical cord care, bathing, diapering reviewed</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Education documented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Follow-up</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Pediatrician appointment scheduled (24 to 48 hours for high-risk; 3 to 5 days for routine)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 Unit clerk</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Provider name, date, time documented; given to family</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Follow-up</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Bilirubin recheck plan communicated (if indicated)</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 / MD</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Date, location, and target timing documented</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Follow-up</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Additional follow-up as needed (audiology, cardiology, endocrine, developmental)</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MD / RN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Appointments or referral documented</w:t>
            </w:r>
          </w:p>
        </w:tc>
      </w:tr>
      <w:tr>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Identification</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Identification bands verified and matched (infant, mother, support person)</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RN</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Documented at discharge</w:t>
            </w:r>
          </w:p>
        </w:tc>
      </w:tr>
    </w:tbl>
    <w:p>
      <w:r>
        <w:br w:type="page"/>
      </w:r>
    </w:p>
    <w:p>
      <w:pPr>
        <w:pStyle w:val="Heading1"/>
      </w:pPr>
      <w:r>
        <w:t xml:space="preserve">Section 11: Quality Metrics and Benchmarks</w:t>
      </w:r>
    </w:p>
    <w:p>
      <w:pPr>
        <w:spacing w:after="120" w:line="276"/>
      </w:pPr>
      <w:r>
        <w:t xml:space="preserve">The following metrics should be tracked continuously using statistical process control (SPC) methods to monitor adherence to this care pathway and identify opportunities for improvement: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500"/>
        <w:gridCol w:w="1500"/>
        <w:gridCol w:w="120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Source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Reporting Frequency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hypothermia rate (temperature less than 36.5 degrees C)</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Outcome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 percent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vital signs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Exclusive breast milk feeding at discharge</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70 percent</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Discharge records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CCHD screening completion before discharge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percent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Screening log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Hearing screening completion before discharge</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percent</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Audiology / nursing records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Pre-discharge bilirubin screening completion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percent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Lab records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Safe sleep modeling compliance (all observed newborns supine, no loose bedding)</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percent</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Nursing audits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Skin-to-skin within first hour of birth</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80 percent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Delivery / nursing records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Time to first antibiotic for suspected sepsis</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60 minutes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MAR / order timestamps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event; monthly aggregate</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Dextrose gel use before IV glucose for eligible hypoglycemia</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Process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90 percent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Medication records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Antibiotic utilization rate (antibiotic-days per 100 patient-days)</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Balancing</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15 percent</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Pharmacy records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Unplanned readmission within 48 hours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Outcome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 percent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records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Unplanned readmission within 30 days</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Outcome</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 percent</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records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Phototherapy rate for eligible infants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Outcome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Track trend (expect initial increase with 2022 AAP thresholds)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Lab / treatment records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Mother-infant separation rate (NICU/SCN admission)</w:t>
            </w:r>
          </w:p>
        </w:tc>
        <w:tc>
          <w:tcPr>
            <w:tcW w:type="dxa" w:w="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Balancing</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10 percent of births</w:t>
            </w:r>
          </w:p>
        </w:tc>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Admission records</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Monthly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Level I and Level II Nursery Standardized Care Pathway — Expanded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2026-03-16T22:05:24.008Z</dcterms:created>
  <dcterms:modified xsi:type="dcterms:W3CDTF">2026-03-16T22:05:24.009Z</dcterms:modified>
</cp:coreProperties>
</file>

<file path=docProps/custom.xml><?xml version="1.0" encoding="utf-8"?>
<Properties xmlns="http://schemas.openxmlformats.org/officeDocument/2006/custom-properties" xmlns:vt="http://schemas.openxmlformats.org/officeDocument/2006/docPropsVTypes"/>
</file>