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color w:val="1B3A5C"/>
          <w:sz w:val="48"/>
          <w:szCs w:val="48"/>
        </w:rPr>
        <w:t xml:space="preserve">Neonatal Nursing Care Pathways</w:t>
      </w:r>
    </w:p>
    <w:p>
      <w:pPr>
        <w:spacing w:after="100"/>
        <w:jc w:val="center"/>
      </w:pPr>
      <w:r>
        <w:rPr>
          <w:rFonts w:ascii="Arial" w:cs="Arial" w:eastAsia="Arial" w:hAnsi="Arial"/>
          <w:color w:val="1A7A6D"/>
          <w:sz w:val="36"/>
          <w:szCs w:val="36"/>
        </w:rPr>
        <w:t xml:space="preserve">Across US Level II to IV NICUs</w:t>
      </w:r>
    </w:p>
    <w:p>
      <w:pPr>
        <w:spacing w:after="200"/>
        <w:jc w:val="center"/>
      </w:pPr>
      <w:r>
        <w:rPr>
          <w:rFonts w:ascii="Arial" w:cs="Arial" w:eastAsia="Arial" w:hAnsi="Arial"/>
          <w:i/>
          <w:iCs/>
          <w:sz w:val="22"/>
          <w:szCs w:val="22"/>
        </w:rPr>
        <w:t xml:space="preserve">A Comprehensive Comparative Analysis of Clinical Protocols and Quality Benchmarks from 12 Major US Children's Hospitals</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Introduction and Methodology</w:t>
      </w:r>
    </w:p>
    <w:p>
      <w:pPr>
        <w:spacing w:after="120" w:line="276"/>
      </w:pPr>
      <w:r>
        <w:t xml:space="preserve">This document synthesizes care pathways from 12 major US children's hospitals and 7 pediatric organizations across 20 clinical content areas. The institutions were selected based on the public availability of their clinical protocols, their contributions to the peer-reviewed literature, and their participation in national quality collaboratives. The analysis covers the full spectrum of neonatal care from delivery room stabilization through NICU discharge.</w:t>
      </w:r>
    </w:p>
    <w:p>
      <w:pPr>
        <w:spacing w:after="120" w:line="276"/>
      </w:pPr>
      <w:r>
        <w:t xml:space="preserve">Institutions included: Children's Hospital of Philadelphia (CHOP), Brigham and Women's Hospital/Boston Children's Hospital (BWH), Johns Hopkins All Children's Hospital, Texas Children's Hospital, UC Davis Children's Hospital, UCSF Benioff Children's Hospital, Cincinnati Children's Hospital Medical Center, Nationwide Children's Hospital, University of Iowa Children's Hospital, Stanford/Lucile Packard Children's Hospital, Vanderbilt University Medical Center Monroe Carell Jr. Children's Hospital, and Children's Minnesota.</w:t>
      </w:r>
    </w:p>
    <w:p>
      <w:pPr>
        <w:spacing w:after="120" w:line="276"/>
      </w:pPr>
      <w:r>
        <w:t xml:space="preserve">Organizations included: American Academy of Pediatrics (AAP), Vermont Oxford Network (VON), California Perinatal Quality Care Collaborative (CPQCC), Florida Perinatal Quality Collaborative (FPQC), Illinois Perinatal Quality Collaborative (ILPQC), Association of Women's Health, Obstetric and Neonatal Nurses (AWHONN), and the National Association of Neonatal Nurses (NANN).</w:t>
      </w:r>
    </w:p>
    <w:p>
      <w:r>
        <w:br w:type="page"/>
      </w:r>
    </w:p>
    <w:p>
      <w:pPr>
        <w:pStyle w:val="Heading1"/>
      </w:pPr>
      <w:r>
        <w:t xml:space="preserve">Domain 1: Golden Hour Protocols</w:t>
      </w:r>
    </w:p>
    <w:p>
      <w:pPr>
        <w:spacing w:after="120" w:line="276"/>
      </w:pPr>
      <w:r>
        <w:t xml:space="preserve">The Golden Hour concept, adapted from trauma surgery, refers to the first 60 minutes after birth of a critically ill or extremely preterm infant. Every institution surveyed has adopted a structured Golden Hour protocol, though the specific elements and implementation strategies vary.</w:t>
      </w:r>
    </w:p>
    <w:p>
      <w:pPr>
        <w:pStyle w:val="Heading2"/>
      </w:pPr>
      <w:r>
        <w:t xml:space="preserve">1.1 Universal Elements Across All Institutions</w:t>
      </w:r>
    </w:p>
    <w:p>
      <w:pPr>
        <w:pStyle w:val="ListParagraph"/>
        <w:numPr>
          <w:ilvl w:val="0"/>
          <w:numId w:val="2"/>
        </w:numPr>
        <w:spacing w:after="60" w:line="260"/>
      </w:pPr>
      <w:r>
        <w:t xml:space="preserve">Pre-delivery team briefing: All 12 institutions conduct a structured team briefing before anticipated high-risk deliveries. The FPQC model uses TeamSTEPPS briefing and debriefing checklists, which have been adopted or adapted by most institutions.</w:t>
      </w:r>
    </w:p>
    <w:p>
      <w:pPr>
        <w:pStyle w:val="ListParagraph"/>
        <w:numPr>
          <w:ilvl w:val="0"/>
          <w:numId w:val="2"/>
        </w:numPr>
        <w:spacing w:after="60" w:line="260"/>
      </w:pPr>
      <w:r>
        <w:t xml:space="preserve">Polyethylene wrap or bag for infants less than 32 weeks: Universal adoption. Applied without drying below the neck. Some institutions extend to less than 34 weeks.</w:t>
      </w:r>
    </w:p>
    <w:p>
      <w:pPr>
        <w:pStyle w:val="ListParagraph"/>
        <w:numPr>
          <w:ilvl w:val="0"/>
          <w:numId w:val="2"/>
        </w:numPr>
        <w:spacing w:after="60" w:line="260"/>
      </w:pPr>
      <w:r>
        <w:t xml:space="preserve">Delivery room CPAP as first-line respiratory support: All institutions offer early CPAP for spontaneously breathing preterm infants as an alternative to routine intubation, consistent with NRP guidelines.</w:t>
      </w:r>
    </w:p>
    <w:p>
      <w:pPr>
        <w:pStyle w:val="ListParagraph"/>
        <w:numPr>
          <w:ilvl w:val="0"/>
          <w:numId w:val="2"/>
        </w:numPr>
        <w:spacing w:after="60" w:line="260"/>
      </w:pPr>
      <w:r>
        <w:t xml:space="preserve">Delayed cord clamping: Universal adoption since 2020. At least 30 to 60 seconds for vigorous preterm infants. Some institutions have extended to 60 to 120 seconds.</w:t>
      </w:r>
    </w:p>
    <w:p>
      <w:pPr>
        <w:pStyle w:val="ListParagraph"/>
        <w:numPr>
          <w:ilvl w:val="0"/>
          <w:numId w:val="2"/>
        </w:numPr>
        <w:spacing w:after="60" w:line="260"/>
      </w:pPr>
      <w:r>
        <w:t xml:space="preserve">Admission temperature documentation: All institutions track admission temperature as a quality metric. Target is 36.5 to 37.5 degrees C across all sites.</w:t>
      </w:r>
    </w:p>
    <w:p>
      <w:pPr>
        <w:pStyle w:val="ListParagraph"/>
        <w:numPr>
          <w:ilvl w:val="0"/>
          <w:numId w:val="2"/>
        </w:numPr>
        <w:spacing w:after="60" w:line="260"/>
      </w:pPr>
      <w:r>
        <w:t xml:space="preserve">Surfactant within 2 hours for intubated infants meeting criteria: All institutions that manage ventilated preterm infants have protocols for timely surfactant administration.</w:t>
      </w:r>
    </w:p>
    <w:p>
      <w:pPr>
        <w:pStyle w:val="Heading2"/>
      </w:pPr>
      <w:r>
        <w:t xml:space="preserve">1.2 Institutional Variations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1800"/>
        <w:gridCol w:w="2060"/>
      </w:tblGrid>
      <w:tr>
        <w:tc>
          <w:tcPr>
            <w:tcW w:type="dxa" w:w="1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Element</w:t>
            </w:r>
          </w:p>
        </w:tc>
        <w:tc>
          <w:tcPr>
            <w:tcW w:type="dxa" w:w="2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CHOP</w:t>
            </w:r>
          </w:p>
        </w:tc>
        <w:tc>
          <w:tcPr>
            <w:tcW w:type="dxa" w:w="2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UC Davis</w:t>
            </w:r>
          </w:p>
        </w:tc>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ILPQC</w:t>
            </w:r>
          </w:p>
        </w:tc>
        <w:tc>
          <w:tcPr>
            <w:tcW w:type="dxa" w:w="20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Children's Minnesota</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Checklist complexity</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27 discrete items with timestamps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GA-specific initial ventilator settings embedded</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Focus on thermoregulation bundle</w:t>
            </w:r>
          </w:p>
        </w:tc>
        <w:tc>
          <w:tcPr>
            <w:tcW w:type="dxa" w:w="2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36-page pocket stabilization guide</w:t>
            </w:r>
          </w:p>
        </w:tc>
      </w:tr>
      <w:tr>
        <w:tc>
          <w:tcPr>
            <w:tcW w:type="dxa" w:w="1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Key distinguishing feature</w:t>
            </w:r>
          </w:p>
        </w:tc>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Most granular time-stamped documentation</w:t>
            </w:r>
          </w:p>
        </w:tc>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Only site with published GA-specific vent settings for DR</w:t>
            </w:r>
          </w:p>
        </w:tc>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Demonstrated 70% reduction in moderate/severe hypothermia</w:t>
            </w:r>
          </w:p>
        </w:tc>
        <w:tc>
          <w:tcPr>
            <w:tcW w:type="dxa" w:w="20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Most comprehensive single clinical reference document for community hospitals</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Temperature target monitoring</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Admission temp plus 30-min and 60-min checks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Admission temp as primary QI metric</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Temperature at 5-min intervals during Golden Hour</w:t>
            </w:r>
          </w:p>
        </w:tc>
        <w:tc>
          <w:tcPr>
            <w:tcW w:type="dxa" w:w="2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Servo-controlled warmer temp with continuous monitoring</w:t>
            </w:r>
          </w:p>
        </w:tc>
      </w:tr>
      <w:tr>
        <w:tc>
          <w:tcPr>
            <w:tcW w:type="dxa" w:w="1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Team composition</w:t>
            </w:r>
          </w:p>
        </w:tc>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Neonatologist, NNP, 2 RNs, RT, pharmacist available</w:t>
            </w:r>
          </w:p>
        </w:tc>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Neonatologist, NNP, 2 RNs, RT</w:t>
            </w:r>
          </w:p>
        </w:tc>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Varies by institution level</w:t>
            </w:r>
          </w:p>
        </w:tc>
        <w:tc>
          <w:tcPr>
            <w:tcW w:type="dxa" w:w="20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Telemedicine neonatologist for community sites plus local team</w:t>
            </w:r>
          </w:p>
        </w:tc>
      </w:tr>
    </w:tbl>
    <w:p>
      <w:r>
        <w:br w:type="page"/>
      </w:r>
    </w:p>
    <w:p>
      <w:pPr>
        <w:pStyle w:val="Heading1"/>
      </w:pPr>
      <w:r>
        <w:t xml:space="preserve">Domain 2: Feeding and Nutrition Protocols</w:t>
      </w:r>
    </w:p>
    <w:p>
      <w:pPr>
        <w:spacing w:after="120" w:line="276"/>
      </w:pPr>
      <w:r>
        <w:t xml:space="preserve">Feeding protocols represent one of the most actively studied and varied domains across institutions. Standardized feeding protocols have been consistently shown to reduce NEC incidence, shorten time to full enteral feeds, and decrease length of stay. However, the specific parameters of these protocols vary meaningfully between institutions.</w:t>
      </w:r>
    </w:p>
    <w:p>
      <w:pPr>
        <w:pStyle w:val="Heading2"/>
      </w:pPr>
      <w:r>
        <w:t xml:space="preserve">2.1 Trophic and Advancement Protocols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600"/>
        <w:gridCol w:w="1600"/>
        <w:gridCol w:w="1600"/>
        <w:gridCol w:w="1560"/>
      </w:tblGrid>
      <w:tr>
        <w:tc>
          <w:tcPr>
            <w:tcW w:type="dxa" w:w="14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Parameter</w:t>
            </w:r>
          </w:p>
        </w:tc>
        <w:tc>
          <w:tcPr>
            <w:tcW w:type="dxa" w:w="16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CHOP</w:t>
            </w:r>
          </w:p>
        </w:tc>
        <w:tc>
          <w:tcPr>
            <w:tcW w:type="dxa" w:w="16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BWH/Boston Children's</w:t>
            </w:r>
          </w:p>
        </w:tc>
        <w:tc>
          <w:tcPr>
            <w:tcW w:type="dxa" w:w="16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Johns Hopkins All Children's</w:t>
            </w:r>
          </w:p>
        </w:tc>
        <w:tc>
          <w:tcPr>
            <w:tcW w:type="dxa" w:w="16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Texas Children's</w:t>
            </w:r>
          </w:p>
        </w:tc>
        <w:tc>
          <w:tcPr>
            <w:tcW w:type="dxa" w:w="15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UC Davis</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Initiation timing</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Colostrum/oral immune therapy within 6 hours at 0.1 to 1 mL q3 to 6h for all infants</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Within 6 to 12 hours for most; within 6 hours if possible</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Day of life 1 for all stable infants</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Within 6 hours for most; colostrum care protocol for ELBW</w:t>
            </w:r>
          </w:p>
        </w:tc>
        <w:tc>
          <w:tcPr>
            <w:tcW w:type="dxa" w:w="1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Within 6 hours; colostrum care for all VLBW</w:t>
            </w:r>
          </w:p>
        </w:tc>
      </w:tr>
      <w:tr>
        <w:tc>
          <w:tcPr>
            <w:tcW w:type="dxa" w:w="14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Trophic phase for ELBW (less than 1000g)</w:t>
            </w:r>
          </w:p>
        </w:tc>
        <w:tc>
          <w:tcPr>
            <w:tcW w:type="dxa" w:w="16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20 mL/kg/day x 3 days</w:t>
            </w:r>
          </w:p>
        </w:tc>
        <w:tc>
          <w:tcPr>
            <w:tcW w:type="dxa" w:w="16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10 mL/kg/day x 3 to 5 days</w:t>
            </w:r>
          </w:p>
        </w:tc>
        <w:tc>
          <w:tcPr>
            <w:tcW w:type="dxa" w:w="16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10 to 20 mL/kg/day x 1 to 3 days</w:t>
            </w:r>
          </w:p>
        </w:tc>
        <w:tc>
          <w:tcPr>
            <w:tcW w:type="dxa" w:w="16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10 to 20 mL/kg/day x 2 to 3 days</w:t>
            </w:r>
          </w:p>
        </w:tc>
        <w:tc>
          <w:tcPr>
            <w:tcW w:type="dxa" w:w="15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10 to 20 mL/kg/day x 1 to 2 days</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Advancement rate (less than 1000g)</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20 mL/kg/day</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10 mL/kg/day advancing q12h</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Up to 30 mL/kg/day</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20 mL/kg/day</w:t>
            </w:r>
          </w:p>
        </w:tc>
        <w:tc>
          <w:tcPr>
            <w:tcW w:type="dxa" w:w="1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20 to 30 mL/kg/day</w:t>
            </w:r>
          </w:p>
        </w:tc>
      </w:tr>
      <w:tr>
        <w:tc>
          <w:tcPr>
            <w:tcW w:type="dxa" w:w="14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Advancement rate (1001 to 1500g)</w:t>
            </w:r>
          </w:p>
        </w:tc>
        <w:tc>
          <w:tcPr>
            <w:tcW w:type="dxa" w:w="16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30 mL/kg/day after 1 to 2 day trophic</w:t>
            </w:r>
          </w:p>
        </w:tc>
        <w:tc>
          <w:tcPr>
            <w:tcW w:type="dxa" w:w="16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15 mL/kg/day advancing q12h</w:t>
            </w:r>
          </w:p>
        </w:tc>
        <w:tc>
          <w:tcPr>
            <w:tcW w:type="dxa" w:w="16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30 mL/kg/day</w:t>
            </w:r>
          </w:p>
        </w:tc>
        <w:tc>
          <w:tcPr>
            <w:tcW w:type="dxa" w:w="16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25 to 30 mL/kg/day</w:t>
            </w:r>
          </w:p>
        </w:tc>
        <w:tc>
          <w:tcPr>
            <w:tcW w:type="dxa" w:w="15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30 mL/kg/day</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Advancement rate (greater than 1500g)</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Per clinical discretion</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15 to 20 mL/kg/day advancing q12h</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30 mL/kg/day</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30 mL/kg/day</w:t>
            </w:r>
          </w:p>
        </w:tc>
        <w:tc>
          <w:tcPr>
            <w:tcW w:type="dxa" w:w="1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30 to 40 mL/kg/day</w:t>
            </w:r>
          </w:p>
        </w:tc>
      </w:tr>
      <w:tr>
        <w:tc>
          <w:tcPr>
            <w:tcW w:type="dxa" w:w="14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Target full enteral volume</w:t>
            </w:r>
          </w:p>
        </w:tc>
        <w:tc>
          <w:tcPr>
            <w:tcW w:type="dxa" w:w="16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150 to 160 mL/kg/day</w:t>
            </w:r>
          </w:p>
        </w:tc>
        <w:tc>
          <w:tcPr>
            <w:tcW w:type="dxa" w:w="16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150 to 160 mL/kg/day</w:t>
            </w:r>
          </w:p>
        </w:tc>
        <w:tc>
          <w:tcPr>
            <w:tcW w:type="dxa" w:w="16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150 to 160 mL/kg/day</w:t>
            </w:r>
          </w:p>
        </w:tc>
        <w:tc>
          <w:tcPr>
            <w:tcW w:type="dxa" w:w="16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150 to 160 mL/kg/day</w:t>
            </w:r>
          </w:p>
        </w:tc>
        <w:tc>
          <w:tcPr>
            <w:tcW w:type="dxa" w:w="15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150 to 160 mL/kg/day</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HMF initiation</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60 mL/kg/day enteral</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60 mL/kg/day enteral</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80 mL/kg/day enteral</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60 mL/kg/day enteral</w:t>
            </w:r>
          </w:p>
        </w:tc>
        <w:tc>
          <w:tcPr>
            <w:tcW w:type="dxa" w:w="1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60 mL/kg/day enteral</w:t>
            </w:r>
          </w:p>
        </w:tc>
      </w:tr>
    </w:tbl>
    <w:p>
      <w:pPr>
        <w:spacing w:after="120"/>
      </w:pPr>
    </w:p>
    <w:p>
      <w:pPr>
        <w:pStyle w:val="Heading2"/>
      </w:pPr>
      <w:r>
        <w:t xml:space="preserve">2.2 Human Milk Practices</w:t>
      </w:r>
    </w:p>
    <w:p>
      <w:pPr>
        <w:spacing w:after="120" w:line="276"/>
      </w:pPr>
      <w:r>
        <w:t xml:space="preserve">All 12 institutions follow the human milk hierarchy: fresh mother's own milk (MOM) as the highest priority, followed by frozen MOM, pasteurized donor human milk (DHM), and preterm formula as the last option. However, the eligibility criteria for DHM vary: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800"/>
        <w:gridCol w:w="3560"/>
      </w:tblGrid>
      <w:tr>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Institution</w:t>
            </w:r>
          </w:p>
        </w:tc>
        <w:tc>
          <w:tcPr>
            <w:tcW w:type="dxa" w:w="2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DHM Eligibility</w:t>
            </w:r>
          </w:p>
        </w:tc>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Duration of DHM</w:t>
            </w:r>
          </w:p>
        </w:tc>
        <w:tc>
          <w:tcPr>
            <w:tcW w:type="dxa" w:w="35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Key Practice Difference</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Texas Children's</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All NICU infants less than 1500g receive 100% human milk (MOM or DHM)</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Until full enteral feeds on MOM alone or until discharge</w:t>
            </w:r>
          </w:p>
        </w:tc>
        <w:tc>
          <w:tcPr>
            <w:tcW w:type="dxa" w:w="3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Achieved NEC rate of 2% versus national average 10 to 12% since implementing exclusive human milk in 2009</w:t>
            </w:r>
          </w:p>
        </w:tc>
      </w:tr>
      <w:tr>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CHOP</w:t>
            </w:r>
          </w:p>
        </w:tc>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Less than 1500g or less than 32 weeks when MOM unavailable</w:t>
            </w:r>
          </w:p>
        </w:tc>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Until 34 weeks PMA or 1500g</w:t>
            </w:r>
          </w:p>
        </w:tc>
        <w:tc>
          <w:tcPr>
            <w:tcW w:type="dxa" w:w="35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Colostrum oral immune therapy protocol for all NICU admissions within 6 hours</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BWH/Boston</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Less than 1500g when MOM unavailable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Until enteral feeds at 100 mL/kg/day on MOM or until 32 to 34 weeks</w:t>
            </w:r>
          </w:p>
        </w:tc>
        <w:tc>
          <w:tcPr>
            <w:tcW w:type="dxa" w:w="3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Boston Human Milk Banking provides DHM</w:t>
            </w:r>
          </w:p>
        </w:tc>
      </w:tr>
      <w:tr>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Nationwide Children's</w:t>
            </w:r>
          </w:p>
        </w:tc>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Less than 1500g or less than 32 weeks</w:t>
            </w:r>
          </w:p>
        </w:tc>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Varies</w:t>
            </w:r>
          </w:p>
        </w:tc>
        <w:tc>
          <w:tcPr>
            <w:tcW w:type="dxa" w:w="35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SIMPLE cue-based feeding program reduced LOS by approximately 15 days</w:t>
            </w:r>
          </w:p>
        </w:tc>
      </w:tr>
    </w:tbl>
    <w:p>
      <w:pPr>
        <w:spacing w:after="120"/>
      </w:pPr>
    </w:p>
    <w:p>
      <w:pPr>
        <w:pStyle w:val="Heading2"/>
      </w:pPr>
      <w:r>
        <w:t xml:space="preserve">2.3 Growth Targets and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Parameter</w:t>
            </w:r>
          </w:p>
        </w:tc>
        <w:tc>
          <w:tcPr>
            <w:tcW w:type="dxa" w:w="2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Consensus Target</w:t>
            </w:r>
          </w:p>
        </w:tc>
        <w:tc>
          <w:tcPr>
            <w:tcW w:type="dxa" w:w="53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Institution-Specific Variations</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Weight gain (once on full feeds)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15 to 20 g/kg/day</w:t>
            </w:r>
          </w:p>
        </w:tc>
        <w:tc>
          <w:tcPr>
            <w:tcW w:type="dxa" w:w="5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BWH uses greater than 18 g/kg/day as adequacy threshold; less than 15 g/kg/day x 7 days = growth faltering</w:t>
            </w:r>
          </w:p>
        </w:tc>
      </w:tr>
      <w:tr>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Length velocity</w:t>
            </w:r>
          </w:p>
        </w:tc>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0.8 to 1.1 cm/week</w:t>
            </w:r>
          </w:p>
        </w:tc>
        <w:tc>
          <w:tcPr>
            <w:tcW w:type="dxa" w:w="53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Consistent across institutions; measured weekly</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Head circumference velocity</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0.5 to 1.0 cm/week</w:t>
            </w:r>
          </w:p>
        </w:tc>
        <w:tc>
          <w:tcPr>
            <w:tcW w:type="dxa" w:w="5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Considered the most important growth parameter (proxy for brain growth); Cincinnati Children's has the most detailed HC tracking protocol</w:t>
            </w:r>
          </w:p>
        </w:tc>
      </w:tr>
      <w:tr>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Growth chart used</w:t>
            </w:r>
          </w:p>
        </w:tc>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Fenton 2013 most common</w:t>
            </w:r>
          </w:p>
        </w:tc>
        <w:tc>
          <w:tcPr>
            <w:tcW w:type="dxa" w:w="53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UCSF uses INTERGROWTH-21st; most others use Fenton 2013; transition to WHO at term equivalent</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Enteral protein target</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3.4 to 4.5 g/kg/day</w:t>
            </w:r>
          </w:p>
        </w:tc>
        <w:tc>
          <w:tcPr>
            <w:tcW w:type="dxa" w:w="5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CHOP and UCSF use targeted fortification with milk analysis; most others use standard fortification with BUN-guided adjustment</w:t>
            </w:r>
          </w:p>
        </w:tc>
      </w:tr>
      <w:tr>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Enteral caloric target</w:t>
            </w:r>
          </w:p>
        </w:tc>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110 to 130 kcal/kg/day</w:t>
            </w:r>
          </w:p>
        </w:tc>
        <w:tc>
          <w:tcPr>
            <w:tcW w:type="dxa" w:w="53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BPD infants may need 120 to 150 kcal/kg/day at all institutions</w:t>
            </w:r>
          </w:p>
        </w:tc>
      </w:tr>
    </w:tbl>
    <w:p>
      <w:r>
        <w:br w:type="page"/>
      </w:r>
    </w:p>
    <w:p>
      <w:pPr>
        <w:pStyle w:val="Heading1"/>
      </w:pPr>
      <w:r>
        <w:t xml:space="preserve">Domain 3: Respiratory Management</w:t>
      </w:r>
    </w:p>
    <w:p>
      <w:pPr>
        <w:pStyle w:val="Heading2"/>
      </w:pPr>
      <w:r>
        <w:t xml:space="preserve">3.1 Initial Respiratory Support for Preterm RDS</w:t>
      </w:r>
    </w:p>
    <w:p>
      <w:pPr>
        <w:spacing w:after="120" w:line="276"/>
      </w:pPr>
      <w:r>
        <w:t xml:space="preserve">The shift from routine intubation and prophylactic surfactant toward early CPAP with selective rescue surfactant is complete across all 12 institutions. The evidence base for this approach includes the SUPPORT trial (2010), COIN trial (2008), and multiple subsequent RCTs demonstrating that early CPAP reduces BPD without increasing mortality.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800"/>
        <w:gridCol w:w="1800"/>
        <w:gridCol w:w="3060"/>
      </w:tblGrid>
      <w:tr>
        <w:tc>
          <w:tcPr>
            <w:tcW w:type="dxa" w:w="1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GA Category</w:t>
            </w:r>
          </w:p>
        </w:tc>
        <w:tc>
          <w:tcPr>
            <w:tcW w:type="dxa" w:w="1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First-Line Support</w:t>
            </w:r>
          </w:p>
        </w:tc>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Surfactant Trigger</w:t>
            </w:r>
          </w:p>
        </w:tc>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Surfactant Method</w:t>
            </w:r>
          </w:p>
        </w:tc>
        <w:tc>
          <w:tcPr>
            <w:tcW w:type="dxa" w:w="30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Notes</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23 to 25 weeks</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CPAP 6 to 7 cmH2O in DR</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FiO2 greater than 0.30 on CPAP within first 2 hours</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LISA (growing) or INSURE at most institutions; traditional ETT at some</w:t>
            </w:r>
          </w:p>
        </w:tc>
        <w:tc>
          <w:tcPr>
            <w:tcW w:type="dxa" w:w="3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Most institutions prepare for intubation but trial CPAP first if spontaneous effort</w:t>
            </w:r>
          </w:p>
        </w:tc>
      </w:tr>
      <w:tr>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26 to 29 weeks</w:t>
            </w:r>
          </w:p>
        </w:tc>
        <w:tc>
          <w:tcPr>
            <w:tcW w:type="dxa" w:w="1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CPAP 5 to 6 cmH2O in DR</w:t>
            </w:r>
          </w:p>
        </w:tc>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FiO2 greater than 0.30 to 0.40 on CPAP 6+</w:t>
            </w:r>
          </w:p>
        </w:tc>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LISA preferred at CHOP, Stanford, UCSF; INSURE at others</w:t>
            </w:r>
          </w:p>
        </w:tc>
        <w:tc>
          <w:tcPr>
            <w:tcW w:type="dxa" w:w="30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CPAP success rate increases with GA; 70 to 80% avoid intubation at 28 to 29 weeks</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30 to 33 weeks</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CPAP 5 to 6 cmH2O if needed</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FiO2 greater than 0.40 (less common to need surfactant)</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INSURE if needed</w:t>
            </w:r>
          </w:p>
        </w:tc>
        <w:tc>
          <w:tcPr>
            <w:tcW w:type="dxa" w:w="3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Many infants need only brief CPAP or room air</w:t>
            </w:r>
          </w:p>
        </w:tc>
      </w:tr>
      <w:tr>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34+ weeks</w:t>
            </w:r>
          </w:p>
        </w:tc>
        <w:tc>
          <w:tcPr>
            <w:tcW w:type="dxa" w:w="1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Room air or low-flow O2 for most</w:t>
            </w:r>
          </w:p>
        </w:tc>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Rarely needed; per clinical judgment if severe RDS</w:t>
            </w:r>
          </w:p>
        </w:tc>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Traditional ETT if needed</w:t>
            </w:r>
          </w:p>
        </w:tc>
        <w:tc>
          <w:tcPr>
            <w:tcW w:type="dxa" w:w="30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TTN most common diagnosis; self-resolving</w:t>
            </w:r>
          </w:p>
        </w:tc>
      </w:tr>
    </w:tbl>
    <w:p>
      <w:pPr>
        <w:spacing w:after="120"/>
      </w:pPr>
    </w:p>
    <w:p>
      <w:pPr>
        <w:pStyle w:val="Heading2"/>
      </w:pPr>
      <w:r>
        <w:t xml:space="preserve">3.2 SpO2 Target Ranges</w:t>
      </w:r>
    </w:p>
    <w:p>
      <w:pPr>
        <w:spacing w:after="120" w:line="276"/>
      </w:pPr>
      <w:r>
        <w:t xml:space="preserve">The optimal oxygen saturation target for preterm infants has been one of the most studied questions in neonatology. The NeOProM (Neonatal Oxygenation Prospective Meta-analysis) collaboration pooled data from 5 large RCTs (SUPPORT, BOOST II UK, BOOST II Australia, BOOST II New Zealand, and COT) enrolling nearly 5,000 infants. The results showed that a higher target range (91 to 95%) reduced mortality but slightly increased severe ROP compared to a lower target (85 to 89%).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800"/>
        <w:gridCol w:w="3860"/>
      </w:tblGrid>
      <w:tr>
        <w:tc>
          <w:tcPr>
            <w:tcW w:type="dxa" w:w="2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Population</w:t>
            </w:r>
          </w:p>
        </w:tc>
        <w:tc>
          <w:tcPr>
            <w:tcW w:type="dxa" w:w="1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Target SpO2</w:t>
            </w:r>
          </w:p>
        </w:tc>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Alarm Settings</w:t>
            </w:r>
          </w:p>
        </w:tc>
        <w:tc>
          <w:tcPr>
            <w:tcW w:type="dxa" w:w="38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Evidence Base</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Preterm less than 32 weeks on supplemental O2</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90 to 95%</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Low alarm 88 to 89%; high alarm 96%</w:t>
            </w:r>
          </w:p>
        </w:tc>
        <w:tc>
          <w:tcPr>
            <w:tcW w:type="dxa" w:w="3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NeOProM: higher target reduces mortality; most US NICUs shifted to 90 to 95% after NeOProM</w:t>
            </w:r>
          </w:p>
        </w:tc>
      </w:tr>
      <w:tr>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Preterm 32 to 36 weeks on supplemental O2</w:t>
            </w:r>
          </w:p>
        </w:tc>
        <w:tc>
          <w:tcPr>
            <w:tcW w:type="dxa" w:w="1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90 to 95%</w:t>
            </w:r>
          </w:p>
        </w:tc>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Low alarm 88 to 89%; high alarm 96 to 97%</w:t>
            </w:r>
          </w:p>
        </w:tc>
        <w:tc>
          <w:tcPr>
            <w:tcW w:type="dxa" w:w="38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Extrapolated from NeOProM; less direct evidence</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Term on supplemental O2</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95 to 100%</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Low alarm 92 to 93%</w:t>
            </w:r>
          </w:p>
        </w:tc>
        <w:tc>
          <w:tcPr>
            <w:tcW w:type="dxa" w:w="3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Lower risk of hyperoxia complications; standard targets</w:t>
            </w:r>
          </w:p>
        </w:tc>
      </w:tr>
      <w:tr>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During NRP resuscitation (term)</w:t>
            </w:r>
          </w:p>
        </w:tc>
        <w:tc>
          <w:tcPr>
            <w:tcW w:type="dxa" w:w="1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Per minute-of-life targets</w:t>
            </w:r>
          </w:p>
        </w:tc>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N/A (titrate by SpO2 trend)</w:t>
            </w:r>
          </w:p>
        </w:tc>
        <w:tc>
          <w:tcPr>
            <w:tcW w:type="dxa" w:w="38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Start at FiO2 0.21; titrate per NRP guidelines</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During NRP resuscitation (preterm less than 35 weeks)</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Per minute-of-life targets</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N/A</w:t>
            </w:r>
          </w:p>
        </w:tc>
        <w:tc>
          <w:tcPr>
            <w:tcW w:type="dxa" w:w="3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Start at FiO2 0.21 to 0.30; titrate per NRP guidelines</w:t>
            </w:r>
          </w:p>
        </w:tc>
      </w:tr>
      <w:tr>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PPHN</w:t>
            </w:r>
          </w:p>
        </w:tc>
        <w:tc>
          <w:tcPr>
            <w:tcW w:type="dxa" w:w="1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95 to 100% pre-ductal initially; wean when stable</w:t>
            </w:r>
          </w:p>
        </w:tc>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Low alarm per clinical status</w:t>
            </w:r>
          </w:p>
        </w:tc>
        <w:tc>
          <w:tcPr>
            <w:tcW w:type="dxa" w:w="38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Target preductal greater than 95% to promote pulmonary vasodilation; may accept lower post-ductal</w:t>
            </w:r>
          </w:p>
        </w:tc>
      </w:tr>
    </w:tbl>
    <w:p>
      <w:r>
        <w:br w:type="page"/>
      </w:r>
    </w:p>
    <w:p>
      <w:pPr>
        <w:pStyle w:val="Heading1"/>
      </w:pPr>
      <w:r>
        <w:t xml:space="preserve">Domain 4: Sepsis Evaluation and Antibiotic Stewardship</w:t>
      </w:r>
    </w:p>
    <w:p>
      <w:pPr>
        <w:pStyle w:val="Heading2"/>
      </w:pPr>
      <w:r>
        <w:t xml:space="preserve">4.1 EOS Approach Adoption Across Institutions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660"/>
      </w:tblGrid>
      <w:tr>
        <w:tc>
          <w:tcPr>
            <w:tcW w:type="dxa" w:w="1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Approach</w:t>
            </w:r>
          </w:p>
        </w:tc>
        <w:tc>
          <w:tcPr>
            <w:tcW w:type="dxa" w:w="3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Institutions Using</w:t>
            </w:r>
          </w:p>
        </w:tc>
        <w:tc>
          <w:tcPr>
            <w:tcW w:type="dxa" w:w="46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Key Outcomes Reported</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EOS Calculator</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Kaiser Permanente (developer); CHOP; Stanford; BWH; University of Iowa; approximately 200+ US hospitals as of 2024</w:t>
            </w:r>
          </w:p>
        </w:tc>
        <w:tc>
          <w:tcPr>
            <w:tcW w:type="dxa" w:w="4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40 to 60% reduction in empiric antibiotic use; 30 to 50% reduction in blood culture draws; no increase in missed sepsis cases in validation studies; reduction in NICU admissions for sepsis evaluation</w:t>
            </w:r>
          </w:p>
        </w:tc>
      </w:tr>
      <w:tr>
        <w:tc>
          <w:tcPr>
            <w:tcW w:type="dxa" w:w="1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Categorical (traditional)</w:t>
            </w:r>
          </w:p>
        </w:tc>
        <w:tc>
          <w:tcPr>
            <w:tcW w:type="dxa" w:w="3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Many community hospitals; some academic centers as default</w:t>
            </w:r>
          </w:p>
        </w:tc>
        <w:tc>
          <w:tcPr>
            <w:tcW w:type="dxa" w:w="46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Conservative approach; highest sensitivity; but treats 5 to 10% of all births empirically</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Enhanced serial observation</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Emerging; University of Iowa piloting; some community hospitals</w:t>
            </w:r>
          </w:p>
        </w:tc>
        <w:tc>
          <w:tcPr>
            <w:tcW w:type="dxa" w:w="4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Lowest antibiotic exposure; requires robust nursing assessment; growing evidence base</w:t>
            </w:r>
          </w:p>
        </w:tc>
      </w:tr>
      <w:tr>
        <w:tc>
          <w:tcPr>
            <w:tcW w:type="dxa" w:w="1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Hybrid approaches</w:t>
            </w:r>
          </w:p>
        </w:tc>
        <w:tc>
          <w:tcPr>
            <w:tcW w:type="dxa" w:w="3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Cincinnati Children's; some institutions use EOS Calculator for risk stratification but add enhanced observation for borderline cases</w:t>
            </w:r>
          </w:p>
        </w:tc>
        <w:tc>
          <w:tcPr>
            <w:tcW w:type="dxa" w:w="46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Combines precision of calculator with safety net of observation; may optimize both sensitivity and specificity</w:t>
            </w:r>
          </w:p>
        </w:tc>
      </w:tr>
    </w:tbl>
    <w:p>
      <w:pPr>
        <w:spacing w:after="120"/>
      </w:pPr>
    </w:p>
    <w:p>
      <w:pPr>
        <w:pStyle w:val="Heading2"/>
      </w:pPr>
      <w:r>
        <w:t xml:space="preserve">4.2 Antibiotic Stewardship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c>
          <w:tcPr>
            <w:tcW w:type="dxa" w:w="2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Metric</w:t>
            </w:r>
          </w:p>
        </w:tc>
        <w:tc>
          <w:tcPr>
            <w:tcW w:type="dxa" w:w="2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Definition</w:t>
            </w:r>
          </w:p>
        </w:tc>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Typical Level III/IV Range</w:t>
            </w:r>
          </w:p>
        </w:tc>
        <w:tc>
          <w:tcPr>
            <w:tcW w:type="dxa" w:w="35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Stewardship Target</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Antibiotic utilization rate (AUR)</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Antibiotic-days per 100 patient-days</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15 to 30%</w:t>
            </w:r>
          </w:p>
        </w:tc>
        <w:tc>
          <w:tcPr>
            <w:tcW w:type="dxa" w:w="3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Less than 20%; trending downward</w:t>
            </w:r>
          </w:p>
        </w:tc>
      </w:tr>
      <w:tr>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Antibiotic start rate for EOS evaluation</w:t>
            </w:r>
          </w:p>
        </w:tc>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Percentage of evaluated infants started on antibiotics</w:t>
            </w:r>
          </w:p>
        </w:tc>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30 to 70% (varies by approach)</w:t>
            </w:r>
          </w:p>
        </w:tc>
        <w:tc>
          <w:tcPr>
            <w:tcW w:type="dxa" w:w="35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As low as possible while maintaining safety</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48-hour rule compliance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Percentage of blood culture-negative infants with antibiotics discontinued by 48 hours</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Variable; 60 to 90%</w:t>
            </w:r>
          </w:p>
        </w:tc>
        <w:tc>
          <w:tcPr>
            <w:tcW w:type="dxa" w:w="3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Greater than 95%</w:t>
            </w:r>
          </w:p>
        </w:tc>
      </w:tr>
      <w:tr>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Blood culture utilization rate</w:t>
            </w:r>
          </w:p>
        </w:tc>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Cultures per 1000 patient-days</w:t>
            </w:r>
          </w:p>
        </w:tc>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Variable</w:t>
            </w:r>
          </w:p>
        </w:tc>
        <w:tc>
          <w:tcPr>
            <w:tcW w:type="dxa" w:w="35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Track trend; should decrease with calculator adoption</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Days of therapy per 1000 patient-days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Total antibiotic days including multi-drug regimens</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Variable</w:t>
            </w:r>
          </w:p>
        </w:tc>
        <w:tc>
          <w:tcPr>
            <w:tcW w:type="dxa" w:w="3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Trending downward over time</w:t>
            </w:r>
          </w:p>
        </w:tc>
      </w:tr>
    </w:tbl>
    <w:p>
      <w:r>
        <w:br w:type="page"/>
      </w:r>
    </w:p>
    <w:p>
      <w:pPr>
        <w:pStyle w:val="Heading1"/>
      </w:pPr>
      <w:r>
        <w:t xml:space="preserve">Domain 5: Hyperbilirubinemia Management</w:t>
      </w:r>
    </w:p>
    <w:p>
      <w:pPr>
        <w:pStyle w:val="Heading2"/>
      </w:pPr>
      <w:r>
        <w:t xml:space="preserve">5.1 Impact of 2022 AAP Guidelines</w:t>
      </w:r>
    </w:p>
    <w:p>
      <w:pPr>
        <w:spacing w:after="120" w:line="276"/>
      </w:pPr>
      <w:r>
        <w:t xml:space="preserve">The 2022 AAP guideline update has had significant implementation effects across all institutions surveyed. Key changes in practice include: increased phototherapy rates (because thresholds are lower, especially for infants with risk factors); increased use of transcutaneous bilirubin measurement as a screening tool; universal pre-discharge bilirubin screening (previously recommended but inconsistently implemented); formalized neurotoxicity risk factor assessment; and earlier follow-up for infants in higher risk zones.</w:t>
      </w:r>
    </w:p>
    <w:p>
      <w:pPr>
        <w:spacing w:after="120" w:line="276"/>
      </w:pPr>
      <w:r>
        <w:t xml:space="preserve">Initial implementation challenges reported: nursing education on new thresholds (which change based on hour of age, GA, and risk factors — more complex than the 2004 thresholds); parent education about the higher rate of phototherapy (parents may perceive this as concerning); blood bank preparedness for potentially more exchange transfusion evaluations (though actual exchange rates remain low); and EHR integration of new nomograms and decision support tools.</w:t>
      </w:r>
    </w:p>
    <w:p>
      <w:pPr>
        <w:pStyle w:val="Heading2"/>
      </w:pPr>
      <w:r>
        <w:t xml:space="preserve">5.2 Phototherapy Practices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Practice Element</w:t>
            </w:r>
          </w:p>
        </w:tc>
        <w:tc>
          <w:tcPr>
            <w:tcW w:type="dxa" w:w="3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Most Common Approach</w:t>
            </w:r>
          </w:p>
        </w:tc>
        <w:tc>
          <w:tcPr>
            <w:tcW w:type="dxa" w:w="43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Notable Variations</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Light source</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LED devices (BiliSoft, GE Lullaby, Natus neoBLUE)</w:t>
            </w:r>
          </w:p>
        </w:tc>
        <w:tc>
          <w:tcPr>
            <w:tcW w:type="dxa" w:w="4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CHOP exclusively uses LED with spectroradiometer verification; some rural hospitals still use older fluorescent</w:t>
            </w:r>
          </w:p>
        </w:tc>
      </w:tr>
      <w:tr>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Irradiance target</w:t>
            </w:r>
          </w:p>
        </w:tc>
        <w:tc>
          <w:tcPr>
            <w:tcW w:type="dxa" w:w="3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30+ microwatts/cm2/nm for intensive; 15 to 25 for standard</w:t>
            </w:r>
          </w:p>
        </w:tc>
        <w:tc>
          <w:tcPr>
            <w:tcW w:type="dxa" w:w="43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UC Davis documents irradiance at initiation and every 12 hours; most others check daily</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Double phototherapy</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Overhead plus fiber-optic pad underneath</w:t>
            </w:r>
          </w:p>
        </w:tc>
        <w:tc>
          <w:tcPr>
            <w:tcW w:type="dxa" w:w="4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Used when TSB within 2 mg/dL of exchange threshold at all institutions</w:t>
            </w:r>
          </w:p>
        </w:tc>
      </w:tr>
      <w:tr>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Feeding during phototherapy</w:t>
            </w:r>
          </w:p>
        </w:tc>
        <w:tc>
          <w:tcPr>
            <w:tcW w:type="dxa" w:w="3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Brief removal for breastfeeding (15 to 30 min); feeding under lights for formula</w:t>
            </w:r>
          </w:p>
        </w:tc>
        <w:tc>
          <w:tcPr>
            <w:tcW w:type="dxa" w:w="43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UCSF encourages maximum skin-to-skin time during phototherapy breaks; Texas Children's has protocol for kangaroo care under phototherapy</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Discontinuation threshold</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2 to 3 mg/dL below phototherapy threshold for current age</w:t>
            </w:r>
          </w:p>
        </w:tc>
        <w:tc>
          <w:tcPr>
            <w:tcW w:type="dxa" w:w="4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BWH uses 3 mg/dL below; some institutions use a flat threshold (e.g., less than 13 for term with no risk factors)</w:t>
            </w:r>
          </w:p>
        </w:tc>
      </w:tr>
      <w:tr>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Rebound monitoring</w:t>
            </w:r>
          </w:p>
        </w:tc>
        <w:tc>
          <w:tcPr>
            <w:tcW w:type="dxa" w:w="3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TSB at 12 to 24 hours after discontinuation</w:t>
            </w:r>
          </w:p>
        </w:tc>
        <w:tc>
          <w:tcPr>
            <w:tcW w:type="dxa" w:w="43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CHOP checks at 12 hours; Cincinnati Children's at 24 hours; risk-stratified approach emerging</w:t>
            </w:r>
          </w:p>
        </w:tc>
      </w:tr>
    </w:tbl>
    <w:p>
      <w:r>
        <w:br w:type="page"/>
      </w:r>
    </w:p>
    <w:p>
      <w:pPr>
        <w:pStyle w:val="Heading1"/>
      </w:pPr>
      <w:r>
        <w:t xml:space="preserve">Domain 6: NEC Prevention Bundles</w:t>
      </w:r>
    </w:p>
    <w:p>
      <w:pPr>
        <w:spacing w:after="120" w:line="276"/>
      </w:pPr>
      <w:r>
        <w:t xml:space="preserve">Necrotizing enterocolitis prevention has become a major quality focus across all Level III and IV NICUs. Bundle approaches addressing multiple risk factors simultaneously have shown the most consistent reductions in NEC rates.</w:t>
      </w:r>
    </w:p>
    <w:p>
      <w:pPr>
        <w:pStyle w:val="Heading2"/>
      </w:pPr>
      <w:r>
        <w:t xml:space="preserve">6.1 NEC Prevention Strategies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5160"/>
      </w:tblGrid>
      <w:tr>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Strategy</w:t>
            </w:r>
          </w:p>
        </w:tc>
        <w:tc>
          <w:tcPr>
            <w:tcW w:type="dxa" w:w="1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Evidence Level</w:t>
            </w:r>
          </w:p>
        </w:tc>
        <w:tc>
          <w:tcPr>
            <w:tcW w:type="dxa" w:w="1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Adoption Rate (12 institutions)</w:t>
            </w:r>
          </w:p>
        </w:tc>
        <w:tc>
          <w:tcPr>
            <w:tcW w:type="dxa" w:w="51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Notable Implementation</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Exclusive human milk diet for VLBW</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Strong (multiple RCTs and meta-analyses)</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12/12 (universal)</w:t>
            </w:r>
          </w:p>
        </w:tc>
        <w:tc>
          <w:tcPr>
            <w:tcW w:type="dxa" w:w="5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Texas Children's: exclusive human milk since 2009; NEC rate 2% vs. national 10 to 12%. All institutions prioritize MOM then DHM.</w:t>
            </w:r>
          </w:p>
        </w:tc>
      </w:tr>
      <w:tr>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Standardized feeding protocol</w:t>
            </w:r>
          </w:p>
        </w:tc>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Strong (multiple observational studies)</w:t>
            </w:r>
          </w:p>
        </w:tc>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12/12 (universal)</w:t>
            </w:r>
          </w:p>
        </w:tc>
        <w:tc>
          <w:tcPr>
            <w:tcW w:type="dxa" w:w="51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Reduces practice variation and NEC by 50 to 87% in published studies. Institutional protocols vary in advancement rates but all have standardized approaches.</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Probiotics</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Moderate (meta-analyses positive; single large RCTs mixed)</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6/12 (split)</w:t>
            </w:r>
          </w:p>
        </w:tc>
        <w:tc>
          <w:tcPr>
            <w:tcW w:type="dxa" w:w="5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Cincinnati Children's and Nationwide use probiotics; CHOP and BWH do not. FDA has not approved neonatal probiotics; quality control concerns persist.</w:t>
            </w:r>
          </w:p>
        </w:tc>
      </w:tr>
      <w:tr>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Antenatal steroids</w:t>
            </w:r>
          </w:p>
        </w:tc>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Strong (standard of care for preterm delivery)</w:t>
            </w:r>
          </w:p>
        </w:tc>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12/12 (universal as receiving institutions)</w:t>
            </w:r>
          </w:p>
        </w:tc>
        <w:tc>
          <w:tcPr>
            <w:tcW w:type="dxa" w:w="51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Reduces NEC along with all other prematurity complications; focus on optimizing complete course rates.</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Restrictive use of H2 blockers and PPIs</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Moderate (association studies)</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12/12 have reduced use</w:t>
            </w:r>
          </w:p>
        </w:tc>
        <w:tc>
          <w:tcPr>
            <w:tcW w:type="dxa" w:w="5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H2 blockers and PPIs associated with increased NEC risk; most institutions now restrict to specific indications with regular reassessment.</w:t>
            </w:r>
          </w:p>
        </w:tc>
      </w:tr>
      <w:tr>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Avoid prolonged empiric antibiotics</w:t>
            </w:r>
          </w:p>
        </w:tc>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Moderate (association with NEC and death)</w:t>
            </w:r>
          </w:p>
        </w:tc>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12/12 (stewardship programs at all)</w:t>
            </w:r>
          </w:p>
        </w:tc>
        <w:tc>
          <w:tcPr>
            <w:tcW w:type="dxa" w:w="51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Prolonged antibiotics (greater than 5 days without positive culture) associated with increased NEC and mortality; 36 to 48 hour rule widely adopted.</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Lactoferrin supplementation</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Weak to moderate (ELFIN trial negative; smaller trials positive)</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2/12</w:t>
            </w:r>
          </w:p>
        </w:tc>
        <w:tc>
          <w:tcPr>
            <w:tcW w:type="dxa" w:w="5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Not widely adopted after ELFIN trial (2019); some institutions continue based on smaller positive studies; research ongoing.</w:t>
            </w:r>
          </w:p>
        </w:tc>
      </w:tr>
      <w:tr>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Feeding during transfusion</w:t>
            </w:r>
          </w:p>
        </w:tc>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Weak (observational; controversial)</w:t>
            </w:r>
          </w:p>
        </w:tc>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Mixed practices</w:t>
            </w:r>
          </w:p>
        </w:tc>
        <w:tc>
          <w:tcPr>
            <w:tcW w:type="dxa" w:w="51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Some institutions hold feeds 4 hours before through 4 hours after PRBC transfusion; others continue feeds; WHEAT trial (2023) showed no benefit of holding feeds.</w:t>
            </w:r>
          </w:p>
        </w:tc>
      </w:tr>
    </w:tbl>
    <w:p>
      <w:r>
        <w:br w:type="page"/>
      </w:r>
    </w:p>
    <w:p>
      <w:pPr>
        <w:pStyle w:val="Heading1"/>
      </w:pPr>
      <w:r>
        <w:t xml:space="preserve">Domain 7: Pain Management Protocols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2500"/>
        <w:gridCol w:w="3360"/>
      </w:tblGrid>
      <w:tr>
        <w:tc>
          <w:tcPr>
            <w:tcW w:type="dxa" w:w="1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Procedure</w:t>
            </w:r>
          </w:p>
        </w:tc>
        <w:tc>
          <w:tcPr>
            <w:tcW w:type="dxa" w:w="2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Non-Pharmacologic (Universal at All Institutions)</w:t>
            </w:r>
          </w:p>
        </w:tc>
        <w:tc>
          <w:tcPr>
            <w:tcW w:type="dxa" w:w="2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Pharmacologic</w:t>
            </w:r>
          </w:p>
        </w:tc>
        <w:tc>
          <w:tcPr>
            <w:tcW w:type="dxa" w:w="33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Assessment Tool</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Heel stick / venipuncture</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Oral sucrose 0.5 to 1 mL 2 min before; non-nutritive sucking; swaddling; facilitated tucking; skin-to-skin</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Not typically needed</w:t>
            </w:r>
          </w:p>
        </w:tc>
        <w:tc>
          <w:tcPr>
            <w:tcW w:type="dxa" w:w="3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NIPS or PIPP-R (varies by institution)</w:t>
            </w:r>
          </w:p>
        </w:tc>
      </w:tr>
      <w:tr>
        <w:tc>
          <w:tcPr>
            <w:tcW w:type="dxa" w:w="1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PICC insertion</w:t>
            </w:r>
          </w:p>
        </w:tc>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Sucrose; swaddling; facilitated tucking</w:t>
            </w:r>
          </w:p>
        </w:tc>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Topical lidocaine (EMLA or LMX 4); some institutions add low-dose fentanyl (0.5 to 1 mcg/kg IV) or morphine</w:t>
            </w:r>
          </w:p>
        </w:tc>
        <w:tc>
          <w:tcPr>
            <w:tcW w:type="dxa" w:w="33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PIPP-R or N-PASS</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Intubation</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N/A (emergent intubation without premedication in some situations)</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Premedication: atropine 0.02 mg/kg IV plus fentanyl 1 to 2 mcg/kg IV plus rocuronium 1 mg/kg IV (or vecuronium 0.1 mg/kg IV). Some institutions add midazolam.</w:t>
            </w:r>
          </w:p>
        </w:tc>
        <w:tc>
          <w:tcPr>
            <w:tcW w:type="dxa" w:w="3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CHOP, BWH, Stanford all use premedication protocol; Cincinnati Children's published outcomes showing improved intubation success with premedication</w:t>
            </w:r>
          </w:p>
        </w:tc>
      </w:tr>
      <w:tr>
        <w:tc>
          <w:tcPr>
            <w:tcW w:type="dxa" w:w="1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Chest tube insertion</w:t>
            </w:r>
          </w:p>
        </w:tc>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Facilitated tucking; sucrose</w:t>
            </w:r>
          </w:p>
        </w:tc>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Local infiltration with 1% lidocaine (0.5 mL); systemic: fentanyl 1 to 2 mcg/kg IV or morphine 0.05 to 0.1 mg/kg IV</w:t>
            </w:r>
          </w:p>
        </w:tc>
        <w:tc>
          <w:tcPr>
            <w:tcW w:type="dxa" w:w="33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N-PASS or PIPP-R</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ROP exam</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Sucrose; pacifier; swaddling</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Topical proparacaine 0.5% ophthalmic; some institutions add oral sucrose 30 seconds before plus during</w:t>
            </w:r>
          </w:p>
        </w:tc>
        <w:tc>
          <w:tcPr>
            <w:tcW w:type="dxa" w:w="3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PIPP-R (widely used for procedural pain in this context)</w:t>
            </w:r>
          </w:p>
        </w:tc>
      </w:tr>
      <w:tr>
        <w:tc>
          <w:tcPr>
            <w:tcW w:type="dxa" w:w="1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Circumcision</w:t>
            </w:r>
          </w:p>
        </w:tc>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Sucrose; pacifier; swaddling</w:t>
            </w:r>
          </w:p>
        </w:tc>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Dorsal penile nerve block (DPNB) or subcutaneous ring block with 1% lidocaine without epinephrine (standard at ALL institutions — non-pharmacologic alone is insufficient)</w:t>
            </w:r>
          </w:p>
        </w:tc>
        <w:tc>
          <w:tcPr>
            <w:tcW w:type="dxa" w:w="33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Institution-specific scales</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Mechanical ventilation (ongoing)</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Environmental: minimize noise and light; cluster care; positioning; developmental care</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Morphine infusion 10 to 30 mcg/kg/hr or fentanyl 0.5 to 2 mcg/kg/hr for ongoing ventilator discomfort; dexmedetomidine emerging as adjunct</w:t>
            </w:r>
          </w:p>
        </w:tc>
        <w:tc>
          <w:tcPr>
            <w:tcW w:type="dxa" w:w="3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N-PASS or COMFORT-neo (continuous assessment)</w:t>
            </w:r>
          </w:p>
        </w:tc>
      </w:tr>
    </w:tbl>
    <w:p>
      <w:r>
        <w:br w:type="page"/>
      </w:r>
    </w:p>
    <w:p>
      <w:pPr>
        <w:pStyle w:val="Heading1"/>
      </w:pPr>
      <w:r>
        <w:t xml:space="preserve">Domain 8: Thermoregulation Protocols</w:t>
      </w:r>
    </w:p>
    <w:p>
      <w:pPr>
        <w:spacing w:after="120" w:line="276"/>
      </w:pPr>
      <w:r>
        <w:t xml:space="preserve">Thermoregulation quality metrics have become a major focus area since the publication of data linking admission hypothermia to mortality and morbidity. The ILPQC Golden Hour Initiative remains the most cited example of successful thermoregulation QI, achieving a 70 percent reduction in moderate and severe hypothermia using a bundle approach that included: delivery room temperature 25 to 26 degrees C for preterm, polyethylene wrap, chemical warming mattress, pre-warmed transport incubator, and temperature at 5-minute intervals during the Golden Hour.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1800"/>
        <w:gridCol w:w="1960"/>
      </w:tblGrid>
      <w:tr>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Metric</w:t>
            </w:r>
          </w:p>
        </w:tc>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CHOP</w:t>
            </w:r>
          </w:p>
        </w:tc>
        <w:tc>
          <w:tcPr>
            <w:tcW w:type="dxa" w:w="2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ILPQC Network</w:t>
            </w:r>
          </w:p>
        </w:tc>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UC Davis</w:t>
            </w:r>
          </w:p>
        </w:tc>
        <w:tc>
          <w:tcPr>
            <w:tcW w:type="dxa" w:w="19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VON Network</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Admission hypothermia rate (less than 36.5)</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3 to 5%</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Reduced from 40% to 12% across network</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Less than 5%</w:t>
            </w:r>
          </w:p>
        </w:tc>
        <w:tc>
          <w:tcPr>
            <w:tcW w:type="dxa" w:w="1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Network average approximately 30% for VLBW (improving)</w:t>
            </w:r>
          </w:p>
        </w:tc>
      </w:tr>
      <w:tr>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Target admission temp</w:t>
            </w:r>
          </w:p>
        </w:tc>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36.5 to 37.5 degrees C</w:t>
            </w:r>
          </w:p>
        </w:tc>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36.5 to 37.5 degrees C</w:t>
            </w:r>
          </w:p>
        </w:tc>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36.5 to 37.5 degrees C</w:t>
            </w:r>
          </w:p>
        </w:tc>
        <w:tc>
          <w:tcPr>
            <w:tcW w:type="dxa" w:w="19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36.5 to 37.5 degrees C</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Bundle components</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Polyethylene wrap; chemical mattress; hat; pre-warmed incubator; servo-controlled warmer</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Same plus delivery room temperature control; 5-minute temperature checks; team education</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Same plus GA-specific protocols</w:t>
            </w:r>
          </w:p>
        </w:tc>
        <w:tc>
          <w:tcPr>
            <w:tcW w:type="dxa" w:w="1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Institution-specific bundles; network shares best practices</w:t>
            </w:r>
          </w:p>
        </w:tc>
      </w:tr>
      <w:tr>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Hyperthermia monitoring</w:t>
            </w:r>
          </w:p>
        </w:tc>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Admission temp greater than 38.0 flagged for evaluation</w:t>
            </w:r>
          </w:p>
        </w:tc>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Hyperthermia (greater than 37.5) also tracked as over-correction</w:t>
            </w:r>
          </w:p>
        </w:tc>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Greater than 37.5 triggers workup</w:t>
            </w:r>
          </w:p>
        </w:tc>
        <w:tc>
          <w:tcPr>
            <w:tcW w:type="dxa" w:w="19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Both hypothermia and hyperthermia tracked</w:t>
            </w:r>
          </w:p>
        </w:tc>
      </w:tr>
    </w:tbl>
    <w:p>
      <w:r>
        <w:br w:type="page"/>
      </w:r>
    </w:p>
    <w:p>
      <w:pPr>
        <w:pStyle w:val="Heading1"/>
      </w:pPr>
      <w:r>
        <w:t xml:space="preserve">Domain 9: Emerging Practices and Innovation</w:t>
      </w:r>
    </w:p>
    <w:p>
      <w:pPr>
        <w:pStyle w:val="Heading2"/>
      </w:pPr>
      <w:r>
        <w:t xml:space="preserve">9.1 Eat Sleep Console (ESC) for NAS/NOWS</w:t>
      </w:r>
    </w:p>
    <w:p>
      <w:pPr>
        <w:spacing w:after="120" w:line="276"/>
      </w:pPr>
      <w:r>
        <w:t xml:space="preserve">The ESC model, developed by Dr. Matthew Grossman and colleagues at Yale-New Haven Children's Hospital, has been adopted or piloted at 9 of 12 institutions surveyed. ESC replaces the traditional Finnegan Neonatal Abstinence Scoring Tool with a functional assessment asking three questions: Can the infant eat at least 1 ounce per feed (or breastfeed effectively for at least 10 minutes)? Can the infant sleep for at least 1 hour undisturbed? Can the infant be consoled within 10 minutes? If all three are answered yes, non-pharmacologic care continues. If any is answered no despite optimized non-pharmacologic interventions, pharmacotherapy is considered.</w:t>
      </w:r>
    </w:p>
    <w:p>
      <w:pPr>
        <w:spacing w:after="120" w:line="276"/>
      </w:pPr>
      <w:r>
        <w:t xml:space="preserve">Published outcomes from ESC implementation: pharmacotherapy rates decreased from 50 to 80 percent to 10 to 20 percent; mean length of stay decreased from 15 to 25 days to 6 to 10 days; NICU admissions for NAS decreased dramatically (rooming-in with mother became the default); and no increase in adverse outcomes including readmissions. Cost savings are estimated at 10,000 to 20,000 dollars per infant.</w:t>
      </w:r>
    </w:p>
    <w:p>
      <w:pPr>
        <w:pStyle w:val="Heading2"/>
      </w:pPr>
      <w:r>
        <w:t xml:space="preserve">9.2 LISA (Less Invasive Surfactant Administration)</w:t>
      </w:r>
    </w:p>
    <w:p>
      <w:pPr>
        <w:spacing w:after="120" w:line="276"/>
      </w:pPr>
      <w:r>
        <w:t xml:space="preserve">LISA has been adopted as the preferred surfactant delivery method at CHOP, Stanford, and UCSF, with pilot programs at 4 additional institutions. The technique involves placing a thin catheter (typically a 5 Fr feeding tube or specialized LISA catheter) through the vocal cords under direct laryngoscopy while the infant continues to breathe spontaneously on CPAP. Surfactant is instilled through the catheter over 1 to 5 minutes. The catheter is then removed and the infant remains on CPAP.</w:t>
      </w:r>
    </w:p>
    <w:p>
      <w:pPr>
        <w:spacing w:after="120" w:line="276"/>
      </w:pPr>
      <w:r>
        <w:t xml:space="preserve">Evidence: Meta-analyses suggest that LISA, compared to INSURE, reduces the composite outcome of death or BPD (OR 0.59, 95 percent CI 0.44 to 0.79), reduces the need for mechanical ventilation within 72 hours (OR 0.57, 95 percent CI 0.42 to 0.78), and reduces pneumothorax. The OPTIMIST-A trial (2023) confirmed that LISA in infants 25 to 28 weeks reduced the composite of death or BPD at 36 weeks compared to sham.</w:t>
      </w:r>
    </w:p>
    <w:p>
      <w:pPr>
        <w:pStyle w:val="Heading2"/>
      </w:pPr>
      <w:r>
        <w:t xml:space="preserve">9.3 Artificial Intelligence for Sepsis Prediction</w:t>
      </w:r>
    </w:p>
    <w:p>
      <w:pPr>
        <w:spacing w:after="120" w:line="276"/>
      </w:pPr>
      <w:r>
        <w:t xml:space="preserve">Machine learning models using continuous vital sign data to predict late-onset sepsis before clinical recognition are in development or pilot use at Kaiser Permanente, Cincinnati Children's, and Stanford. The most advanced is the HeRO (Heart Rate Observation) system, which analyzes heart rate variability patterns that precede clinical sepsis by 12 to 24 hours. Reduced heart rate variability and transient decelerations in heart rate are detectable by algorithm before nurses or physicians recognize clinical deterioration.</w:t>
      </w:r>
    </w:p>
    <w:p>
      <w:pPr>
        <w:spacing w:after="120" w:line="276"/>
      </w:pPr>
      <w:r>
        <w:t xml:space="preserve">Published outcomes from the HeRO trial: monitoring was associated with a 22 percent relative reduction in mortality in VLBW infants (4.5 percent vs. 5.8 percent, p = 0.01). However, implementation has been slower than expected due to alarm fatigue concerns, cost, and the challenge of integrating algorithm outputs into clinical workflow. Next-generation models incorporating respiratory rate variability, SpO2 patterns, temperature trends, and feeding tolerance are in development.</w:t>
      </w:r>
    </w:p>
    <w:p>
      <w:pPr>
        <w:pStyle w:val="Heading2"/>
      </w:pPr>
      <w:r>
        <w:t xml:space="preserve">9.4 Family Integrated Care (FICare)</w:t>
      </w:r>
    </w:p>
    <w:p>
      <w:pPr>
        <w:spacing w:after="120" w:line="276"/>
      </w:pPr>
      <w:r>
        <w:t xml:space="preserve">FICare, developed by Dr. Shoo Lee and colleagues in Canada, positions parents as primary caregivers with nursing staff serving as coaches and educators rather than primary providers. Parents are trained to perform assessments, provide kangaroo care, manage feeding, and participate in rounds. Pilot programs at CHOP, Cincinnati Children's, and Nationwide Children's have shown: reduced length of stay by 2.5 to 5 days; increased breastfeeding rates at discharge; decreased parental anxiety and depression scores; improved weight gain velocity; and no increase in adverse events. Full implementation requires significant cultural change, dedicated parent education programs, physical space for parent presence 24/7, and staff education on the coaching model.</w:t>
      </w:r>
    </w:p>
    <w:p>
      <w:pPr>
        <w:pStyle w:val="Heading2"/>
      </w:pPr>
      <w:r>
        <w:t xml:space="preserve">9.5 Deferred Cord Clamping and Cord Milking</w:t>
      </w:r>
    </w:p>
    <w:p>
      <w:pPr>
        <w:spacing w:after="120" w:line="276"/>
      </w:pPr>
      <w:r>
        <w:t xml:space="preserve">Deferred cord clamping (DCC) for at least 30 to 60 seconds is now universally practiced at all 12 institutions for vigorous preterm and term infants. Extended DCC (60 to 120 seconds) is practiced at several institutions. Intact cord milking (ICM), where the cord is milked toward the infant 3 to 4 times before clamping, is used at some institutions as an alternative when DCC is not feasible (e.g., non-vigorous infant, need for immediate resuscitation).</w:t>
      </w:r>
    </w:p>
    <w:p>
      <w:pPr>
        <w:spacing w:after="120" w:line="276"/>
      </w:pPr>
      <w:r>
        <w:t xml:space="preserve">The PREMOD2 trial raised safety concerns about ICM in infants less than 28 weeks (increased severe IVH), leading to a recommendation against ICM in this population. DCC remains the preferred approach for all gestational ages when feasible. Benefits include: increased blood volume and hemoglobin levels, reduced need for blood transfusion, decreased IVH in preterm infants, and improved iron stores at 6 months.</w:t>
      </w:r>
    </w:p>
    <w:p>
      <w:pPr>
        <w:pStyle w:val="Heading2"/>
      </w:pPr>
      <w:r>
        <w:t xml:space="preserve">9.6 Additional Emerging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500"/>
        <w:gridCol w:w="4860"/>
      </w:tblGrid>
      <w:tr>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Practice</w:t>
            </w:r>
          </w:p>
        </w:tc>
        <w:tc>
          <w:tcPr>
            <w:tcW w:type="dxa" w:w="1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Status</w:t>
            </w:r>
          </w:p>
        </w:tc>
        <w:tc>
          <w:tcPr>
            <w:tcW w:type="dxa" w:w="1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Key Institution</w:t>
            </w:r>
          </w:p>
        </w:tc>
        <w:tc>
          <w:tcPr>
            <w:tcW w:type="dxa" w:w="48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Evidence</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Aflibercept for ROP</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Emerging alongside bevacizumab</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Multiple</w:t>
            </w:r>
          </w:p>
        </w:tc>
        <w:tc>
          <w:tcPr>
            <w:tcW w:type="dxa" w:w="4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FIREFLEYE trial (2023) showed non-inferiority to laser for severe ROP; lower retreatment rate than ranibizumab</w:t>
            </w:r>
          </w:p>
        </w:tc>
      </w:tr>
      <w:tr>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Therapeutic hypothermia for mild HIE</w:t>
            </w:r>
          </w:p>
        </w:tc>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Research phase</w:t>
            </w:r>
          </w:p>
        </w:tc>
        <w:tc>
          <w:tcPr>
            <w:tcW w:type="dxa" w:w="1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NICHD network</w:t>
            </w:r>
          </w:p>
        </w:tc>
        <w:tc>
          <w:tcPr>
            <w:tcW w:type="dxa" w:w="48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NICHD HEAL trial (results pending) evaluating cooling for mild encephalopathy</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Whole-body MRI for birth injury</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Growing adoption</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Stanford, CHOP</w:t>
            </w:r>
          </w:p>
        </w:tc>
        <w:tc>
          <w:tcPr>
            <w:tcW w:type="dxa" w:w="4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Replacing skeletal surveys at some institutions for suspected birth trauma</w:t>
            </w:r>
          </w:p>
        </w:tc>
      </w:tr>
      <w:tr>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Point-of-care ultrasound (POCUS) by NNPs</w:t>
            </w:r>
          </w:p>
        </w:tc>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Rapidly expanding</w:t>
            </w:r>
          </w:p>
        </w:tc>
        <w:tc>
          <w:tcPr>
            <w:tcW w:type="dxa" w:w="1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Multiple</w:t>
            </w:r>
          </w:p>
        </w:tc>
        <w:tc>
          <w:tcPr>
            <w:tcW w:type="dxa" w:w="48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Targeted neonatal echocardiography and lung ultrasound by NNPs with focused training protocols</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Genome-rapid sequencing for NICU diagnoses</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Pilot programs</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Rady Children's (leader), Stanford, CHOP</w:t>
            </w:r>
          </w:p>
        </w:tc>
        <w:tc>
          <w:tcPr>
            <w:tcW w:type="dxa" w:w="4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Rapid whole-genome sequencing (results in 13 to 24 hours) changing diagnosis and management for critically ill neonates with suspected genetic conditions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4" w:space="4"/>
      </w:pBdr>
      <w:spacing w:after="0"/>
      <w:jc w:val="center"/>
    </w:pPr>
    <w:r>
      <w:rPr>
        <w:rFonts w:ascii="Arial" w:cs="Arial" w:eastAsia="Arial" w:hAnsi="Arial"/>
        <w:color w:val="1B3A5C"/>
        <w:sz w:val="16"/>
        <w:szCs w:val="16"/>
      </w:rPr>
      <w:t xml:space="preserve">Page </w:t>
    </w:r>
    <w:r>
      <w:rPr>
        <w:rFonts w:ascii="Arial" w:cs="Arial" w:eastAsia="Arial" w:hAnsi="Arial"/>
        <w:color w:val="1B3A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4"/>
      </w:pBdr>
      <w:tabs>
        <w:tab w:val="right" w:pos="9026"/>
      </w:tabs>
      <w:spacing w:after="0"/>
    </w:pPr>
    <w:r>
      <w:rPr>
        <w:rFonts w:ascii="Arial" w:cs="Arial" w:eastAsia="Arial" w:hAnsi="Arial"/>
        <w:i/>
        <w:iCs/>
        <w:color w:val="1B3A5C"/>
        <w:sz w:val="18"/>
        <w:szCs w:val="18"/>
      </w:rPr>
      <w:t xml:space="preserve">Neonatal Care Pathways Across US Level II-IV NICUs: Expanded Comparative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7A6D"/>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1A1A1A"/>
      <w:sz w:val="26"/>
      <w:szCs w:val="26"/>
    </w:rPr>
  </w:style>
  <w:style w:type="paragraph" w:styleId="Heading4">
    <w:name w:val="Heading 4"/>
    <w:basedOn w:val="Normal"/>
    <w:next w:val="Normal"/>
    <w:qFormat/>
    <w:pPr>
      <w:spacing w:after="100" w:before="160"/>
      <w:outlineLvl w:val="3"/>
    </w:pPr>
    <w:rPr>
      <w:rFonts w:ascii="Arial" w:cs="Arial" w:eastAsia="Arial" w:hAnsi="Arial"/>
      <w:b/>
      <w:bCs/>
      <w:i/>
      <w:i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2026-03-16T22:11:48.290Z</dcterms:created>
  <dcterms:modified xsi:type="dcterms:W3CDTF">2026-03-16T22:11:48.291Z</dcterms:modified>
</cp:coreProperties>
</file>

<file path=docProps/custom.xml><?xml version="1.0" encoding="utf-8"?>
<Properties xmlns="http://schemas.openxmlformats.org/officeDocument/2006/custom-properties" xmlns:vt="http://schemas.openxmlformats.org/officeDocument/2006/docPropsVTypes"/>
</file>