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Rural Level II Nursery Care Pathways</w:t>
      </w:r>
    </w:p>
    <w:p>
      <w:pPr>
        <w:spacing w:after="100"/>
        <w:jc w:val="center"/>
      </w:pPr>
      <w:r>
        <w:rPr>
          <w:rFonts w:ascii="Arial" w:cs="Arial" w:eastAsia="Arial" w:hAnsi="Arial"/>
          <w:color w:val="1A7A6D"/>
          <w:sz w:val="30"/>
          <w:szCs w:val="30"/>
        </w:rPr>
        <w:t xml:space="preserve">Volume II: Extended Clinical Domains for Rural Practice</w:t>
      </w:r>
    </w:p>
    <w:p>
      <w:pPr>
        <w:spacing w:after="200"/>
        <w:jc w:val="center"/>
      </w:pPr>
      <w:r>
        <w:rPr>
          <w:rFonts w:ascii="Arial" w:cs="Arial" w:eastAsia="Arial" w:hAnsi="Arial"/>
          <w:i/>
          <w:iCs/>
          <w:sz w:val="22"/>
          <w:szCs w:val="22"/>
        </w:rPr>
        <w:t xml:space="preserve">Comprehensive Protocols for Critical Access Hospitals, Rural Emergency Hospitals, and Community Level II Nurseries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The Rural Neonatal Care Landscape</w:t>
      </w:r>
    </w:p>
    <w:p>
      <w:pPr>
        <w:pStyle w:val="Heading2"/>
      </w:pPr>
      <w:r>
        <w:t xml:space="preserve">1.1 Scope of the Challenge</w:t>
      </w:r>
    </w:p>
    <w:p>
      <w:pPr>
        <w:spacing w:after="120" w:line="276"/>
      </w:pPr>
      <w:r>
        <w:t xml:space="preserve">Approximately 15 percent of US births occur in rural areas, yet rural counties have experienced a 9 percent decline in hospital obstetric services since 2015. Over 1,100 counties in the United States have no hospital obstetric services, creating maternity care deserts that affect over 6 million women of childbearing age. When complications arise, the distance to a Level III or IV NICU averages 60 to 120 minutes by ground transport and 30 to 90 minutes by air, creating a critical window during which the rural team must independently manage neonatal emergencies.</w:t>
      </w:r>
    </w:p>
    <w:p>
      <w:pPr>
        <w:spacing w:after="120" w:line="276"/>
      </w:pPr>
      <w:r>
        <w:t xml:space="preserve">The epidemiology of neonatal emergencies in rural settings differs from urban tertiary centers: a higher proportion of emergencies are unexpected (inadequate prenatal care, undiagnosed anomalies, precipitous deliveries); late preterm and term infants represent the majority of emergencies (rather than extremely preterm); and the range of potential presentations is broad, from minor transitional issues to life-threatening emergencies requiring complex management. A rural Level II nurse may see only 2 to 5 critically ill newborns per year, yet must maintain competency across the full spectrum of potential presentations.</w:t>
      </w:r>
    </w:p>
    <w:p>
      <w:pPr>
        <w:pStyle w:val="Heading2"/>
      </w:pPr>
      <w:r>
        <w:t xml:space="preserve">1.2 Rural Hospital Types and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2200"/>
        <w:gridCol w:w="3760"/>
      </w:tblGrid>
      <w:tr>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Hospital Type</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Bed Limit</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Average LOS Limit</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Regulatory Features</w:t>
            </w:r>
          </w:p>
        </w:tc>
        <w:tc>
          <w:tcPr>
            <w:tcW w:type="dxa" w:w="3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Neonatal Care Implications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Critical Access Hospital (CAH)</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acute care beds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96 hours (annual average)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Medicare cost-based reimbursement; must be 35+ miles from another hospital (or 15 miles in mountainous terrain); state-designated</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LOS limit affects nursery management; stabilize-and-transfer model; may provide Level I or limited Level II services</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Rural Emergency Hospital (REH)</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 inpatient beds (ED only)</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24 hours observation</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New CMS designation (2023); converts from CAH or small rural hospital; receives enhanced Medicare payments; no inpatient obstetric services</w:t>
            </w:r>
          </w:p>
        </w:tc>
        <w:tc>
          <w:tcPr>
            <w:tcW w:type="dxa" w:w="3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 nursery services; emergency delivery management only; must stabilize and transfer ALL neonates requiring admission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Small Rural Hospital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Varies (typically 25 to 50)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 limit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Standard Medicare reimbursement; may provide obstetric and nursery services at various levels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May operate Level I or Level II nursery depending on staffing, equipment, and volume</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Sole Community Hospital</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Varies</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 limit</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Special Medicare payment protections; located in rural area as only hospital within 35 miles</w:t>
            </w:r>
          </w:p>
        </w:tc>
        <w:tc>
          <w:tcPr>
            <w:tcW w:type="dxa" w:w="3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Often serves as the only source of obstetric and neonatal services for a large geographic area</w:t>
            </w:r>
          </w:p>
        </w:tc>
      </w:tr>
    </w:tbl>
    <w:p>
      <w:r>
        <w:br w:type="page"/>
      </w:r>
    </w:p>
    <w:p>
      <w:pPr>
        <w:pStyle w:val="Heading2"/>
      </w:pPr>
      <w:r>
        <w:t xml:space="preserve">1.3 Staffing Models in Rural Nurseries</w:t>
      </w:r>
    </w:p>
    <w:p>
      <w:pPr>
        <w:spacing w:after="120" w:line="276"/>
      </w:pPr>
      <w:r>
        <w:t xml:space="preserve">Staffing in rural nurseries is fundamentally different from urban NICUs. Nurses commonly rotate between obstetric, nursery, postpartum, and sometimes medical-surgical or emergency department assignments. This cross-training model is a necessity driven by volume constraints but creates challenges for maintaining specialized neonatal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500"/>
        <w:gridCol w:w="1800"/>
        <w:gridCol w:w="32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Staffing Model</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Advantages</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Challenges</w:t>
            </w:r>
          </w:p>
        </w:tc>
        <w:tc>
          <w:tcPr>
            <w:tcW w:type="dxa" w:w="32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Mitigation Strategies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Cross-trained OB/nursery RN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 competent in labor and delivery, postpartum, and newborn nursery care; may also cover pediatric or adult medical-surgical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Flexibility; cost-effective; RNs understand the full continuum from maternal to neonatal care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Difficult to maintain specialized NICU skills; competing priorities during emergencies; cognitive load of managing multiple patient types</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Quarterly simulation; dedicated neonatal competency days; telemedicine backup for complex cases</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Dedicated nursery RN with OB backup</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 primarily assigned to nursery with cross-training to OB for volume surge</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Better nursery expertise; more consistent neonatal assessment skills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May not be sustainable at low-volume sites; RN idle time when census low</w:t>
            </w:r>
          </w:p>
        </w:tc>
        <w:tc>
          <w:tcPr>
            <w:tcW w:type="dxa" w:w="32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Assign nursery RN to QI, education, and equipment management during low census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NNP (Neonatal Nurse Practitioner) coverage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NNP provides 24/7 or on-call neonatal coverage for medium-volume Level II</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Advanced neonatal expertise; can perform procedures (intubation, UVC, chest tube); reduced transfer rate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Expensive; recruitment challenge in rural areas; burnout risk with solo coverage</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Telemedicine neonatology backup; collaborative practice agreements; reasonable call schedules</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Telemedicine neonatology plus local RN team</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24/7 neonatologist availability by telemedicine with trained local nursing team</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Cost-effective access to neonatology expertise; enhances local team confidence and decision-making</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Technology dependency; may not replace hands-on procedural expertise; cultural adjustment required</w:t>
            </w:r>
          </w:p>
        </w:tc>
        <w:tc>
          <w:tcPr>
            <w:tcW w:type="dxa" w:w="32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High-quality video equipment at warmer; regular simulation with tele-neonatologist; defined escalation protocols</w:t>
            </w:r>
          </w:p>
        </w:tc>
      </w:tr>
    </w:tbl>
    <w:p>
      <w:r>
        <w:br w:type="page"/>
      </w:r>
    </w:p>
    <w:p>
      <w:pPr>
        <w:pStyle w:val="Heading1"/>
      </w:pPr>
      <w:r>
        <w:t xml:space="preserve">Chapter 2: Telemedicine Integration</w:t>
      </w:r>
    </w:p>
    <w:p>
      <w:pPr>
        <w:pStyle w:val="Heading2"/>
      </w:pPr>
      <w:r>
        <w:t xml:space="preserve">2.1 Technical Infrastructure</w:t>
      </w:r>
    </w:p>
    <w:p>
      <w:pPr>
        <w:spacing w:after="120" w:line="276"/>
      </w:pPr>
      <w:r>
        <w:t xml:space="preserve">Successful neonatal telemedicine requires reliable technology that performs seamlessly during high-stress clinical situations. The following technical standards are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49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Minimum Specification</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Recommended Specification</w:t>
            </w:r>
          </w:p>
        </w:tc>
        <w:tc>
          <w:tcPr>
            <w:tcW w:type="dxa" w:w="4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Video resolution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720p (HD)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1080p (Full HD)</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Must see facial color, respiratory effort, and procedures clearly</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Frame rate</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 fps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fps</w:t>
            </w:r>
          </w:p>
        </w:tc>
        <w:tc>
          <w:tcPr>
            <w:tcW w:type="dxa" w:w="4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Higher frame rate essential for real-time procedural guidance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Camera</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Fixed wide-angle camera over radiant warmer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Pan-tilt-zoom (PTZ) camera controllable by remote neonatologist, plus fixed wide-angle</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PTZ allows close-up views of monitors, skin color, procedures without asking local staff to adjust</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Bandwidth</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 Mbps symmetrical</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Mbps symmetrical dedicated circuit</w:t>
            </w:r>
          </w:p>
        </w:tc>
        <w:tc>
          <w:tcPr>
            <w:tcW w:type="dxa" w:w="4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Dedicate bandwidth for telemedicine; do not share with general hospital network during active consult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Redundancy</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Cellular backup (4G minimum)</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Dual ISP connections with automatic failover plus cellular backup</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Network failure during active resuscitation is unacceptable; test failover quarterly</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Audio</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Built-in camera microphone</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Dedicated ceiling or directional microphone plus speaker; echo cancellation</w:t>
            </w:r>
          </w:p>
        </w:tc>
        <w:tc>
          <w:tcPr>
            <w:tcW w:type="dxa" w:w="4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Must hear infant cry quality, breath sounds reported by local team, alarm tones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Display at remote site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Dual monitors (patient video plus EMR)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Triple monitors (patient video, EMR, vital sign telemetry)</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Remote neonatologist needs simultaneous access to visual assessment, charting, and real-time data</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Integration</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Standalone system</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Integration with monitor telemetry (real-time vital signs streamed to remote); EMR access for remote provider</w:t>
            </w:r>
          </w:p>
        </w:tc>
        <w:tc>
          <w:tcPr>
            <w:tcW w:type="dxa" w:w="4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Real-time data sharing eliminates need for verbal relay of vital signs, reducing cognitive load</w:t>
            </w:r>
          </w:p>
        </w:tc>
      </w:tr>
    </w:tbl>
    <w:p>
      <w:pPr>
        <w:spacing w:after="120"/>
      </w:pPr>
    </w:p>
    <w:p>
      <w:pPr>
        <w:pStyle w:val="Heading2"/>
      </w:pPr>
      <w:r>
        <w:t xml:space="preserve">2.2 Clinical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000"/>
        <w:gridCol w:w="40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Application</w:t>
            </w:r>
          </w:p>
        </w:tc>
        <w:tc>
          <w:tcPr>
            <w:tcW w:type="dxa" w:w="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Acuity</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Telemedicine Role</w:t>
            </w:r>
          </w:p>
        </w:tc>
        <w:tc>
          <w:tcPr>
            <w:tcW w:type="dxa" w:w="4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Local Team Role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Delivery room resuscitation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Emergent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Real-time guidance through NRP algorithm; observe infant condition; guide medication dosing; determine disposition</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Perform all hands-on care; operate equipment; relay assessments verbally and visually; manage airway</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Post-resuscitation stabilization</w:t>
            </w:r>
          </w:p>
        </w:tc>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Urgent</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Direct S.T.A.B.L.E. stabilization; order labs, imaging, medications; arrange transport; guide procedures (intubation, IV access, UVC)</w:t>
            </w:r>
          </w:p>
        </w:tc>
        <w:tc>
          <w:tcPr>
            <w:tcW w:type="dxa" w:w="4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Implement orders; perform procedures with visual guidance; document; communicate with family</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 management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Variable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Guide CPAP initiation, settings, troubleshooting; interpret CXR; determine need for surfactant or intubation; guide weaning</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Set up and manage CPAP/HFNC equipment; perform assessments; adjust settings per guidance</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Hyperbilirubinemia management</w:t>
            </w:r>
          </w:p>
        </w:tc>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Routine to urgent</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Interpret bilirubin levels on nomogram; determine phototherapy or exchange threshold; guide management decisions</w:t>
            </w:r>
          </w:p>
        </w:tc>
        <w:tc>
          <w:tcPr>
            <w:tcW w:type="dxa" w:w="4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Obtain TSB/TcB; initiate/manage phototherapy; assess for risk factors; coordinate follow-up</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Sepsis evaluation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Urgent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Determine evaluation approach (EOS Calculator, categorical); guide antibiotic selection and dosing; interpret labs; determine duration of treatment</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Obtain cultures, labs; administer medications; perform enhanced observation; assess clinical status</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Discharge planning</w:t>
            </w:r>
          </w:p>
        </w:tc>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Routine</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Review discharge readiness criteria; guide follow-up plans for complex infants; assist with parent education for special needs</w:t>
            </w:r>
          </w:p>
        </w:tc>
        <w:tc>
          <w:tcPr>
            <w:tcW w:type="dxa" w:w="4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Assess discharge criteria; provide parent education; arrange follow-up; coordinate with outpatient providers</w:t>
            </w:r>
          </w:p>
        </w:tc>
      </w:tr>
    </w:tbl>
    <w:p>
      <w:r>
        <w:br w:type="page"/>
      </w:r>
    </w:p>
    <w:p>
      <w:pPr>
        <w:pStyle w:val="Heading1"/>
      </w:pPr>
      <w:r>
        <w:t xml:space="preserve">Chapter 3: Transfer Decision Framework</w:t>
      </w:r>
    </w:p>
    <w:p>
      <w:pPr>
        <w:spacing w:after="120" w:line="276"/>
      </w:pPr>
      <w:r>
        <w:t xml:space="preserve">Transfer decision-making in rural settings requires balancing the risks of transport (physiologic instability during transport, delay to definitive care, family separation, financial burden) against the risks of providing care beyond the facility's capabilities (delayed recognition of complications, limited backup resources, prolonged recovery from suboptimal management). A structured decision framework reduces variability and supports timely, appropriate transfers.</w:t>
      </w:r>
    </w:p>
    <w:p>
      <w:pPr>
        <w:pStyle w:val="Heading2"/>
      </w:pPr>
      <w:r>
        <w:t xml:space="preserve">3.1 Transfer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Classification</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Definition</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Expected Timeline</w:t>
            </w:r>
          </w:p>
        </w:tc>
        <w:tc>
          <w:tcPr>
            <w:tcW w:type="dxa" w:w="4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Examples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Emergent (Red)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Life-threatening condition requiring immediate transfer; stabilize and transport as rapidly as possible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Transport team activated immediately; departure within 30 minutes of team arrival</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Surgical emergency (gastroschisis, CDH, bowel obstruction); suspected ductal-dependent CHD; HIE requiring therapeutic hypothermia; tension pneumothorax not resolving with chest tube; refractory shock</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Urgent (Orange)</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Condition requiring capabilities not available at this facility; transfer needed within hours</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Transport team activated; departure within 1 to 2 hours of team arrival after full stabilization</w:t>
            </w:r>
          </w:p>
        </w:tc>
        <w:tc>
          <w:tcPr>
            <w:tcW w:type="dxa" w:w="4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CPAP failure requiring mechanical ventilation beyond Level II capability; persistent hypoglycemia requiring GIR greater than 12 mg/kg/min; seizures requiring anticonvulsant therapy; NEC with systemic illness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Semi-urgent (Yellow)</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Condition likely to exceed facility capabilities if it progresses; transfer recommended but not immediately life-threatening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Arrange transfer during daytime hours if possible; complete stabilization before transport</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Anticipated prolonged IV nutrition (greater than 5 to 7 days); escalating NAS pharmacotherapy; feeding difficulties in very preterm infant unlikely to resolve quickly; significant apnea requiring caffeine and monitoring beyond facility duration</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Non-urgent (Green)</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Back-transfer from higher level to community hospital for continued convalescent care; or transfer for family/geographic convenience</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Schedule during optimal transport conditions; coordinate with receiving facility</w:t>
            </w:r>
          </w:p>
        </w:tc>
        <w:tc>
          <w:tcPr>
            <w:tcW w:type="dxa" w:w="4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Convalescing former NICU infant ready for Level II care (feeding, growing, no significant support); infant stable for family-centered care closer to home</w:t>
            </w:r>
          </w:p>
        </w:tc>
      </w:tr>
    </w:tbl>
    <w:p>
      <w:pPr>
        <w:spacing w:after="120"/>
      </w:pPr>
    </w:p>
    <w:p>
      <w:pPr>
        <w:pStyle w:val="Heading2"/>
      </w:pPr>
      <w:r>
        <w:t xml:space="preserve">3.2 System-Specific Transfer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4060"/>
      </w:tblGrid>
      <w:tr>
        <w:tc>
          <w:tcPr>
            <w:tcW w:type="dxa" w:w="9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System</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MANDATORY Transfer (Regardless of Acuity)</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CONSIDER Transfer (Based on Trajectory and Resources)</w:t>
            </w:r>
          </w:p>
        </w:tc>
        <w:tc>
          <w:tcPr>
            <w:tcW w:type="dxa" w:w="4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MANAGE Locally if Stable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Mechanical ventilation needed beyond 24 hours (Level IIA); any ventilation (Level I); FiO2 greater than 0.60 on CPAP; refractory pneumothorax; CDH</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0.40 to 0.60 on CPAP with slow improvement; recurrent apnea despite caffeine and CPAP; worsening CXR</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on CPAP with FiO2 less than 0.40 and improving; HFNC with FiO2 less than 0.40; room air observation</w:t>
            </w:r>
          </w:p>
        </w:tc>
      </w:tr>
      <w:tr>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Cardiovascular</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Suspected ductal-dependent CHD; shock requiring vasopressors; failed CCHD screen with echocardiographic abnormality</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Persistent murmur with equivocal CCHD screen; hemodynamic instability responding to fluids but requiring close monitoring</w:t>
            </w:r>
          </w:p>
        </w:tc>
        <w:tc>
          <w:tcPr>
            <w:tcW w:type="dxa" w:w="4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Benign murmur (no hemodynamic significance on exam); passed CCHD screen; mild tachycardia with identifiable cause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Neurologic</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to severe HIE requiring therapeutic hypothermia; clinical seizures; bulging fontanelle with altered mental status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Jitteriness not responsive to swaddling and glucose correction; abnormal tone with unclear etiology; abnormal EEG</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Mild jitteriness resolving with environmental measures; normal neurologic exam with reassuring history</w:t>
            </w:r>
          </w:p>
        </w:tc>
      </w:tr>
      <w:tr>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Metabolic</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Persistent hypoglycemia requiring GIR greater than 12 mg/kg/min; suspected inborn error of metabolism (hyperammonemia, severe acidosis)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Persistent hypoglycemia at GIR 8 to 10 with slow improvement; TSB at escalation threshold; electrolyte derangements beyond standard management</w:t>
            </w:r>
          </w:p>
        </w:tc>
        <w:tc>
          <w:tcPr>
            <w:tcW w:type="dxa" w:w="4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Hypoglycemia responding to dextrose gel and feeds; hyperbilirubinemia below escalation threshold responding to phototherapy</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GI/Surgical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Any suspected surgical condition; bilious emesis; abdominal wall defect; TEF; imperforate anus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NEC with systemic signs; feeding intolerance requiring NPO greater than 48 hours; GI bleeding requiring evaluation</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Mild feeding intolerance responding to adjustment; benign GER; meconium passage delay with normal exam</w:t>
            </w:r>
          </w:p>
        </w:tc>
      </w:tr>
      <w:tr>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Hematologic</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Exchange transfusion; DIC with active bleeding; severe anemia requiring emergent transfusion (if blood products not available)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Thrombocytopenia requiring platelet transfusion; worsening jaundice with hemolysis on positive DAT</w:t>
            </w:r>
          </w:p>
        </w:tc>
        <w:tc>
          <w:tcPr>
            <w:tcW w:type="dxa" w:w="4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Mild anemia with stable Hgb; immune-mediated jaundice responding to phototherapy</w:t>
            </w:r>
          </w:p>
        </w:tc>
      </w:tr>
    </w:tbl>
    <w:p>
      <w:r>
        <w:br w:type="page"/>
      </w:r>
    </w:p>
    <w:p>
      <w:pPr>
        <w:pStyle w:val="Heading1"/>
      </w:pPr>
      <w:r>
        <w:t xml:space="preserve">Chapter 4: Competency Maintenance Program</w:t>
      </w:r>
    </w:p>
    <w:p>
      <w:pPr>
        <w:spacing w:after="120" w:line="276"/>
      </w:pPr>
      <w:r>
        <w:t xml:space="preserve">Low patient volume is the defining challenge of rural neonatal competency maintenance. Skills decay follows a well-documented pattern: without practice, psychomotor skills decline significantly within 3 to 6 months, and cognitive retention of complex algorithms diminishes within 6 to 12 months. In a rural setting where a nurse may manage only 2 to 5 critically ill newborns per year, intentional and structured competency maintenance is essential.</w:t>
      </w:r>
    </w:p>
    <w:p>
      <w:pPr>
        <w:pStyle w:val="Heading2"/>
      </w:pPr>
      <w:r>
        <w:t xml:space="preserve">4.1 Recommended Annual Competency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200"/>
        <w:gridCol w:w="1800"/>
        <w:gridCol w:w="32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Activity</w:t>
            </w:r>
          </w:p>
        </w:tc>
        <w:tc>
          <w:tcPr>
            <w:tcW w:type="dxa" w:w="9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Frequency</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Content</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c>
          <w:tcPr>
            <w:tcW w:type="dxa" w:w="32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Documentation</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NRP recertification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Every 2 years (AAP requirement)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Full NRP algorithm including megacode scenario</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AHA/AAP approved course with simulation</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NRP card; maintain in personnel file</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recertification</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Every 2 years recommended</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Post-resuscitation/pre-transport stabilization</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approved course</w:t>
            </w:r>
          </w:p>
        </w:tc>
        <w:tc>
          <w:tcPr>
            <w:tcW w:type="dxa" w:w="32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certificate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High-fidelity simulation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Quarterly (4 times per year)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Rotating scenarios: unexpected preterm delivery; neonatal resuscitation with meconium; sepsis recognition and management; respiratory deterioration on CPAP; hypoglycemia management cascade; seizure management; unexpected CHD presentation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Simulation lab with high-fidelity manikin or in-situ simulation in actual delivery room and nursery</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Scenario completion log; debrief notes; identified improvement opportunities</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Skills stations</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Semi-annually (2 times per year)</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CPAP setup and interface sizing; IV access (neonatal arm model); gavage tube insertion and verification; UVC placement (if in scope); bag-mask ventilation technique; intubation (if in scope); chest X-ray interpretation</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Task trainers; supervised practice; checklist-based assessment</w:t>
            </w:r>
          </w:p>
        </w:tc>
        <w:tc>
          <w:tcPr>
            <w:tcW w:type="dxa" w:w="32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Skills checklist signed by evaluator</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Case-based learning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Monthly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Review of actual cases from facility or published cases; review of near-misses; practice guideline updates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Nursing grand rounds; multidisciplinary case conference; online modules</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Attendance log; CE credit documentation</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Telemedicine simulation</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Semi-annually (2 times per year)</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Joint simulation exercise with consulting neonatology team using actual telemedicine equipment</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Simulated emergency scenario with tele-neonatologist directing care remotely; test technology and communication protocols</w:t>
            </w:r>
          </w:p>
        </w:tc>
        <w:tc>
          <w:tcPr>
            <w:tcW w:type="dxa" w:w="32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Exercise report; communication assessment; technology function check</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Equipment competency</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Annually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Radiant warmer operation and troubleshooting; CPAP/HFNC device setup; cardiac monitor and pulse oximetry; infusion pump programming (neonatal rates and safety limits)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Manufacturer training; supervised setup; troubleshooting scenarios</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Equipment competency checklist</w:t>
            </w:r>
          </w:p>
        </w:tc>
      </w:tr>
    </w:tbl>
    <w:p>
      <w:pPr>
        <w:spacing w:after="120"/>
      </w:pPr>
    </w:p>
    <w:p>
      <w:pPr>
        <w:pStyle w:val="Heading2"/>
      </w:pPr>
      <w:r>
        <w:t xml:space="preserve">4.2 Competency Assessment Tools</w:t>
      </w:r>
    </w:p>
    <w:p>
      <w:pPr>
        <w:spacing w:after="120" w:line="276"/>
      </w:pPr>
      <w:r>
        <w:t xml:space="preserve">Several validated tools exist for assessing neonatal clinical competency in rural settings:</w:t>
      </w:r>
    </w:p>
    <w:p>
      <w:pPr>
        <w:pStyle w:val="ListParagraph"/>
        <w:numPr>
          <w:ilvl w:val="0"/>
          <w:numId w:val="2"/>
        </w:numPr>
        <w:spacing w:after="60" w:line="260"/>
      </w:pPr>
      <w:r>
        <w:t xml:space="preserve">Neonatal Resuscitation Performance Assessment: Based on NRP behavioral skills checklist; includes both technical and behavioral (teamwork, communication) domains</w:t>
      </w:r>
    </w:p>
    <w:p>
      <w:pPr>
        <w:pStyle w:val="ListParagraph"/>
        <w:numPr>
          <w:ilvl w:val="0"/>
          <w:numId w:val="2"/>
        </w:numPr>
        <w:spacing w:after="60" w:line="260"/>
      </w:pPr>
      <w:r>
        <w:t xml:space="preserve">Clinical Competency Assessment Tool (CCAT): Covers assessment, respiratory management, thermal management, feeding, medication administration, and emergency response</w:t>
      </w:r>
    </w:p>
    <w:p>
      <w:pPr>
        <w:pStyle w:val="ListParagraph"/>
        <w:numPr>
          <w:ilvl w:val="0"/>
          <w:numId w:val="2"/>
        </w:numPr>
        <w:spacing w:after="60" w:line="260"/>
      </w:pPr>
      <w:r>
        <w:t xml:space="preserve">Simulation Performance Rubric: Standardized rubric for debriefing simulation exercises; assesses situational awareness, decision-making, task management, teamwork, and communication</w:t>
      </w:r>
    </w:p>
    <w:p>
      <w:pPr>
        <w:pStyle w:val="ListParagraph"/>
        <w:numPr>
          <w:ilvl w:val="0"/>
          <w:numId w:val="2"/>
        </w:numPr>
        <w:spacing w:after="60" w:line="260"/>
      </w:pPr>
      <w:r>
        <w:t xml:space="preserve">Knowledge Assessment: Annual written examination covering current AAP guidelines, NRP algorithm, common neonatal conditions, and medication dosing</w:t>
      </w:r>
    </w:p>
    <w:p>
      <w:pPr>
        <w:spacing w:after="120" w:line="276"/>
      </w:pPr>
      <w:r>
        <w:t xml:space="preserve">Importantly, competency assessment should be formative (focused on identifying learning needs and guiding improvement) rather than purely summative (pass/fail). A culture that supports honest self-assessment and targeted skill development produces better outcomes than a punitive approach to competency gaps.</w:t>
      </w:r>
    </w:p>
    <w:p>
      <w:r>
        <w:br w:type="page"/>
      </w:r>
    </w:p>
    <w:p>
      <w:pPr>
        <w:pStyle w:val="Heading1"/>
      </w:pPr>
      <w:r>
        <w:t xml:space="preserve">Chapter 5: Rural-Specific Clinical Protocols</w:t>
      </w:r>
    </w:p>
    <w:p>
      <w:pPr>
        <w:pStyle w:val="Heading2"/>
      </w:pPr>
      <w:r>
        <w:t xml:space="preserve">5.1 Emergency Delivery Management Without Pediatric Coverage</w:t>
      </w:r>
    </w:p>
    <w:p>
      <w:pPr>
        <w:spacing w:after="120" w:line="276"/>
      </w:pPr>
      <w:r>
        <w:t xml:space="preserve">In many rural hospitals, pediatric or neonatal providers are not immediately available for deliveries. The nursing team may be the primary responders for neonatal complications. This protocol ensures that trained nursing staff can manage the critical first minutes of neonatal emergencies.</w:t>
      </w:r>
    </w:p>
    <w:p>
      <w:pPr>
        <w:pStyle w:val="Heading3"/>
      </w:pPr>
      <w:r>
        <w:t xml:space="preserve">Pre-Delivery Preparation (When Time Allows)</w:t>
      </w:r>
    </w:p>
    <w:p>
      <w:pPr>
        <w:pStyle w:val="ListParagraph"/>
        <w:numPr>
          <w:ilvl w:val="0"/>
          <w:numId w:val="2"/>
        </w:numPr>
        <w:spacing w:after="60" w:line="260"/>
      </w:pPr>
      <w:r>
        <w:t xml:space="preserve">Activate the neonatal response team (defined by facility; typically includes OB nurse, nursery nurse, and available provider)</w:t>
      </w:r>
    </w:p>
    <w:p>
      <w:pPr>
        <w:pStyle w:val="ListParagraph"/>
        <w:numPr>
          <w:ilvl w:val="0"/>
          <w:numId w:val="2"/>
        </w:numPr>
        <w:spacing w:after="60" w:line="260"/>
      </w:pPr>
      <w:r>
        <w:t xml:space="preserve">Pre-warm the radiant warmer; prepare NRP supplies per checklist</w:t>
      </w:r>
    </w:p>
    <w:p>
      <w:pPr>
        <w:pStyle w:val="ListParagraph"/>
        <w:numPr>
          <w:ilvl w:val="0"/>
          <w:numId w:val="2"/>
        </w:numPr>
        <w:spacing w:after="60" w:line="260"/>
      </w:pPr>
      <w:r>
        <w:t xml:space="preserve">Connect telemedicine (if available and time permits)</w:t>
      </w:r>
    </w:p>
    <w:p>
      <w:pPr>
        <w:pStyle w:val="ListParagraph"/>
        <w:numPr>
          <w:ilvl w:val="0"/>
          <w:numId w:val="2"/>
        </w:numPr>
        <w:spacing w:after="60" w:line="260"/>
      </w:pPr>
      <w:r>
        <w:t xml:space="preserve">Identify team roles: airway (most experienced person), compressions/medications, timer/recorder, family liaison</w:t>
      </w:r>
    </w:p>
    <w:p>
      <w:pPr>
        <w:pStyle w:val="ListParagraph"/>
        <w:numPr>
          <w:ilvl w:val="0"/>
          <w:numId w:val="2"/>
        </w:numPr>
        <w:spacing w:after="60" w:line="260"/>
      </w:pPr>
      <w:r>
        <w:t xml:space="preserve">Review anticipated risk factors from maternal history</w:t>
      </w:r>
    </w:p>
    <w:p>
      <w:pPr>
        <w:pStyle w:val="Heading3"/>
      </w:pPr>
      <w:r>
        <w:t xml:space="preserve">Precipitous Delivery Without Prior Warning</w:t>
      </w:r>
    </w:p>
    <w:p>
      <w:pPr>
        <w:spacing w:after="120" w:line="276"/>
      </w:pPr>
      <w:r>
        <w:t xml:space="preserve">When an infant is delivered unexpectedly (emergency department, hallway, parking lot, or by an unregistered patient), the response priorities are: 1) Call for help immediately (activate overhead code or use facility-specific alert system). 2) Warm and dry the infant (use any available warm towels or blankets; place skin-to-skin with mother if vigorous). 3) Assess breathing and heart rate within 60 seconds. 4) If the infant is vigorous (crying, good tone, term), provide routine care while establishing monitoring. 5) If the infant requires resuscitation, begin NRP algorithm using available equipment (a bag-valve-mask device should be accessible in the ED, OR, and every delivery location). 6) Clamp and cut the cord (if not already done). 7) Transfer to the warmer when available. 8) Activate transport if needed.</w:t>
      </w:r>
    </w:p>
    <w:p>
      <w:pPr>
        <w:pStyle w:val="Heading2"/>
      </w:pPr>
      <w:r>
        <w:t xml:space="preserve">5.2 After-Hours Laboratory Management</w:t>
      </w:r>
    </w:p>
    <w:p>
      <w:pPr>
        <w:spacing w:after="120" w:line="276"/>
      </w:pPr>
      <w:r>
        <w:t xml:space="preserve">Many rural hospitals have limited laboratory services after hours (laboratory technician on call rather than in-house). This creates potential delays in obtaining critical neonatal labs. Strategies to mitigate this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39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Lab Category</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Point-of-Care Option</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When to Send to Lab</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After-Hours Strategy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Blood glucose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Bedside glucometer (POC glucose) — standard of care for screening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Confirm any POC glucose below treatment threshold with lab glucose if it will not delay treatment</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POC glucose is acceptable for all screening and management decisions; send confirmatory lab for documentation</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Bilirubin</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Transcutaneous bilirubin (TcB) device — non-invasive, no lab needed</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If TcB within 3 mg/dL of phototherapy threshold or TcB greater than 15 mg/dL; during/after phototherapy (TcB unreliable)</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Use TcB for all screening; call lab tech for TSB only when TcB indicates treatment threshold proximity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Blood gas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i-STAT or equivalent POC blood gas analyzer (if available)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Send lab ABG/VBG for confirmation of critical values</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POC blood gas is acceptable for all clinical decisions; essential equipment for Level II managing respiratory support</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CBC / blood culture</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 adequate POC alternative for CBC or blood culture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All sepsis evaluations require lab CBC and blood culture</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Ensure lab tech response time is less than 30 minutes for STAT requests; consider standing orders for sepsis evaluation that auto-notify lab</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Type and screen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 POC option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Before any anticipated blood product administration</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Cord blood type and DAT should be obtained at delivery for all Rh-negative mothers and O-positive mothers; facilitates faster crossmatch if needed</w:t>
            </w:r>
          </w:p>
        </w:tc>
      </w:tr>
    </w:tbl>
    <w:p>
      <w:pPr>
        <w:spacing w:after="120"/>
      </w:pPr>
    </w:p>
    <w:p>
      <w:pPr>
        <w:pStyle w:val="Heading2"/>
      </w:pPr>
      <w:r>
        <w:t xml:space="preserve">5.3 Blood Product Availability</w:t>
      </w:r>
    </w:p>
    <w:p>
      <w:pPr>
        <w:spacing w:after="120" w:line="276"/>
      </w:pPr>
      <w:r>
        <w:t xml:space="preserve">Rural hospitals may not maintain a full neonatal blood product inventory. Emergency protocols should address:</w:t>
      </w:r>
    </w:p>
    <w:p>
      <w:pPr>
        <w:pStyle w:val="ListParagraph"/>
        <w:numPr>
          <w:ilvl w:val="0"/>
          <w:numId w:val="2"/>
        </w:numPr>
        <w:spacing w:after="60" w:line="260"/>
      </w:pPr>
      <w:r>
        <w:t xml:space="preserve">O-negative PRBC availability: Ensure at least 2 units of O-negative PRBCs are available at all times for emergency transfusion (maternal hemorrhage or neonatal emergencies)</w:t>
      </w:r>
    </w:p>
    <w:p>
      <w:pPr>
        <w:pStyle w:val="ListParagraph"/>
        <w:numPr>
          <w:ilvl w:val="0"/>
          <w:numId w:val="2"/>
        </w:numPr>
        <w:spacing w:after="60" w:line="260"/>
      </w:pPr>
      <w:r>
        <w:t xml:space="preserve">Irradiated and CMV-safe products: For neonatal transfusion, products should be irradiated (to prevent transfusion-associated graft-versus-host disease) and CMV-safe (leukoreduced). If irradiation is not available on site, establish a protocol with the regional blood center for emergent delivery of irradiated products.</w:t>
      </w:r>
    </w:p>
    <w:p>
      <w:pPr>
        <w:pStyle w:val="ListParagraph"/>
        <w:numPr>
          <w:ilvl w:val="0"/>
          <w:numId w:val="2"/>
        </w:numPr>
        <w:spacing w:after="60" w:line="260"/>
      </w:pPr>
      <w:r>
        <w:t xml:space="preserve">Exchange transfusion: Rural facilities should NOT attempt exchange transfusion. If exchange is indicated, stabilize and transfer to a facility with exchange capability. Maximize phototherapy during the stabilization period.</w:t>
      </w:r>
    </w:p>
    <w:p>
      <w:pPr>
        <w:pStyle w:val="ListParagraph"/>
        <w:numPr>
          <w:ilvl w:val="0"/>
          <w:numId w:val="2"/>
        </w:numPr>
        <w:spacing w:after="60" w:line="260"/>
      </w:pPr>
      <w:r>
        <w:t xml:space="preserve">Emergency release protocol: Establish a protocol for emergency release of uncrossmatched blood products when immediate transfusion is needed and crossmatched products are not yet available.</w:t>
      </w:r>
    </w:p>
    <w:p>
      <w:pPr>
        <w:pStyle w:val="Heading2"/>
      </w:pPr>
      <w:r>
        <w:t xml:space="preserve">5.4 Pharmacy Considerations</w:t>
      </w:r>
    </w:p>
    <w:p>
      <w:pPr>
        <w:spacing w:after="120" w:line="276"/>
      </w:pPr>
      <w:r>
        <w:t xml:space="preserve">Rural pharmacies may not stock all neonatal-specific medications. Essential neonatal medications that should be available at all times in any facility providing obstetric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5560"/>
      </w:tblGrid>
      <w:tr>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Medication</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Indication</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Stock Location</w:t>
            </w:r>
          </w:p>
        </w:tc>
        <w:tc>
          <w:tcPr>
            <w:tcW w:type="dxa" w:w="5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Concentration and Notes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Epinephrine 1:10,000 (0.1 mg/mL)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NRP: cardiac arrest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On NRP code cart</w:t>
            </w:r>
          </w:p>
        </w:tc>
        <w:tc>
          <w:tcPr>
            <w:tcW w:type="dxa" w:w="5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Prefilled syringes preferred; check expiration monthly</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Normal saline</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Volume resuscitation</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NRP cart and nursery</w:t>
            </w:r>
          </w:p>
        </w:tc>
        <w:tc>
          <w:tcPr>
            <w:tcW w:type="dxa" w:w="5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mL/kg boluses; multiple doses may be needed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Hypoglycemia treatment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Nursery; pharmacy backup</w:t>
            </w:r>
          </w:p>
        </w:tc>
        <w:tc>
          <w:tcPr>
            <w:tcW w:type="dxa" w:w="5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 mL/kg bolus and continuous infusion; stock pre-mixed bags</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Dextrose gel 40%</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First-line hypoglycemia treatment</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Nursery bedside</w:t>
            </w:r>
          </w:p>
        </w:tc>
        <w:tc>
          <w:tcPr>
            <w:tcW w:type="dxa" w:w="5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Oral gel packets; 0.5 mL/kg buccal; stock sufficient for 2 doses per infant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Ampicillin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Empiric sepsis treatment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Pharmacy (reconstituted STAT)</w:t>
            </w:r>
          </w:p>
        </w:tc>
        <w:tc>
          <w:tcPr>
            <w:tcW w:type="dxa" w:w="5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50 to 100 mg/kg/dose IV; multiple vial sizes for weight-based dosing</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Gentamicin</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Empiric sepsis treatment</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Pharmacy</w:t>
            </w:r>
          </w:p>
        </w:tc>
        <w:tc>
          <w:tcPr>
            <w:tcW w:type="dxa" w:w="5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5 mg/kg/dose IV; require dose calculation and preparation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Vitamin K (phytonadione)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Routine prophylaxis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Nursery</w:t>
            </w:r>
          </w:p>
        </w:tc>
        <w:tc>
          <w:tcPr>
            <w:tcW w:type="dxa" w:w="5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 mg IM (0.5 mg if less than 1500g)</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Erythromycin ophthalmic 0.5%</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Eye prophylaxis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Nursery</w:t>
            </w:r>
          </w:p>
        </w:tc>
        <w:tc>
          <w:tcPr>
            <w:tcW w:type="dxa" w:w="5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Single-use tubes preferred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Hepatitis B vaccine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Routine immunization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Nursery or pharmacy</w:t>
            </w:r>
          </w:p>
        </w:tc>
        <w:tc>
          <w:tcPr>
            <w:tcW w:type="dxa" w:w="5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Maintain cold chain; 0.5 mL IM</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Caffeine citrate</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Apnea of prematurity</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Pharmacy</w:t>
            </w:r>
          </w:p>
        </w:tc>
        <w:tc>
          <w:tcPr>
            <w:tcW w:type="dxa" w:w="5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Loading dose 20 mg/kg PO/IV; maintenance 5 to 10 mg/kg/day; may need to order from supplier (not always stocked)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Surfactant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 distress syndrome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Pharmacy refrigerator</w:t>
            </w:r>
          </w:p>
        </w:tc>
        <w:tc>
          <w:tcPr>
            <w:tcW w:type="dxa" w:w="5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Poractant alfa (Curosurf) or beractant (Survanta); check expiration; warm to room temperature before use; ONLY stock if facility intubates</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Prostaglandin E1 (alprostadil)</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Ductal-dependent CHD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Pharmacy</w:t>
            </w:r>
          </w:p>
        </w:tc>
        <w:tc>
          <w:tcPr>
            <w:tcW w:type="dxa" w:w="5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0.05 mcg/kg/min IV infusion; causes apnea — have intubation equipment ready; may not be stocked at Level I; discuss with transport team</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Phenobarbital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Neonatal seizures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Pharmacy</w:t>
            </w:r>
          </w:p>
        </w:tc>
        <w:tc>
          <w:tcPr>
            <w:tcW w:type="dxa" w:w="5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Loading dose 20 mg/kg IV over 10 to 15 minutes; may give additional 5 to 10 mg/kg boluses; total max 40 mg/kg</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Naloxone</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NOT recommended for neonatal resuscitation per NRP</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Do not stock on NRP cart</w:t>
            </w:r>
          </w:p>
        </w:tc>
        <w:tc>
          <w:tcPr>
            <w:tcW w:type="dxa" w:w="5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NRP no longer recommends naloxone during neonatal resuscitation; ventilatory support is the intervention for respiratory depression</w:t>
            </w:r>
          </w:p>
        </w:tc>
      </w:tr>
    </w:tbl>
    <w:p>
      <w:r>
        <w:br w:type="page"/>
      </w:r>
    </w:p>
    <w:p>
      <w:pPr>
        <w:pStyle w:val="Heading1"/>
      </w:pPr>
      <w:r>
        <w:t xml:space="preserve">Chapter 6: Quality Improvement in Rural Nurseries</w:t>
      </w:r>
    </w:p>
    <w:p>
      <w:pPr>
        <w:pStyle w:val="Heading2"/>
      </w:pPr>
      <w:r>
        <w:t xml:space="preserve">6.1 Rural-Specific Quality Metrics</w:t>
      </w:r>
    </w:p>
    <w:p>
      <w:pPr>
        <w:spacing w:after="120" w:line="276"/>
      </w:pPr>
      <w:r>
        <w:t xml:space="preserve">In addition to the standard quality metrics tracked by all nurseries (see Level I/II Care Pathway, Section 11), rural nurseries should track the following metrics specific to their unique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Definition</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w:t>
            </w:r>
          </w:p>
        </w:tc>
        <w:tc>
          <w:tcPr>
            <w:tcW w:type="dxa" w:w="4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Why It Matters in Rural Settings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Time from delivery to transport team activation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Minutes from birth of infant requiring transfer to phone call activating transport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30 minutes</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Delay in recognizing need for transfer extends stabilization time and time to definitive care</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Transport team arrival time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Minutes from activation call to team arrival at bedside</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Track; target depends on distance</w:t>
            </w:r>
          </w:p>
        </w:tc>
        <w:tc>
          <w:tcPr>
            <w:tcW w:type="dxa" w:w="4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Understanding actual transport times enables realistic planning and family communication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Admission hypothermia rate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Percentage with temp less than 36.5 at initial Level II assessment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5%</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Rural settings may have longer distances from DR to nursery; less controlled environments; higher risk</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Competency maintenance compliance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Percentage of nursery nurses current on NRP, S.T.A.B.L.E., and annual skills assessment</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w:t>
            </w:r>
          </w:p>
        </w:tc>
        <w:tc>
          <w:tcPr>
            <w:tcW w:type="dxa" w:w="4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 volume makes competency maintenance more challenging but more critical</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Telemedicine activation for neonatal consults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Number of telemedicine consults per quarter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Track trend; should increase initially as culture changes</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Underuse of telemedicine suggests either insufficient technology access or cultural barriers to seeking consultation</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Telemedicine technology success rate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Percentage of activated consults with successful connection (no technical failure)</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95%</w:t>
            </w:r>
          </w:p>
        </w:tc>
        <w:tc>
          <w:tcPr>
            <w:tcW w:type="dxa" w:w="4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Technology failure during emergency is catastrophic; requires regular testing and redundancy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Appropriate transfer rate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Percentage of transfers meeting documented transfer criteria versus transfers that could have been managed locally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Track; target is informational</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Both over-transfer (unnecessary separation, cost) and under-transfer (delayed definitive care) should be monitored</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Breastfeeding initiation rate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Percentage of newborns with breastfeeding initiated within 2 hours of birth</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75%</w:t>
            </w:r>
          </w:p>
        </w:tc>
        <w:tc>
          <w:tcPr>
            <w:tcW w:type="dxa" w:w="4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Rural areas may have lower breastfeeding rates; limited lactation consultant access</w:t>
            </w:r>
          </w:p>
        </w:tc>
      </w:tr>
    </w:tbl>
    <w:p>
      <w:pPr>
        <w:spacing w:after="120"/>
      </w:pPr>
    </w:p>
    <w:p>
      <w:pPr>
        <w:pStyle w:val="Heading2"/>
      </w:pPr>
      <w:r>
        <w:t xml:space="preserve">6.2 Participating in Quality Collaboratives</w:t>
      </w:r>
    </w:p>
    <w:p>
      <w:pPr>
        <w:spacing w:after="120" w:line="276"/>
      </w:pPr>
      <w:r>
        <w:t xml:space="preserve">Rural nurseries benefit significantly from participation in state perinatal quality collaboratives and national networks. These collaboratives provide benchmarking data, evidence-based bundles, implementation support, and peer learning opportunities that would be difficult to develop independently. Key collaboratives include:</w:t>
      </w:r>
    </w:p>
    <w:p>
      <w:pPr>
        <w:pStyle w:val="ListParagraph"/>
        <w:numPr>
          <w:ilvl w:val="0"/>
          <w:numId w:val="2"/>
        </w:numPr>
        <w:spacing w:after="60" w:line="260"/>
      </w:pPr>
      <w:r>
        <w:t xml:space="preserve">Vermont Oxford Network (VON): While primarily focused on VLBW infants, VON membership provides access to quality improvement methodology, data reporting tools, and the iNICQ collaborative. Some rural Level II nurseries participate through their regional NICU partnerships.</w:t>
      </w:r>
    </w:p>
    <w:p>
      <w:pPr>
        <w:pStyle w:val="ListParagraph"/>
        <w:numPr>
          <w:ilvl w:val="0"/>
          <w:numId w:val="2"/>
        </w:numPr>
        <w:spacing w:after="60" w:line="260"/>
      </w:pPr>
      <w:r>
        <w:t xml:space="preserve">State Perinatal Quality Collaboratives (PQCs): Most states have PQCs (e.g., CPQCC in California, FPQC in Florida, ILPQC in Illinois, TIPQC in Tennessee) that include community hospitals and provide state-specific benchmarking and improvement resources. Rural hospitals should actively participate in their state PQC.</w:t>
      </w:r>
    </w:p>
    <w:p>
      <w:pPr>
        <w:pStyle w:val="ListParagraph"/>
        <w:numPr>
          <w:ilvl w:val="0"/>
          <w:numId w:val="2"/>
        </w:numPr>
        <w:spacing w:after="60" w:line="260"/>
      </w:pPr>
      <w:r>
        <w:t xml:space="preserve">AIM (Alliance for Innovation on Maternal Health): Although primarily focused on maternal safety, AIM bundles include neonatal components (e.g., neonatal abstinence syndrome bundle, severe hypertension bundle with neonatal implications) that are relevant to rural settings.</w:t>
      </w:r>
    </w:p>
    <w:p>
      <w:pPr>
        <w:pStyle w:val="ListParagraph"/>
        <w:numPr>
          <w:ilvl w:val="0"/>
          <w:numId w:val="2"/>
        </w:numPr>
        <w:spacing w:after="60" w:line="260"/>
      </w:pPr>
      <w:r>
        <w:t xml:space="preserve">HRSA Maternal and Child Health Bureau: Provides rural-specific technical assistance, grant funding for perinatal regionalization, and resources for maternity care desert mitigation.</w:t>
      </w:r>
    </w:p>
    <w:p>
      <w:pPr>
        <w:pStyle w:val="Heading2"/>
      </w:pPr>
      <w:r>
        <w:t xml:space="preserve">6.3 Rural-Specific PDSA Examples</w:t>
      </w:r>
    </w:p>
    <w:p>
      <w:pPr>
        <w:spacing w:after="120" w:line="276"/>
      </w:pPr>
      <w:r>
        <w:t xml:space="preserve">Practical examples of Plan-Do-Study-Act (PDSA) cycles appropriate for rural nurseries: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800"/>
        <w:gridCol w:w="23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QI Topic</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Plan</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Study</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 admission hypothermia</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Implement polyethylene wrap for all infants less than 37 weeks; increase DR temp to 25 degrees C; add chemical warming mattress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Trial for 3 months; track admission temperature for every birth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Compare admission hypothermia rate before vs. after implementation using run chart</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If improved, standardize. If not improved, analyze barriers (equipment availability, staff compliance, workflow) and modify</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Improve time to antibiotic for suspected sepsis</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Create pre-mixed antibiotic kits in nursery; standing order set for sepsis evaluation; 60-minute target</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Implement kits and order sets; track time from decision-to-treat to antibiotic administration</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Plot times on SPC chart; identify cases exceeding 60 minutes and root cause</w:t>
            </w:r>
          </w:p>
        </w:tc>
        <w:tc>
          <w:tcPr>
            <w:tcW w:type="dxa" w:w="2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Address barriers (pharmacy turnaround, IV access difficulty, order entry delays)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 breastfeeding initiation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Implement immediate skin-to-skin for all vaginal deliveries; staff education on first-feed support; lactation telehealth consult for all breastfeeding mothers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Trial for 6 months; track SSC rate and breastfeeding initiation rate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Compare pre and post rates; survey maternal satisfaction</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Adjust protocol based on barriers identified; expand to cesarean deliveries if successful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Rural Level II Nursery Care Pathways Volume II: Extended Clinical Domains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2026-03-16T22:11:48.902Z</dcterms:created>
  <dcterms:modified xsi:type="dcterms:W3CDTF">2026-03-16T22:11:48.904Z</dcterms:modified>
</cp:coreProperties>
</file>

<file path=docProps/custom.xml><?xml version="1.0" encoding="utf-8"?>
<Properties xmlns="http://schemas.openxmlformats.org/officeDocument/2006/custom-properties" xmlns:vt="http://schemas.openxmlformats.org/officeDocument/2006/docPropsVTypes"/>
</file>