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Rural Neonatal Stabilization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1A7A6D"/>
          <w:sz w:val="26"/>
          <w:szCs w:val="26"/>
        </w:rPr>
        <w:t xml:space="preserve">A Comprehensive Flowsheet Synthesis for Level I Nurseries and Critical Access Hospitals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Gap Analysis: Why This Flowsheet Exists</w:t>
      </w:r>
    </w:p>
    <w:p>
      <w:pPr>
        <w:spacing w:after="120" w:line="276"/>
      </w:pPr>
      <w:r>
        <w:t xml:space="preserve">No single, freely available document exists that combines real-time clinical documentation with embedded clinical decision support for all neonatal emergencies in rural and Level I nursery settings. This synthesis integrates the strongest elements from the S.T.A.B.L.E. Program, NRP documentation standards, the Children's Minnesota Neonatal Stabilization Guide, and the CPQCC transport form into a unified seven-section instrument designed for bedside printing and lamination.</w:t>
      </w:r>
    </w:p>
    <w:p>
      <w:pPr>
        <w:spacing w:after="120" w:line="276"/>
      </w:pPr>
      <w:r>
        <w:t xml:space="preserve">Seven categories of published resources were identified (all USA-based): the S.T.A.B.L.E. Program (7th edition, 910,000+ providers trained), the NRP Algorithm (9th edition, 2025), the Children's Minnesota Neonatal Stabilization Guide (36-page pocket booklet), state perinatal quality collaborative tools (CPQCC/CPeTS transport form with TRIPS score, FPQC Golden Hour Guidelines, ILPQC), the NALS program (2025, American Red Cross/AWHONN), and published academic literature (including CMAT analysis finding only 53 percent adherence to cognitive aid design principles).</w:t>
      </w:r>
    </w:p>
    <w:p>
      <w:pPr>
        <w:pStyle w:val="Heading1"/>
      </w:pPr>
      <w:r>
        <w:t xml:space="preserve">Section 1: NRP Resuscitation Record</w:t>
      </w:r>
    </w:p>
    <w:p>
      <w:pPr>
        <w:spacing w:after="120" w:line="276"/>
      </w:pPr>
      <w:r>
        <w:t xml:space="preserve">This section provides time-stamped documentation of delivery room resuscitation aligned with the NRP algorithm. Each step includes embedded decision prompts: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Assessment/Action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Embedded Decision Support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0:00 Birth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Term? Breathing/crying? Good tone?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YES to all three -&gt; routine care. If NO to any -&gt; initial steps (warm, dry, stimulate, position, clear airway if needed)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0:30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Breathing? HR? (auscultation + pulse ox on right hand)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gasping/apneic or HR less than 100 -&gt; PPV at 40 to 60 breaths/min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1:00 (Golden Minute)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PPV effective? HR?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HR less than 60 -&gt; check ventilation technique (MR SOPA), consider intubation, begin compressions if HR remains less than 60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2:00+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response?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HR less than 60 despite effective PPV + compressions -&gt; Epinephrine (see Section 5 for weight-based dosing)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SpO2 targets by minute of life (pre-ductal, right hand): 1 min 60 to 65 percent; 2 min 65 to 70; 3 min 70 to 75; 4 min 75 to 80; 5 min 80 to 85; 10 min 85 to 95 percent.</w:t>
      </w:r>
    </w:p>
    <w:p>
      <w:pPr>
        <w:pStyle w:val="Heading1"/>
      </w:pPr>
      <w:r>
        <w:t xml:space="preserve">Section 2: Post-Resuscitation Assessment</w:t>
      </w:r>
    </w:p>
    <w:p>
      <w:pPr>
        <w:spacing w:after="120" w:line="276"/>
      </w:pPr>
      <w:r>
        <w:t xml:space="preserve">Immediately following resuscitation, document: Apgar scores (1, 5, and 10 minutes if needed); cord gas results (arterial pH, base excess; venous pH, base excess); initial vital signs (HR, RR, SpO2 pre-ductal, temperature, blood pressure if indicated); initial examination findings; resuscitation interventions provided; and disposition (well-baby nursery, Level II, or stabilize for transport).</w:t>
      </w:r>
    </w:p>
    <w:p>
      <w:pPr>
        <w:pStyle w:val="Heading1"/>
      </w:pPr>
      <w:r>
        <w:t xml:space="preserve">Section 3: S.T.A.B.L.E. Stabilization Grid</w:t>
      </w:r>
    </w:p>
    <w:p>
      <w:pPr>
        <w:spacing w:after="120" w:line="276"/>
      </w:pPr>
      <w:r>
        <w:t xml:space="preserve">This longitudinal documentation grid has four time-point columns: Column A (Baseline after resuscitation), Column B (30-minute reassessment), Column C (60-minute/transport called), Column D (Transport team arrival). Each row is organized by the S.T.A.B.L.E. mnemonic with embedded alert values and formulas printed directly on the form.</w:t>
      </w:r>
    </w:p>
    <w:p>
      <w:pPr>
        <w:pStyle w:val="Heading2"/>
      </w:pPr>
      <w:r>
        <w:t xml:space="preserve">S: Sugar</w:t>
      </w:r>
    </w:p>
    <w:p>
      <w:pPr>
        <w:spacing w:after="120" w:line="276"/>
      </w:pPr>
      <w:r>
        <w:t xml:space="preserve">Document: Blood glucose (mg/dL) with time; IV access type and site; IV fluid type and rate; GIR calculation; dextrose gel given (yes/no with dose); feeding status (NPO, breast, formula).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3030" w:sz="3"/>
              <w:left w:val="single" w:color="C53030" w:sz="3"/>
              <w:bottom w:val="single" w:color="C53030" w:sz="1"/>
              <w:right w:val="single" w:color="C53030" w:sz="1"/>
            </w:tcBorders>
            <w:shd w:fill="FD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53030"/>
                <w:sz w:val="22"/>
                <w:szCs w:val="22"/>
              </w:rPr>
              <w:t xml:space="preserve">WARNING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ALERT VALUES: Glucose less than 25 mg/dL (0 to 4 hours) or less than 35 mg/dL (4 to 24 hours) -&gt; D10W 2 mL/kg IV bolus STAT, start D10W infusion at 80 mL/kg/day (GIR approximately 5.5 mg/kg/min). GIR FORMULA: GIR = [Rate (mL/hr) x Dextrose %] / [Weight (kg) x 6]</w:t>
            </w:r>
          </w:p>
        </w:tc>
      </w:tr>
    </w:tbl>
    <w:p>
      <w:pPr>
        <w:pStyle w:val="Heading2"/>
      </w:pPr>
      <w:r>
        <w:t xml:space="preserve">T: Temperature</w:t>
      </w:r>
    </w:p>
    <w:p>
      <w:pPr>
        <w:spacing w:after="120" w:line="276"/>
      </w:pPr>
      <w:r>
        <w:t xml:space="preserve">Document: Axillary temperature; warming method (radiant warmer servo, incubator, skin-to-skin, plastic wrap, exothermic mattress, warm blankets); room temperature.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3"/>
              <w:left w:val="single" w:color="856404" w:sz="3"/>
              <w:bottom w:val="single" w:color="856404" w:sz="1"/>
              <w:right w:val="single" w:color="856404" w:sz="1"/>
            </w:tcBorders>
            <w:shd w:fill="FE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TEMPERATURE TARGETS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Target: 36.5 to 37.5 degrees C. Mild hypothermia 36.0 to 36.4; Moderate 32.0 to 35.9; Severe less than 32.0. EXCEPTION: If HIE suspected and 36+ weeks GA, initiate PASSIVE COOLING (turn off warmer, target 33 to 34 degrees C rectal, monitor q15 min).</w:t>
            </w:r>
          </w:p>
        </w:tc>
      </w:tr>
    </w:tbl>
    <w:p>
      <w:pPr>
        <w:pStyle w:val="Heading2"/>
      </w:pPr>
      <w:r>
        <w:t xml:space="preserve">A: Airway</w:t>
      </w:r>
    </w:p>
    <w:p>
      <w:pPr>
        <w:spacing w:after="120" w:line="276"/>
      </w:pPr>
      <w:r>
        <w:t xml:space="preserve">Document: Respiratory rate; work of breathing; SpO2 and FiO2; respiratory support type and settings; breath sounds; CXR obtained (time, results); ETT details if intubated (size, depth, CO2 detector result).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ETT Size (mm ID)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at Lip (cm)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Laryngoscope Blade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Less than 1 kg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Less than 28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5.5 to 6.5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Miller 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to 2 kg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to 34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7.0 to 7.5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Miller 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to 3 kg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 to 38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8.0 to 8.5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Miller 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Greater than 3 kg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Greater than 38 weeks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3.5 to 4.0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Miller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724" w:sz="3"/>
              <w:left w:val="single" w:color="155724" w:sz="3"/>
              <w:bottom w:val="single" w:color="155724" w:sz="1"/>
              <w:right w:val="single" w:color="155724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55724"/>
                <w:sz w:val="22"/>
                <w:szCs w:val="22"/>
              </w:rPr>
              <w:t xml:space="preserve">CLINICAL PEARL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Quick ETT depth rule: Weight (kg) + 6 = depth at lip (cm). Confirm with CO2 detector (positive = yellow color change) and chest X-ray (tip at T1 to T2).</w:t>
            </w:r>
          </w:p>
        </w:tc>
      </w:tr>
    </w:tbl>
    <w:p>
      <w:pPr>
        <w:pStyle w:val="Heading2"/>
      </w:pPr>
      <w:r>
        <w:t xml:space="preserve">B: Blood Pressure</w:t>
      </w:r>
    </w:p>
    <w:p>
      <w:pPr>
        <w:spacing w:after="120" w:line="276"/>
      </w:pPr>
      <w:r>
        <w:t xml:space="preserve">Document: Heart rate; blood pressure with method; capillary refill; pulse quality and equality; color/perfusion; pre-ductal SpO2 (right hand) and post-ductal SpO2 (either foot); differential if present; volume bolus given; vasopressor if initiated.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3030" w:sz="3"/>
              <w:left w:val="single" w:color="C53030" w:sz="3"/>
              <w:bottom w:val="single" w:color="C53030" w:sz="1"/>
              <w:right w:val="single" w:color="C53030" w:sz="1"/>
            </w:tcBorders>
            <w:shd w:fill="FD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C53030"/>
                <w:sz w:val="22"/>
                <w:szCs w:val="22"/>
              </w:rPr>
              <w:t xml:space="preserve">WARNING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MAP target approximately equals GA in weeks (first 72 hours). Cap refill 3+ seconds or MAP below GA -&gt; NS 10 mL/kg over 10 to 15 minutes, reassess, consider vasopressors. Pre-post ductal SpO2 differential greater than 3% -&gt; suspect PDA, PPHN, or ductal-dependent cardiac lesion -&gt; consider PGE1.</w:t>
            </w:r>
          </w:p>
        </w:tc>
      </w:tr>
    </w:tbl>
    <w:p>
      <w:pPr>
        <w:pStyle w:val="Heading2"/>
      </w:pPr>
      <w:r>
        <w:t xml:space="preserve">L: Lab Work</w:t>
      </w:r>
    </w:p>
    <w:p>
      <w:pPr>
        <w:spacing w:after="120" w:line="276"/>
      </w:pPr>
      <w:r>
        <w:t xml:space="preserve">Document: Glucose; CBC with differential (WBC, bands, segs, platelets, Hgb, Hct); ANC calculation; I:T ratio (bands / [bands + segs], greater than 0.2 concerning for infection); blood culture with time drawn; blood gas (pH, pCO2, pO2, HCO3, BE with method); CRP; bilirubin (total/direct); blood type and Coombs; metabolic panel if obtained.</w:t>
      </w:r>
    </w:p>
    <w:p>
      <w:pPr>
        <w:spacing w:after="120" w:line="276"/>
      </w:pPr>
      <w:r>
        <w:t xml:space="preserve">Empiric antibiotics: Ampicillin 100 mg/kg/dose IV plus Gentamicin 4 to 5 mg/kg/dose IV. Give antibiotics within 1 hour of decision to treat. Order blood culture BEFORE antibiotics.</w:t>
      </w:r>
    </w:p>
    <w:p>
      <w:pPr>
        <w:pStyle w:val="Heading2"/>
      </w:pPr>
      <w:r>
        <w:t xml:space="preserve">E: Emotional Support</w:t>
      </w:r>
    </w:p>
    <w:p>
      <w:pPr>
        <w:spacing w:after="120" w:line="276"/>
      </w:pPr>
      <w:r>
        <w:t xml:space="preserve">Document: Parents informed of condition (time); parents saw/held baby; receiving NICU name and contact given; pastoral/social work offered; breast pump/lactation discussed; photos taken for parents.</w:t>
      </w:r>
    </w:p>
    <w:p>
      <w:r>
        <w:br w:type="page"/>
      </w:r>
    </w:p>
    <w:p>
      <w:pPr>
        <w:pStyle w:val="Heading1"/>
      </w:pPr>
      <w:r>
        <w:t xml:space="preserve">Section 4: Condition-Specific Checklists</w:t>
      </w:r>
    </w:p>
    <w:p>
      <w:pPr>
        <w:spacing w:after="120" w:line="276"/>
      </w:pPr>
      <w:r>
        <w:t xml:space="preserve">Eleven condition-specific checklists designed as flip cards (one per card on a ring binder at the resuscitation station):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4A: Prematurity stabilization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4B: Respiratory distress (RDS, TTN, MAS, pneumothorax)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4C: Sepsis evaluation and treatment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4D: HIE / Birth asphyxia (including passive cooling protocol)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4E: Congenital heart disease (including PGE1 initiation)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4F: Surgical emergencies (gastroschisis, omphalocele, CDH, TEF)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4G: Seizures (including phenobarbital dosing)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4H: Severe hyperbilirubinemia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4I: Hydrops fetalis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4J: NAS / NOWS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4K: Pneumothorax (needle decompression protocol)</w:t>
      </w:r>
    </w:p>
    <w:p>
      <w:pPr>
        <w:pStyle w:val="Heading1"/>
      </w:pPr>
      <w:r>
        <w:t xml:space="preserve">Section 5: Weight-Based Emergency Dosing Table</w:t>
      </w:r>
    </w:p>
    <w:p>
      <w:pPr>
        <w:spacing w:after="120" w:line="276"/>
      </w:pPr>
      <w:r>
        <w:t xml:space="preserve">Pre-calculated for 9 weight categories (0.5 to 4.0 kg):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0.5 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1.0 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1.5 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2.0 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2.5 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3.0 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3.5 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4.0 kg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Epinephrine IV (1:10,000)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0.01-0.03 mg/kg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0.05-0.15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0.1-0.3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0.15-0.45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0.2-0.6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0.25-0.75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0.3-0.9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0.35-1.05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0.4-1.2 mL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NS Bolus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mL/kg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 mL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D10W Bolus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mL/kg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mL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mL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Ampicillin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mg/kg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mg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Gentamicin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mg/kg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 mg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mg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6: Ongoing Monitoring Grid</w:t>
      </w:r>
    </w:p>
    <w:p>
      <w:pPr>
        <w:spacing w:after="120" w:line="276"/>
      </w:pPr>
      <w:r>
        <w:t xml:space="preserve">15-minute interval documentation grid with columns: Time, HR, RR, SpO2, FiO2, BP (S/D/M), Temp (C), Glucose, Respiratory support, Interventions/Notes, Initials. Alarm values printed as footer on the monitoring grid page.</w:t>
      </w:r>
    </w:p>
    <w:p>
      <w:pPr>
        <w:pStyle w:val="Heading1"/>
      </w:pPr>
      <w:r>
        <w:t xml:space="preserve">Section 7: SBAR Transport Handoff</w:t>
      </w:r>
    </w:p>
    <w:p>
      <w:pPr>
        <w:spacing w:after="120" w:line="276"/>
      </w:pPr>
      <w:r>
        <w:t xml:space="preserve">Structured handoff form completed by the referring team and given to the transport team:</w:t>
      </w:r>
    </w:p>
    <w:p>
      <w:pPr>
        <w:pStyle w:val="Heading2"/>
      </w:pPr>
      <w:r>
        <w:t xml:space="preserve">S: Situation</w:t>
      </w:r>
    </w:p>
    <w:p>
      <w:pPr>
        <w:spacing w:after="120" w:line="276"/>
      </w:pPr>
      <w:r>
        <w:t xml:space="preserve">Baby's name / Mother's name; Date/time of birth; Current age (hours); Weight (grams) / Gestational age (weeks); Reason for transport; Current clinical status in one sentence; Transport called at / team arrived at; Receiving facility and accepting physician.</w:t>
      </w:r>
    </w:p>
    <w:p>
      <w:pPr>
        <w:pStyle w:val="Heading2"/>
      </w:pPr>
      <w:r>
        <w:t xml:space="preserve">B: Background</w:t>
      </w:r>
    </w:p>
    <w:p>
      <w:pPr>
        <w:spacing w:after="120" w:line="276"/>
      </w:pPr>
      <w:r>
        <w:t xml:space="preserve">Maternal history: G/P, age, blood type; prenatal care; complications (GDM, HTN/preeclampsia, chorioamnionitis, substance use, GBS+); ROM duration and fluid character; antenatal steroids and MgSO4 status; delivery type and indication; resuscitation required; Apgar scores; cord gases.</w:t>
      </w:r>
    </w:p>
    <w:p>
      <w:pPr>
        <w:pStyle w:val="Heading2"/>
      </w:pPr>
      <w:r>
        <w:t xml:space="preserve">A: Assessment</w:t>
      </w:r>
    </w:p>
    <w:p>
      <w:pPr>
        <w:spacing w:after="120" w:line="276"/>
      </w:pPr>
      <w:r>
        <w:t xml:space="preserve">Current vital signs; respiratory status and support; cardiovascular status (perfusion, pulses, cap refill); neurologic status (activity, tone, seizures); glucose and IV access; labs obtained and pending.</w:t>
      </w:r>
    </w:p>
    <w:p>
      <w:pPr>
        <w:pStyle w:val="Heading2"/>
      </w:pPr>
      <w:r>
        <w:t xml:space="preserve">R: Recommendation/Report</w:t>
      </w:r>
    </w:p>
    <w:p>
      <w:pPr>
        <w:spacing w:after="120" w:line="276"/>
      </w:pPr>
      <w:r>
        <w:t xml:space="preserve">Medications given with times and doses; procedures performed; X-ray results; blood products given; current concerns and trends; parent names and contact; consent obtained for transport, treatment, blood products, cooling; items sent with baby (chart copies, lab results, X-rays, cord blood, placenta, breast milk, ID bands verified).</w:t>
      </w:r>
    </w:p>
    <w:p>
      <w:pPr>
        <w:pStyle w:val="Heading1"/>
      </w:pPr>
      <w:r>
        <w:t xml:space="preserve">Physical Format Recommendations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Sections 1 to 3: Laminated card stock, write-on/wipe-off with dry erase markers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Section 4: Laminated flip cards on ring binder attached to resuscitation station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Section 5: Single laminated landscape page mounted at warmer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Section 6: Consumable paper grid (one sheet per stabilization event)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Section 7: Two-sided consumable paper form, one copy retained by referring facility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4"/>
      </w:pBdr>
      <w:spacing w:after="0"/>
      <w:jc w:val="center"/>
    </w:pPr>
    <w:r>
      <w:rPr>
        <w:rFonts w:ascii="Arial" w:cs="Arial" w:eastAsia="Arial" w:hAnsi="Arial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  <w:spacing w:after="0"/>
    </w:pPr>
    <w:r>
      <w:rPr>
        <w:rFonts w:ascii="Arial" w:cs="Arial" w:eastAsia="Arial" w:hAnsi="Arial"/>
        <w:i/>
        <w:iCs/>
        <w:color w:val="1B3A5C"/>
        <w:sz w:val="18"/>
        <w:szCs w:val="18"/>
      </w:rPr>
      <w:t xml:space="preserve">Rural Neonatal Stabilization: Comprehensive Flowsheet Synthesis</w:t>
    </w:r>
    <w: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A6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2026-03-15T07:12:13.305Z</dcterms:created>
  <dcterms:modified xsi:type="dcterms:W3CDTF">2026-03-15T07:12:13.305Z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