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48"/>
          <w:szCs w:val="48"/>
        </w:rPr>
        <w:t xml:space="preserve">NICU Non-Invasive Ventilation Guide</w:t>
      </w:r>
    </w:p>
    <w:p>
      <w:pPr>
        <w:spacing w:after="200"/>
        <w:jc w:val="center"/>
      </w:pPr>
      <w:r>
        <w:rPr>
          <w:rFonts w:ascii="Arial" w:cs="Arial" w:eastAsia="Arial" w:hAnsi="Arial"/>
          <w:color w:val="1A7A6D"/>
          <w:sz w:val="28"/>
          <w:szCs w:val="28"/>
        </w:rPr>
        <w:t xml:space="preserve">Comprehensive Educational Reference for Neonatal Respiratory Support</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Foundations of Non-Invasive Ventilation</w:t>
      </w:r>
    </w:p>
    <w:p>
      <w:pPr>
        <w:pStyle w:val="Heading2"/>
      </w:pPr>
      <w:r>
        <w:t xml:space="preserve">1.1 Historical Context</w:t>
      </w:r>
    </w:p>
    <w:p>
      <w:pPr>
        <w:spacing w:after="120" w:line="276"/>
      </w:pPr>
      <w:r>
        <w:t xml:space="preserve">The concept of continuous positive airway pressure for neonates was first described by Dr. George Gregory and colleagues at UCSF in 1971. Their landmark publication demonstrated that applying continuous distending pressure to the airways of premature infants with RDS markedly improved oxygenation and survival. The original system involved placing the infant's head in a pressurized chamber.</w:t>
      </w:r>
    </w:p>
    <w:p>
      <w:pPr>
        <w:spacing w:after="120" w:line="276"/>
      </w:pPr>
      <w:r>
        <w:t xml:space="preserve">Subsequent milestones include: development of bubble CPAP systems; introduction of nasal prongs and masks; creation of bilevel pressure devices; refinement of heated humidified high-flow nasal cannula therapy; the Scandinavian experience (1980s to 1990s) demonstrating early CPAP with selective surfactant; the COIN trial (2008), SUPPORT trial (2010), and subsequent RCTs confirming early CPAP as a safe alternative to routine intubation and surfactant.</w:t>
      </w:r>
    </w:p>
    <w:p>
      <w:pPr>
        <w:pStyle w:val="Heading2"/>
      </w:pPr>
      <w:r>
        <w:t xml:space="preserve">1.2 Physiological Rationale</w:t>
      </w:r>
    </w:p>
    <w:p>
      <w:pPr>
        <w:spacing w:after="120" w:line="276"/>
      </w:pPr>
      <w:r>
        <w:t xml:space="preserve">The fundamental principle underlying all forms of NIV is maintenance of functional residual capacity (FRC). The preterm lung is prone to atelectasis due to surfactant deficiency, high chest wall compliance, and weak respiratory musculature. Positive distending pressure counteracts these forces by recruiting collapsed alveoli, maintaining alveolar stability, improving ventilation-perfusion matching, reducing work of breathing, and splinting the upper airway (preventing obstructive apnea).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3"/>
              <w:left w:val="single" w:color="856404" w:sz="3"/>
              <w:bottom w:val="single" w:color="856404" w:sz="1"/>
              <w:right w:val="single" w:color="856404" w:sz="1"/>
            </w:tcBorders>
            <w:shd w:fill="FEF3CD" w:val="clear"/>
            <w:tcMar>
              <w:top w:type="dxa" w:w="100"/>
              <w:left w:type="dxa" w:w="150"/>
              <w:bottom w:type="dxa" w:w="100"/>
              <w:right w:type="dxa" w:w="150"/>
            </w:tcMar>
          </w:tcPr>
          <w:p>
            <w:pPr>
              <w:spacing w:after="60"/>
            </w:pPr>
            <w:r>
              <w:rPr>
                <w:b/>
                <w:bCs/>
                <w:color w:val="856404"/>
                <w:sz w:val="22"/>
                <w:szCs w:val="22"/>
              </w:rPr>
              <w:t xml:space="preserve">CLINICAL PRINCIPLE</w:t>
            </w:r>
          </w:p>
          <w:p>
            <w:pPr>
              <w:spacing w:after="0"/>
            </w:pPr>
            <w:r>
              <w:rPr>
                <w:sz w:val="20"/>
                <w:szCs w:val="20"/>
              </w:rPr>
              <w:t xml:space="preserve">The goal of NIV is to provide the minimum distending pressure necessary to maintain FRC, optimize oxygenation, and reduce work of breathing without over-distending the lungs. Excessive CPAP impairs venous return, increases dead space, and may cause air leak syndromes.</w:t>
            </w:r>
          </w:p>
        </w:tc>
      </w:tr>
    </w:tbl>
    <w:p>
      <w:pPr>
        <w:pStyle w:val="Heading2"/>
      </w:pPr>
      <w:r>
        <w:t xml:space="preserve">1.3 Indications for NIV</w:t>
      </w:r>
    </w:p>
    <w:p>
      <w:pPr>
        <w:spacing w:after="120" w:line="276"/>
      </w:pPr>
      <w:r>
        <w:t xml:space="preserve">Primary respiratory support at birth for infants less than 30 weeks with spontaneous effort; delivery room stabilization as alternative to intubation; transitional respiratory distress in late preterm and term; TTN requiring supplemental oxygen; post-extubation support; apnea of prematurity (unresponsive to methylxanthines alone); surfactant administration strategies (INSURE, LISA, MIST); tracheomalacia and bronchomalacia; laryngomalacia; Pierre Robin sequence; post-operative respiratory support; and BPD requiring ongoing positive pressure.</w:t>
      </w:r>
    </w:p>
    <w:p>
      <w:r>
        <w:br w:type="page"/>
      </w:r>
    </w:p>
    <w:p>
      <w:pPr>
        <w:pStyle w:val="Heading1"/>
      </w:pPr>
      <w:r>
        <w:t xml:space="preserve">Chapter 2: CPAP</w:t>
      </w:r>
    </w:p>
    <w:p>
      <w:pPr>
        <w:pStyle w:val="Heading2"/>
      </w:pPr>
      <w:r>
        <w:t xml:space="preserve">2.1 Delivery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700"/>
        <w:gridCol w:w="2560"/>
      </w:tblGrid>
      <w:tr>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System</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Mechanism</w:t>
            </w:r>
          </w:p>
        </w:tc>
        <w:tc>
          <w:tcPr>
            <w:tcW w:type="dxa" w:w="27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Advantages</w:t>
            </w:r>
          </w:p>
        </w:tc>
        <w:tc>
          <w:tcPr>
            <w:tcW w:type="dxa" w:w="2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Disadvantages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Bubble CPAP</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Continuous flow through water-sealed circuit; pressure = depth of tubing submersion</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Simple, inexpensive, reliable; oscillatory pressure component may enhance gas exchange; audible and visual pressure verification</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Requires continuous gas flow; water condensation management; less precise pressure control</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Ventilator CPAP</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Ventilator expiratory valve maintains set pressure; flow triggered; leak compensation algorithms</w:t>
            </w:r>
          </w:p>
        </w:tc>
        <w:tc>
          <w:tcPr>
            <w:tcW w:type="dxa" w:w="2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Precise pressure delivery; integrated monitoring (waveforms, alarms); leak compensation (e.g., Leak Sync on PB980); backup ventilation for apnea</w:t>
            </w:r>
          </w:p>
        </w:tc>
        <w:tc>
          <w:tcPr>
            <w:tcW w:type="dxa" w:w="2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More expensive; more complex setup; training required</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Flow-driver CPAP</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Variable flow at nasal interface generates CPAP via Bernoulli effect</w:t>
            </w:r>
          </w:p>
        </w:tc>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Reduced work of breathing at interface; fluidic flip mechanism</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Proprietary interfaces; limited evidence of superiority; less flexible monitoring</w:t>
            </w:r>
          </w:p>
        </w:tc>
      </w:tr>
    </w:tbl>
    <w:p>
      <w:pPr>
        <w:spacing w:after="120"/>
      </w:pPr>
    </w:p>
    <w:p>
      <w:pPr>
        <w:pStyle w:val="Heading2"/>
      </w:pPr>
      <w:r>
        <w:t xml:space="preserve">2.2 Initial Settings by Gestational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Population</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Starting CPAP (cmH2O)</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Maximum Before Escalation</w:t>
            </w:r>
          </w:p>
        </w:tc>
        <w:tc>
          <w:tcPr>
            <w:tcW w:type="dxa" w:w="2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Escalation Trigger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23 to 28 weeks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 to 7</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 to 9 (up to 11 post-extubation ELBW)</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FiO2 greater than 0.30 on CPAP 6+ -&gt; surfactant</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29 to 32 weeks</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to 6</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w:t>
            </w:r>
          </w:p>
        </w:tc>
        <w:tc>
          <w:tcPr>
            <w:tcW w:type="dxa" w:w="2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FiO2 greater than 0.40 on CPAP 6+ -&gt; surfactant or escalate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33 to 36 weeks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 to 6</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FiO2 greater than 0.40 -&gt; evaluate for surfactant or intubation</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Term</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 to 5</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w:t>
            </w:r>
          </w:p>
        </w:tc>
        <w:tc>
          <w:tcPr>
            <w:tcW w:type="dxa" w:w="2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FiO2 greater than 0.40 or worsening distress despite CPAP</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Post-extubation ELBW</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7 to 9 (up to 11)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11</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Reintubation criteria met</w:t>
            </w:r>
          </w:p>
        </w:tc>
      </w:tr>
    </w:tbl>
    <w:p>
      <w:pPr>
        <w:spacing w:after="120"/>
      </w:pPr>
    </w:p>
    <w:p>
      <w:pPr>
        <w:pStyle w:val="Heading2"/>
      </w:pPr>
      <w:r>
        <w:t xml:space="preserve">2.3 CPAP Failure Criteria</w:t>
      </w:r>
    </w:p>
    <w:p>
      <w:pPr>
        <w:spacing w:after="120" w:line="276"/>
      </w:pPr>
      <w:r>
        <w:t xml:space="preserve">CPAP failure, requiring escalation to NIPPV or intubation: FiO2 greater than 0.40 on CPAP 6 to 8 cmH2O (consider surfactant first); worsening respiratory distress (Silverman-Anderson score greater than 6); recurrent apnea requiring intervention (greater than 6 events per 6 hours or any event requiring PPV); inability to maintain SpO2 in target range; pH less than 7.20 or PCO2 greater than 65 mmHg; hemodynamic instability.</w:t>
      </w:r>
    </w:p>
    <w:p>
      <w:pPr>
        <w:pStyle w:val="Heading2"/>
      </w:pPr>
      <w:r>
        <w:t xml:space="preserve">2.4 Interface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Interface</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Sizing</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Nasal Injury Rate</w:t>
            </w:r>
          </w:p>
        </w:tc>
        <w:tc>
          <w:tcPr>
            <w:tcW w:type="dxa" w:w="3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Considerations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Short binasal prongs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Fill 60 to 80 percent of nares without blanching</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Higher (26.4 percent in one RCT)</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Most established evidence base; Hudson RCI, Fisher and Paykel FlexiTrunk</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Nasal mask</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Cover nose without contacting eyes; snug fit without excessive pressure</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Lowest per Cochrane review</w:t>
            </w:r>
          </w:p>
        </w:tc>
        <w:tc>
          <w:tcPr>
            <w:tcW w:type="dxa" w:w="3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Good alternative when prong-related nasal injury develops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RAM Cannula</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Micro-preemie (less than 700g) through infant (greater than 3500g); fill 60 to 80 percent of nares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5.4 percent</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FDA-cleared for oxygen delivery only (off-label for CPAP); transmits approximately 60 to 70 percent of set pressure when properly sized; with greater than 50 percent leak, pressure negligible</w:t>
            </w:r>
          </w:p>
        </w:tc>
      </w:tr>
    </w:tbl>
    <w:p>
      <w:r>
        <w:br w:type="page"/>
      </w:r>
    </w:p>
    <w:p>
      <w:pPr>
        <w:pStyle w:val="Heading1"/>
      </w:pPr>
      <w:r>
        <w:t xml:space="preserve">Chapter 3: NIPPV</w:t>
      </w:r>
    </w:p>
    <w:p>
      <w:pPr>
        <w:spacing w:after="120" w:line="276"/>
      </w:pPr>
      <w:r>
        <w:t xml:space="preserve">Nasal intermittent positive pressure ventilation delivers cyclical positive pressure breaths through a nasal interface, superimposed on a baseline CPAP level. It can be synchronized (triggered by patient effort) or non-synchronized. Cochrane meta-analysis demonstrates synchronized NIPPV is superior to CPAP for preventing extubation failure (RR 0.21, 95 percent CI 0.10 to 0.45, NNT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Typical Setting</w:t>
            </w:r>
          </w:p>
        </w:tc>
        <w:tc>
          <w:tcPr>
            <w:tcW w:type="dxa" w:w="50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Adjustment Guidelines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PIP</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14 to 25 cmH2O</w:t>
            </w:r>
          </w:p>
        </w:tc>
        <w:tc>
          <w:tcPr>
            <w:tcW w:type="dxa" w:w="5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Start at 14 to 16 for mild disease; increase for adequate chest rise</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PEEP</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to 6 cmH2O</w:t>
            </w:r>
          </w:p>
        </w:tc>
        <w:tc>
          <w:tcPr>
            <w:tcW w:type="dxa" w:w="5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Same as CPAP levels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Rate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20 to 40 bpm</w:t>
            </w:r>
          </w:p>
        </w:tc>
        <w:tc>
          <w:tcPr>
            <w:tcW w:type="dxa" w:w="5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Higher rates for active disease; wean by 2 to 4 bpm q6h</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Inspiratory time</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0.3 to 0.5 seconds</w:t>
            </w:r>
          </w:p>
        </w:tc>
        <w:tc>
          <w:tcPr>
            <w:tcW w:type="dxa" w:w="5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Shorter Ti for higher rates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FiO2</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Titrate to SpO2 target</w:t>
            </w:r>
          </w:p>
        </w:tc>
        <w:tc>
          <w:tcPr>
            <w:tcW w:type="dxa" w:w="5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Wean FiO2 before weaning pressures</w:t>
            </w:r>
          </w:p>
        </w:tc>
      </w:tr>
    </w:tbl>
    <w:p>
      <w:pPr>
        <w:spacing w:after="120"/>
      </w:pPr>
    </w:p>
    <w:p>
      <w:pPr>
        <w:pStyle w:val="Heading1"/>
      </w:pPr>
      <w:r>
        <w:t xml:space="preserve">Chapter 4: BiLevel/BiPAP</w:t>
      </w:r>
    </w:p>
    <w:p>
      <w:pPr>
        <w:spacing w:after="120" w:line="276"/>
      </w:pPr>
      <w:r>
        <w:t xml:space="preserve">BiLevel ventilation alternates between two pressure levels: high pressure (8 to 12 cmH2O) and low pressure (4 to 6 cmH2O) at a cycling rate of 10 to 30 cycles per minute. Spontaneous breathing is permitted at both pressure levels. Evidence is insufficient to determine advantage over standard CPAP. Network meta-analysis shows both synchronized and non-synchronized NIPPV are superior to BiPAP for reducing reintubation risk. BiLevel may have a niche role in TTN (one trial showed 7.9 percent vs 20 percent treatment failure compared to CPAP in infants 34+ weeks).</w:t>
      </w:r>
    </w:p>
    <w:p>
      <w:pPr>
        <w:pStyle w:val="Heading1"/>
      </w:pPr>
      <w:r>
        <w:t xml:space="preserve">Chapter 5: HFNC</w:t>
      </w:r>
    </w:p>
    <w:p>
      <w:pPr>
        <w:spacing w:after="120" w:line="276"/>
      </w:pPr>
      <w:r>
        <w:t xml:space="preserve">HFNC delivers heated humidified blended gas at 2 to 8 LPM through nasal cannula prongs sized to avoid occluding more than 50 percent of the nares. Mechanisms include nasopharyngeal dead space washout, variable positive pressure generation, humidification of airways, and reduction of inspiratory resistance. CPAP is superior to HFNC for preventing treatment failure (RR 1.83 favoring CPAP), so HFNC should be used as a step-down from CPAP rather than as a primary replacement.</w:t>
      </w:r>
    </w:p>
    <w:p>
      <w:pPr>
        <w:spacing w:after="120" w:line="276"/>
      </w:pPr>
      <w:r>
        <w:t xml:space="preserve">HFNC is appropriate for: mild respiratory distress; step-down from CPAP; post-extubation support (after successful CPAP trial); and apnea of prematurity as adjunct to caffeine. It should not be used as rescue therapy for CPAP failure.</w:t>
      </w:r>
    </w:p>
    <w:p>
      <w:r>
        <w:br w:type="page"/>
      </w:r>
    </w:p>
    <w:p>
      <w:pPr>
        <w:pStyle w:val="Heading1"/>
      </w:pPr>
      <w:r>
        <w:t xml:space="preserve">Chapter 6: Weaning Protocol</w:t>
      </w:r>
    </w:p>
    <w:p>
      <w:pPr>
        <w:spacing w:after="120" w:line="276"/>
      </w:pPr>
      <w:r>
        <w:t xml:space="preserve">The stepwise weaning sequence: Invasive ventilation -&gt; NIPPV -&gt; NCPAP -&gt; HFNC -&gt; Low-flow NC -&gt; Room 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Transition</w:t>
            </w:r>
          </w:p>
        </w:tc>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Criteria</w:t>
            </w:r>
          </w:p>
        </w:tc>
        <w:tc>
          <w:tcPr>
            <w:tcW w:type="dxa" w:w="3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Weaning Steps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Ventilation to NIPPV</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 ventilator settings (PIP less than 16, PEEP 5, Rate less than 20, FiO2 less than 0.30); adequate spontaneous effort; caffeine on board if less than 34 weeks</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Extubate to NIPPV at previous CPAP level +2 for PIP; match PEEP, rate 20 to 30</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NIPPV to CPAP</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PIP weaned to 12 to 15; Rate weaned to 15 to 20; FiO2 less than 0.30</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Wean rate by 2 to 4 bpm q6h; transition to CPAP when rate less than 15 to 20 and PIP less than 14</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CPAP to HFNC</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Stable on CPAP 4 to 5 cmH2O for 12 to 24 hours; FiO2 less than 0.25</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Trial on HFNC 4 to 6 LPM; monitor for 24 to 48 hours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HFNC to low-flow</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Stable on 2 to 3 LPM; FiO2 0.21 to 0.25</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Wean flow to 2 LPM then transition to low-flow NC at 0.5 to 1 LPM</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Low-flow to room air</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Stable on 0.25 LPM or less; SpO2 95+ on room air</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Trial off; monitor for 24 hours; may need longer trial in BPD</w:t>
            </w:r>
          </w:p>
        </w:tc>
      </w:tr>
    </w:tbl>
    <w:p>
      <w:pPr>
        <w:spacing w:after="120"/>
      </w:pPr>
    </w:p>
    <w:p>
      <w:pPr>
        <w:spacing w:after="120" w:line="276"/>
      </w:pPr>
      <w:r>
        <w:t xml:space="preserve">Extubation failure rates by population: 40 to 50 percent for ELBW infants; 25 to 35 percent for 27 to 28 weekers; less than 15 percent for late preterm infants.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NICU Non-Invasive Ventilation Guide</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 w:type="paragraph" w:styleId="Heading4">
    <w:name w:val="Heading 4"/>
    <w:basedOn w:val="Normal"/>
    <w:next w:val="Normal"/>
    <w:qFormat/>
    <w:pPr>
      <w:spacing w:after="100" w:before="160"/>
      <w:outlineLvl w:val="3"/>
    </w:pPr>
    <w:rPr>
      <w:rFonts w:ascii="Arial" w:cs="Arial" w:eastAsia="Arial" w:hAnsi="Arial"/>
      <w:b/>
      <w:bCs/>
      <w:i/>
      <w:i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2026-03-15T07:12:13.469Z</dcterms:created>
  <dcterms:modified xsi:type="dcterms:W3CDTF">2026-03-15T07:12:13.469Z</dcterms:modified>
</cp:coreProperties>
</file>

<file path=docProps/custom.xml><?xml version="1.0" encoding="utf-8"?>
<Properties xmlns="http://schemas.openxmlformats.org/officeDocument/2006/custom-properties" xmlns:vt="http://schemas.openxmlformats.org/officeDocument/2006/docPropsVTypes"/>
</file>