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Feeding, Growth, and Nutrition</w:t>
      </w:r>
    </w:p>
    <w:p>
      <w:pPr>
        <w:spacing w:after="100"/>
        <w:jc w:val="center"/>
      </w:pPr>
      <w:r>
        <w:rPr>
          <w:rFonts w:ascii="Arial" w:cs="Arial" w:eastAsia="Arial" w:hAnsi="Arial"/>
          <w:color w:val="1A7A6D"/>
          <w:sz w:val="36"/>
          <w:szCs w:val="36"/>
        </w:rPr>
        <w:t xml:space="preserve">In the 30 to 35 Week Gestation Infant</w:t>
      </w:r>
    </w:p>
    <w:p>
      <w:pPr>
        <w:spacing w:after="200"/>
        <w:jc w:val="center"/>
      </w:pPr>
      <w:r>
        <w:rPr>
          <w:rFonts w:ascii="Arial" w:cs="Arial" w:eastAsia="Arial" w:hAnsi="Arial"/>
          <w:i/>
          <w:iCs/>
          <w:sz w:val="24"/>
          <w:szCs w:val="24"/>
        </w:rPr>
        <w:t xml:space="preserve">A Comprehensive Clinical Textbook for Special Care and NICU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Developmental Physiology of the GI Tract</w:t>
      </w:r>
    </w:p>
    <w:p>
      <w:pPr>
        <w:spacing w:after="120" w:line="276"/>
      </w:pPr>
      <w:r>
        <w:t xml:space="preserve">The gastrointestinal tract undergoes remarkable maturation during the third trimester, with significant changes in motility, enzymatic activity, absorptive capacity, and barrier function occurring week by week. Suck-swallow-breathe coordination does not reliably mature until approximately 34 weeks of gestation, meaning infants born before this threshold require gavage feeding for a variable period. Even infants born at 34 or 35 weeks often demonstrate immature feeding behaviors that prolong the transition to full oral feeds.</w:t>
      </w:r>
    </w:p>
    <w:p>
      <w:pPr>
        <w:spacing w:after="120" w:line="276"/>
      </w:pPr>
      <w:r>
        <w:t xml:space="preserve">The metabolic demands of the moderately preterm infant differ substantially from the term newborn. These infants have limited glycogen and fat stores, reduced capacity for gluconeogenesis, and higher basal metabolic rates per kilogram relative to energy reserves. They are prone to hypoglycemia and require prompt nutritional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The 30 to 35 week infant loses approximately 5 to 15 percent of birth weight in the first week. Weight nadir typically occurs by postnatal day 4 to 7. Birth weight should be regained by day 10 to 14. Failure to regain birth weight by two weeks warrants evaluation of caloric intake and feeding adequacy.</w:t>
            </w:r>
          </w:p>
        </w:tc>
      </w:tr>
    </w:tbl>
    <w:p>
      <w:pPr>
        <w:pStyle w:val="Heading2"/>
      </w:pPr>
      <w:r>
        <w:t xml:space="preserve">1.1 GI Maturation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Gestational Week</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Developmental Milestone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weeks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villi differentiated; swallowing of amniotic fluid (400 to 500 mL/day by term)</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weeks</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Sucking movements present but uncoordinated; gastric acid secretion begins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26 to 28 weeks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Lactase activity 30 percent of term levels; intestinal motility disorganized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32 weeks</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Coordinated intestinal peristalsis; gastric emptying improving; lipase activity increasing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32 to 34 weeks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Non-nutritive sucking matures; early suck-swallow coordination emerging</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34 to 36 weeks</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Suck-swallow-breathe coordination maturing; lactase activity 70 percent of term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37 to 40 weeks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enzymatic maturity; coordinated oral feeding; effective gastric motility</w:t>
            </w:r>
          </w:p>
        </w:tc>
      </w:tr>
    </w:tbl>
    <w:p>
      <w:r>
        <w:br w:type="page"/>
      </w:r>
    </w:p>
    <w:p>
      <w:pPr>
        <w:pStyle w:val="Heading1"/>
      </w:pPr>
      <w:r>
        <w:t xml:space="preserve">Chapter 2: Nutritional Requirements</w:t>
      </w:r>
    </w:p>
    <w:p>
      <w:pPr>
        <w:spacing w:after="120" w:line="276"/>
      </w:pPr>
      <w:r>
        <w:t xml:space="preserve">The overarching goal is to approximate the rate of growth that would have occurred in utero. For infants between 30 and 35 weeks, this corresponds to weight gain of 15 to 20 grams per kilogram per day once full enteral feeds are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Nutrient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Daily Target per kg</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Notes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Energy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110 to 130 kcal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 80 to 100 kcal/kg/day. BPD may need 120 to 150 kcal/kg/day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Protein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4.5 g</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Whey-predominant preferred. Critical for brain growth</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Fat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4.8 to 6.6 g</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Provides 40 to 55 percent of energy. DHA and ARA important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Carbohydrate</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11.6 to 13.2 g</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Primarily lactose; galactose enhances calcium absorption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Calcium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to 200 mg</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Critical for bone mineralization; higher needs than term</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Phosphorus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140 mg</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Ca:P ratio approximately 1.7 to 2.0:1</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Iron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mg (start at 2 to 4 weeks)</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Earlier in transfusion-free infants; later if transfused</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Vitamin 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400 IU</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Begin at full enteral feeds; AAP recommendation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Sodium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 mEq</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losses in preterm; monitor serum levels</w:t>
            </w:r>
          </w:p>
        </w:tc>
      </w:tr>
    </w:tbl>
    <w:p>
      <w:r>
        <w:br w:type="page"/>
      </w:r>
    </w:p>
    <w:p>
      <w:pPr>
        <w:pStyle w:val="Heading1"/>
      </w:pPr>
      <w:r>
        <w:t xml:space="preserve">Chapter 3: Enteral Feeding Strategies</w:t>
      </w:r>
    </w:p>
    <w:p>
      <w:pPr>
        <w:pStyle w:val="Heading2"/>
      </w:pPr>
      <w:r>
        <w:t xml:space="preserve">3.1 Feeding Advancement Protocol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120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Gestational Age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Trophic Phase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Advancement Rate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Full Feeds</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Days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31 weeks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x 1 to 2 days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30 mL/kg/day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180 mL/kg/day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 to 10</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32 to 33 weeks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x 1 day</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35 mL/kg/day</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180 mL/kg/day</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34 to 35 weeks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skip; start 30 to 40 mL/kg/day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40 mL/kg/day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to 180 mL/kg/day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w:t>
            </w:r>
          </w:p>
        </w:tc>
      </w:tr>
    </w:tbl>
    <w:p>
      <w:pPr>
        <w:spacing w:after="120"/>
      </w:pPr>
    </w:p>
    <w:p>
      <w:pPr>
        <w:spacing w:after="120" w:line="276"/>
      </w:pPr>
      <w:r>
        <w:t xml:space="preserve">The SIFT trial (Speed of Increasing Milk Feeds Trial) demonstrated that rapid advancement (30 mL/kg/day) was not associated with increased NEC or late-onset sepsis risk compared to slow advancement (18 mL/kg/day), providing reassurance for more aggressive protocols.</w:t>
      </w:r>
    </w:p>
    <w:p>
      <w:pPr>
        <w:pStyle w:val="Heading2"/>
      </w:pPr>
      <w:r>
        <w:t xml:space="preserve">3.2 Feeding Routes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Use</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Considerations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OG gavage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Default for less than 34 weeks or on respiratory support</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nasal obstruction; replace per protocol; verify pH less than 5.5</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NG gavage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infants; longer indwelling</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increase work of breathing; leave 3 to 7 days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Bolus gravity (q2 to 3h)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Default once tolerating advances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Over 15 to 30 minutes; mimics physiologic hormone cycling</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infusion</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Severe intolerance, GER, respiratory distress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Limits hormone cycling; reserve for refractory cases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Oral (nipple or breast)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Cue-based readiness 32 to 34 weeks PMA or above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readiness before each attempt; do not force</w:t>
            </w:r>
          </w:p>
        </w:tc>
      </w:tr>
    </w:tbl>
    <w:p>
      <w:pPr>
        <w:spacing w:after="120"/>
      </w:pPr>
    </w:p>
    <w:p>
      <w:pPr>
        <w:pStyle w:val="Heading2"/>
      </w:pPr>
      <w:r>
        <w:t xml:space="preserve">3.3 Cue-Based Feeding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Ready to Feed (Offer Oral)</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 Ready (Gavage This Feed)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Quiet alert or drowsy-alert state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Deep sleep or active crying</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Rooting, hand-to-mouth, sucking on fingers or pacifier</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 oral-seeking behaviors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HR, RR, SpO2 at baseline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Tachypnea, desaturations, or increased O2 need</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Good tone; flexed posture</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Limp, hypotonic, or excessively irritable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Tolerating handling without physiologic instability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Significant apnea or bradycardia episodes</w:t>
            </w:r>
          </w:p>
        </w:tc>
      </w:tr>
    </w:tbl>
    <w:p>
      <w:r>
        <w:br w:type="page"/>
      </w:r>
    </w:p>
    <w:p>
      <w:pPr>
        <w:pStyle w:val="Heading1"/>
      </w:pPr>
      <w:r>
        <w:t xml:space="preserve">Chapter 4: Parenteral Nutrition</w:t>
      </w:r>
    </w:p>
    <w:p>
      <w:pPr>
        <w:spacing w:after="120" w:line="276"/>
      </w:pPr>
      <w:r>
        <w:t xml:space="preserve">PN should be initiated within 24 hours of birth for infants unlikely to achieve full enteral feeds within 3 to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Advance</w:t>
            </w:r>
          </w:p>
        </w:tc>
        <w:tc>
          <w:tcPr>
            <w:tcW w:type="dxa" w:w="2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Target/Limit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Amino acids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g/kg/day (day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to 1 g/kg/day</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4.5 g/kg/day</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Lipids (SMOFlipid preferred)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to 2 g/kg/day</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to 1 g/kg/day</w:t>
            </w:r>
          </w:p>
        </w:tc>
        <w:tc>
          <w:tcPr>
            <w:tcW w:type="dxa" w:w="2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3.5 g/kg/day</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 (GIR)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6 mg/kg/min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 to 2 mg/kg/min per day</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12 mg/kg/min maximum</w:t>
            </w:r>
          </w:p>
        </w:tc>
      </w:tr>
    </w:tbl>
    <w:p>
      <w:pPr>
        <w:spacing w:after="120"/>
      </w:pPr>
    </w:p>
    <w:p>
      <w:pPr>
        <w:spacing w:after="120" w:line="276"/>
      </w:pPr>
      <w:r>
        <w:t xml:space="preserve">PN weaning: Begin when enteral feeds reach greater than 50 mL/kg/day. Discontinue PN when enteral feeds reach 100 to 120 mL/kg/day. Monitor triglycerides weekly during lipid infusion (hold if greater than 200 mg/dL). Monitor liver function (direct bilirubin, GGT) weekly; cholestasis risk increases with PN duration greater than 14 days.</w:t>
      </w:r>
    </w:p>
    <w:p>
      <w:pPr>
        <w:pStyle w:val="Heading1"/>
      </w:pPr>
      <w:r>
        <w:t xml:space="preserve">Chapter 5: Human Milk and Fortification</w:t>
      </w:r>
    </w:p>
    <w:p>
      <w:pPr>
        <w:spacing w:after="120" w:line="276"/>
      </w:pPr>
      <w:r>
        <w:t xml:space="preserve">Human milk is the gold standard for preterm infant nutrition. The hierarchy of preference is: fresh mother's own milk (MOM) -&gt; frozen MOM -&gt; pasteurized donor human milk (DHM) -&gt; preterm formula. Fortification is essential because unfortified human milk does not meet the elevated protein and mineral needs of the preterm infant.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Fortification Strategy</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Add HMF (human milk fortifier) at 60 mL/kg/day enteral volume</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 gain, labs every 1 to 2 weeks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Targeted (individualized)</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Analyze milk composition with milk analyzer; adjust fortification to meet targets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milk analyzer; most precise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Adjustable (BUN-guided)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protein supplementation if BUN less than 10 mg/dL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BUN weekly; simple and practical</w:t>
            </w:r>
          </w:p>
        </w:tc>
      </w:tr>
    </w:tbl>
    <w:p>
      <w:r>
        <w:br w:type="page"/>
      </w:r>
    </w:p>
    <w:p>
      <w:pPr>
        <w:pStyle w:val="Heading1"/>
      </w:pPr>
      <w:r>
        <w:t xml:space="preserve">Chapter 6: Growth Monitoring</w:t>
      </w:r>
    </w:p>
    <w:p>
      <w:pPr>
        <w:spacing w:after="120" w:line="276"/>
      </w:pPr>
      <w:r>
        <w:t xml:space="preserve">Growth monitoring is essential for assessing nutritional adequacy. Growth charts validated for preterm infants include Fenton 2013 (widely used in US NICUs) and INTERGROWTH-21st (international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Concern Level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 gain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20 g/kg/day once full feeds established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 g/kg/day for 7 days = growth faltering</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Length</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0.9 to 1.1 cm/week</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0.8 cm/week warrants evaluation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Head circumference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0.7 to 1.0 cm/week</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0.5 cm/week concerning (proxy for brain growth)</w:t>
            </w:r>
          </w:p>
        </w:tc>
      </w:tr>
    </w:tbl>
    <w:p>
      <w:pPr>
        <w:pStyle w:val="Heading1"/>
      </w:pPr>
      <w:r>
        <w:t xml:space="preserve">Chapter 7: NEC Prevention</w:t>
      </w:r>
    </w:p>
    <w:p>
      <w:pPr>
        <w:spacing w:after="120" w:line="276"/>
      </w:pPr>
      <w:r>
        <w:t xml:space="preserve">Six key interventions supported by evidence for NEC prevention:</w:t>
      </w:r>
    </w:p>
    <w:p>
      <w:pPr>
        <w:pStyle w:val="ListParagraph"/>
        <w:numPr>
          <w:ilvl w:val="0"/>
          <w:numId w:val="2"/>
        </w:numPr>
        <w:spacing w:after="60" w:line="260"/>
      </w:pPr>
      <w:r>
        <w:t xml:space="preserve">Human milk (preferably MOM; donor milk when unavailable) - strongest evidence</w:t>
      </w:r>
    </w:p>
    <w:p>
      <w:pPr>
        <w:pStyle w:val="ListParagraph"/>
        <w:numPr>
          <w:ilvl w:val="0"/>
          <w:numId w:val="2"/>
        </w:numPr>
        <w:spacing w:after="60" w:line="260"/>
      </w:pPr>
      <w:r>
        <w:t xml:space="preserve">Standardized feeding protocols (reduce practice variation, shorten time to full feeds)</w:t>
      </w:r>
    </w:p>
    <w:p>
      <w:pPr>
        <w:pStyle w:val="ListParagraph"/>
        <w:numPr>
          <w:ilvl w:val="0"/>
          <w:numId w:val="2"/>
        </w:numPr>
        <w:spacing w:after="60" w:line="260"/>
      </w:pPr>
      <w:r>
        <w:t xml:space="preserve">Probiotics (institutional decision; some meta-analyses show benefit; ELFIN trial negative for lactoferrin)</w:t>
      </w:r>
    </w:p>
    <w:p>
      <w:pPr>
        <w:pStyle w:val="ListParagraph"/>
        <w:numPr>
          <w:ilvl w:val="0"/>
          <w:numId w:val="2"/>
        </w:numPr>
        <w:spacing w:after="60" w:line="260"/>
      </w:pPr>
      <w:r>
        <w:t xml:space="preserve">Antenatal steroids (reduce overall prematurity complications including NEC)</w:t>
      </w:r>
    </w:p>
    <w:p>
      <w:pPr>
        <w:pStyle w:val="ListParagraph"/>
        <w:numPr>
          <w:ilvl w:val="0"/>
          <w:numId w:val="2"/>
        </w:numPr>
        <w:spacing w:after="60" w:line="260"/>
      </w:pPr>
      <w:r>
        <w:t xml:space="preserve">Cautious use of H2 blockers and PPIs (associated with increased NEC risk)</w:t>
      </w:r>
    </w:p>
    <w:p>
      <w:pPr>
        <w:pStyle w:val="ListParagraph"/>
        <w:numPr>
          <w:ilvl w:val="0"/>
          <w:numId w:val="2"/>
        </w:numPr>
        <w:spacing w:after="60" w:line="260"/>
      </w:pPr>
      <w:r>
        <w:t xml:space="preserve">Avoid unnecessary antibiotics (prolonged empiric antibiotics associated with increased NEC and death)</w:t>
      </w:r>
    </w:p>
    <w:p>
      <w:pPr>
        <w:pStyle w:val="Heading2"/>
      </w:pPr>
      <w:r>
        <w:t xml:space="preserve">Feeding Intolerance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Benign Findings (Continue Feeds)</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Concerning Signs (Hold Feeds and Evaluate)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Small gastric residuals (less than 50% of feed volume)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Bilious (green) emesis</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Occasional non-bilious emesis</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Abdominal wall erythema or tenderness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Soft, non-distended abdomen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Abdominal distension greater than 2 cm from baseline</w:t>
            </w:r>
          </w:p>
        </w:tc>
      </w:tr>
      <w:tr>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stool pattern</w:t>
            </w:r>
          </w:p>
        </w:tc>
        <w:tc>
          <w:tcPr>
            <w:tcW w:type="dxa" w:w="468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Bloody stools (gross or occult)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vital signs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Systemic instability (apnea, bradycardia, temperature instability)</w:t>
            </w:r>
          </w:p>
        </w:tc>
      </w:tr>
    </w:tbl>
    <w:p>
      <w:r>
        <w:br w:type="page"/>
      </w:r>
    </w:p>
    <w:p>
      <w:pPr>
        <w:pStyle w:val="Heading1"/>
      </w:pPr>
      <w:r>
        <w:t xml:space="preserve">Chapter 8: Special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Nutritional Considerations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SGA</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protein needs (4 to 4.5 g/kg/day); hypoglycemia risk; balance catch-up growth with metabolic syndrome risk; monitor growth velocity closely</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BPD</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Energy needs 120 to 150 kcal/kg/day; may need fluid restriction; caloric density 24 to 30 kcal/oz; adequate protein essential for lung repair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Congenital heart disease</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Energy needs 120 to 150 kcal/kg/day; may need continuous feeds; fluid restriction; concentrated formula; consider post-pyloric feeds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Infant of diabetic mother</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Hypoglycemia screening per AAP; macrosomia with paradoxically immature systems; early feeding essential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NAS/NOWS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Caloric needs 130 to 150 kcal/kg/day; excessive/disorganized sucking; frequent small feeds; breastfeeding encouraged if mother on MAT and not using illicit substances</w:t>
            </w:r>
          </w:p>
        </w:tc>
      </w:tr>
    </w:tbl>
    <w:p>
      <w:pPr>
        <w:pStyle w:val="Heading1"/>
      </w:pPr>
      <w:r>
        <w:t xml:space="preserve">Chapter 9: Discharge Nutritional Planning</w:t>
      </w:r>
    </w:p>
    <w:p>
      <w:pPr>
        <w:spacing w:after="120" w:line="276"/>
      </w:pPr>
      <w:r>
        <w:t xml:space="preserve">Every infant discharged from the NICU or special care nursery should have a documented post-discharge nutritional plan including: type and concentration of feeds (breast milk with or without continued fortification, post-discharge formula 22 kcal/oz, or term formula 20 kcal/oz); vitamin and mineral supplementation (vitamin D 400 IU/day, iron 2 to 3 mg/kg/day); growth monitoring schedule (weekly weight checks for first 2 to 4 weeks, then monthly); and criteria for nutritional intervention (weight gain less than 20 to 30 g/day, crossing percentile lines downward, head circumference deceleration).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Feeding Growth and Nutrition in the 30 to 35 Week Infant</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2026-03-15T07:15:30.280Z</dcterms:created>
  <dcterms:modified xsi:type="dcterms:W3CDTF">2026-03-15T07:15:30.280Z</dcterms:modified>
</cp:coreProperties>
</file>

<file path=docProps/custom.xml><?xml version="1.0" encoding="utf-8"?>
<Properties xmlns="http://schemas.openxmlformats.org/officeDocument/2006/custom-properties" xmlns:vt="http://schemas.openxmlformats.org/officeDocument/2006/docPropsVTypes"/>
</file>