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Quality Metrics in Newborn Nurseries</w:t>
      </w:r>
    </w:p>
    <w:p>
      <w:pPr>
        <w:spacing w:after="200"/>
        <w:jc w:val="center"/>
      </w:pPr>
      <w:r>
        <w:rPr>
          <w:rFonts w:ascii="Arial" w:cs="Arial" w:eastAsia="Arial" w:hAnsi="Arial"/>
          <w:color w:val="1A7A6D"/>
          <w:sz w:val="30"/>
          <w:szCs w:val="30"/>
        </w:rPr>
        <w:t xml:space="preserve">A Comprehensive 10-Year Literature Review</w:t>
      </w:r>
    </w:p>
    <w:p>
      <w:pPr>
        <w:spacing w:after="200"/>
        <w:jc w:val="center"/>
      </w:pPr>
      <w:r>
        <w:rPr>
          <w:rFonts w:ascii="Arial" w:cs="Arial" w:eastAsia="Arial" w:hAnsi="Arial"/>
          <w:i/>
          <w:iCs/>
          <w:sz w:val="22"/>
          <w:szCs w:val="22"/>
        </w:rPr>
        <w:t xml:space="preserve">Metrics and Methodologies for Measuring Quality in Normal Newborn and Critical Care Nurseries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Major Quality Frameworks</w:t>
      </w:r>
    </w:p>
    <w:p>
      <w:pPr>
        <w:pStyle w:val="Heading2"/>
      </w:pPr>
      <w:r>
        <w:t xml:space="preserve">1.1 Vermont Oxford Network (VON)</w:t>
      </w:r>
    </w:p>
    <w:p>
      <w:pPr>
        <w:spacing w:after="120" w:line="276"/>
      </w:pPr>
      <w:r>
        <w:t xml:space="preserve">The Vermont Oxford Network is the largest neonatal quality collaborative, with over 1,200 NICUs participating worldwide. VON provides standardized data definitions for very low birth weight (VLBW, less than 1500g) infant outcomes, enabling benchmarking against network-wide performance. The iNICQ (Internet-based Neonatal Improvement Collaborative for Quality) provides structured quality improvement methodology and collaborative learning. Key VON measures include mortality, BPD, NEC, severe IVH, late-onset sepsis, and ROP requiring treatment.</w:t>
      </w:r>
    </w:p>
    <w:p>
      <w:pPr>
        <w:pStyle w:val="Heading2"/>
      </w:pPr>
      <w:r>
        <w:t xml:space="preserve">1.2 California Perinatal Quality Care Collaborative (CPQCC)</w:t>
      </w:r>
    </w:p>
    <w:p>
      <w:pPr>
        <w:spacing w:after="120" w:line="276"/>
      </w:pPr>
      <w:r>
        <w:t xml:space="preserve">CPQCC is a state-level quality collaborative that has pioneered perinatal quality measurement and improvement in California. Its contributions include standardized transport quality indicators, the CPeTS transport form with TRIPS score, and equity-focused quality initiatives examining disparities in neonatal outcomes by race, ethnicity, and socioeconomic status.</w:t>
      </w:r>
    </w:p>
    <w:p>
      <w:pPr>
        <w:pStyle w:val="Heading2"/>
      </w:pPr>
      <w:r>
        <w:t xml:space="preserve">1.3 Joint Commission and CMS Perinatal Core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Measure</w:t>
            </w:r>
          </w:p>
        </w:tc>
        <w:tc>
          <w:tcPr>
            <w:tcW w:type="dxa" w:w="5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PC-01</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Elective delivery before 39 weeks (without medical indication)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 percent (near zero at most institutions)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PC-02</w:t>
            </w:r>
          </w:p>
        </w:tc>
        <w:tc>
          <w:tcPr>
            <w:tcW w:type="dxa" w:w="5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Cesarean section rate for nulliparous term singleton vertex (NTSV)</w:t>
            </w:r>
          </w:p>
        </w:tc>
        <w:tc>
          <w:tcPr>
            <w:tcW w:type="dxa" w:w="3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23.9 percent (Healthy People 2030 target)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PC-05</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Exclusive breast milk feeding during birth hospitalization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50 percent (varies by institution)</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PC-06</w:t>
            </w:r>
          </w:p>
        </w:tc>
        <w:tc>
          <w:tcPr>
            <w:tcW w:type="dxa" w:w="5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Unexpected complications in term newborns (composite)</w:t>
            </w:r>
          </w:p>
        </w:tc>
        <w:tc>
          <w:tcPr>
            <w:tcW w:type="dxa" w:w="3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Benchmark varies; tracks major morbidity in presumably low-risk infants</w:t>
            </w:r>
          </w:p>
        </w:tc>
      </w:tr>
    </w:tbl>
    <w:p>
      <w:r>
        <w:br w:type="page"/>
      </w:r>
    </w:p>
    <w:p>
      <w:pPr>
        <w:pStyle w:val="Heading1"/>
      </w:pPr>
      <w:r>
        <w:t xml:space="preserve">Chapter 2: Categories of Quality Metrics</w:t>
      </w:r>
    </w:p>
    <w:p>
      <w:pPr>
        <w:pStyle w:val="Heading2"/>
      </w:pPr>
      <w:r>
        <w:t xml:space="preserve">2.1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c>
          <w:tcPr>
            <w:tcW w:type="dxa" w:w="2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Source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Golden Hour compliance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Completion of all Golden Hour checklist items within 60 minutes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90 percent</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Chart review / electronic checklist</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Time to first antibiotic (suspected sepsis)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Minutes from decision to treat to antibiotic administration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60 minutes</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MAR / order timestamps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Exclusive human milk feeding at discharge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infants receiving only human milk at discharge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70 percent</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Discharge summary / feeding records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hypothermia rate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with temperature less than 36.5 C at NICU/SCN admission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 percent</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vital signs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CCHD screening completion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eligible newborns completing CCHD screen before discharge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percent</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Screening log / EMR</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Antenatal steroid completion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preterm deliveries with complete course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85 percent</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chart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Delayed cord clamping compliance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deliveries with DCC at least 30 to 60 seconds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80 percent</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Delivery record</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Skin-to-skin within first hour</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term vaginal deliveries with SSC within 60 minutes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80 percent</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Nursing documentation</w:t>
            </w:r>
          </w:p>
        </w:tc>
      </w:tr>
    </w:tbl>
    <w:p>
      <w:pPr>
        <w:spacing w:after="120"/>
      </w:pPr>
    </w:p>
    <w:p>
      <w:pPr>
        <w:pStyle w:val="Heading2"/>
      </w:pPr>
      <w:r>
        <w:t xml:space="preserve">2.2 Outcome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Benchmark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Mortality (overall and risk-adjusted)</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Deaths per total NICU admissions or per birth weight category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VON provides risk-adjusted comparisons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BPD rate</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 need at 36 weeks PMA (physiologic definition preferred)</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30 percent for VLBW (varies by GA distribution)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NEC rate (Bell Stage 2 or greater)</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Confirmed NEC per 1000 NICU patient-days or per admissions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 percent for VLBW</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Severe IVH (Grade III/IV)</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cranial ultrasound screening</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10 percent for VLBW</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ROP requiring treatment</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Laser or anti-VEGF for threshold disease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 percent for VLBW</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CLABSI rate</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line-associated bloodstream infections per 1000 line-days</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1.0 per 1000 line-days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Unplanned extubation rate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Unplanned ETT removals per 100 ventilator days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1.0 per 100 ventilator days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Growth velocity during NICU stay</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Weight gain velocity (g/kg/day) at discharge</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15 g/kg/day</w:t>
            </w:r>
          </w:p>
        </w:tc>
      </w:tr>
    </w:tbl>
    <w:p>
      <w:r>
        <w:br w:type="page"/>
      </w:r>
    </w:p>
    <w:p>
      <w:pPr>
        <w:pStyle w:val="Heading2"/>
      </w:pPr>
      <w:r>
        <w:t xml:space="preserve">2.3 Balancing Metrics</w:t>
      </w:r>
    </w:p>
    <w:p>
      <w:pPr>
        <w:spacing w:after="120" w:line="276"/>
      </w:pPr>
      <w:r>
        <w:t xml:space="preserve">Balancing metrics ensure that improvement in one area does not cause unintended harm in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Balances</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Concern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 utilization rate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prevention efforts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Over-treatment disrupts microbiome; promotes resistance; increases NEC risk</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culture utilization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evaluation protocols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Excessive testing without clinical indication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Mother-infant separation rate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NICU/SCN admission decisions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Unnecessary separation disrupts bonding and breastfeeding</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Readmission within 30 days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Early discharge practices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Premature discharge may increase readmission risk</w:t>
            </w:r>
          </w:p>
        </w:tc>
      </w:tr>
    </w:tbl>
    <w:p>
      <w:pPr>
        <w:spacing w:after="120"/>
      </w:pPr>
    </w:p>
    <w:p>
      <w:pPr>
        <w:pStyle w:val="Heading1"/>
      </w:pPr>
      <w:r>
        <w:t xml:space="preserve">Chapter 3: Statistical Methodologies</w:t>
      </w:r>
    </w:p>
    <w:p>
      <w:pPr>
        <w:pStyle w:val="Heading2"/>
      </w:pPr>
      <w:r>
        <w:t xml:space="preserve">3.1 Statistical Process Control (SPC)</w:t>
      </w:r>
    </w:p>
    <w:p>
      <w:pPr>
        <w:spacing w:after="120" w:line="276"/>
      </w:pPr>
      <w:r>
        <w:t xml:space="preserve">SPC is the primary analytical framework for quality improvement in neonatal care. Control charts (p-charts for proportions, u-charts for rates, X-bar charts for continuous variables) distinguish common cause variation (inherent to the process) from special cause variation (indicating a change in the process). Run charts provide a simpler alternative for rapid-cycle PDSA analysis.</w:t>
      </w:r>
    </w:p>
    <w:p>
      <w:pPr>
        <w:spacing w:after="120" w:line="276"/>
      </w:pPr>
      <w:r>
        <w:t xml:space="preserve">Rules for identifying special cause variation in control charts: one point beyond 3 sigma (upper or lower control limit); two out of three consecutive points beyond 2 sigma on the same side; four out of five consecutive points beyond 1 sigma on the same side; eight consecutive points on the same side of the center line; six consecutive points trending in the same direction.</w:t>
      </w:r>
    </w:p>
    <w:p>
      <w:pPr>
        <w:pStyle w:val="Heading2"/>
      </w:pPr>
      <w:r>
        <w:t xml:space="preserve">3.2 Risk Adjustment</w:t>
      </w:r>
    </w:p>
    <w:p>
      <w:pPr>
        <w:spacing w:after="120" w:line="276"/>
      </w:pPr>
      <w:r>
        <w:t xml:space="preserve">Meaningful comparison of neonatal outcomes between institutions requires risk adjustment for patient case mix. Common risk adjustment tools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Components</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Use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CRIB-II (Clinical Risk Index for Babies)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weight, gestational age, sex, base excess, temperature at admission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Predict mortality risk in VLBW infants at admission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SNAP-II (Score for Neonatal Acute Physiology)</w:t>
            </w:r>
          </w:p>
        </w:tc>
        <w:tc>
          <w:tcPr>
            <w:tcW w:type="dxa" w:w="3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Lowest BP, lowest temperature, PO2/FiO2 ratio, lowest pH, seizures, urine output</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Illness severity at admission; used for risk-adjusted outcome comparison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VON risk adjustment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GA, birth weight, sex, race/ethnicity, multiple birth, antenatal steroids, mode of delivery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Network-level benchmarking</w:t>
            </w:r>
          </w:p>
        </w:tc>
      </w:tr>
    </w:tbl>
    <w:p>
      <w:pPr>
        <w:spacing w:after="120"/>
      </w:pPr>
    </w:p>
    <w:p>
      <w:pPr>
        <w:pStyle w:val="Heading1"/>
      </w:pPr>
      <w:r>
        <w:t xml:space="preserve">Chapter 4: QI Methodologies in Neonatal Care</w:t>
      </w:r>
    </w:p>
    <w:p>
      <w:pPr>
        <w:spacing w:after="120" w:line="276"/>
      </w:pPr>
      <w:r>
        <w:t xml:space="preserve">The dominant QI frameworks in neonatal care include:</w:t>
      </w:r>
    </w:p>
    <w:p>
      <w:pPr>
        <w:pStyle w:val="ListParagraph"/>
        <w:numPr>
          <w:ilvl w:val="0"/>
          <w:numId w:val="2"/>
        </w:numPr>
        <w:spacing w:after="60" w:line="260"/>
      </w:pPr>
      <w:r>
        <w:t xml:space="preserve">Plan-Do-Study-Act (PDSA) cycles: Rapid iterative testing of change ideas; the backbone of most unit-level QI projects</w:t>
      </w:r>
    </w:p>
    <w:p>
      <w:pPr>
        <w:pStyle w:val="ListParagraph"/>
        <w:numPr>
          <w:ilvl w:val="0"/>
          <w:numId w:val="2"/>
        </w:numPr>
        <w:spacing w:after="60" w:line="260"/>
      </w:pPr>
      <w:r>
        <w:t xml:space="preserve">Model for Improvement (IHI): Three questions (What are we trying to accomplish? How will we know change is improvement? What changes can we make?) plus PDSA cycles</w:t>
      </w:r>
    </w:p>
    <w:p>
      <w:pPr>
        <w:pStyle w:val="ListParagraph"/>
        <w:numPr>
          <w:ilvl w:val="0"/>
          <w:numId w:val="2"/>
        </w:numPr>
        <w:spacing w:after="60" w:line="260"/>
      </w:pPr>
      <w:r>
        <w:t xml:space="preserve">Lean / Six Sigma: Process optimization and variation reduction; applied to medication safety, workflow efficiency, and supply chain management</w:t>
      </w:r>
    </w:p>
    <w:p>
      <w:pPr>
        <w:pStyle w:val="ListParagraph"/>
        <w:numPr>
          <w:ilvl w:val="0"/>
          <w:numId w:val="2"/>
        </w:numPr>
        <w:spacing w:after="60" w:line="260"/>
      </w:pPr>
      <w:r>
        <w:t xml:space="preserve">Potentially Better Practices (PBPs): VON model identifying practices associated with better outcomes and implementing through collaborative networks</w:t>
      </w:r>
    </w:p>
    <w:p>
      <w:pPr>
        <w:pStyle w:val="ListParagraph"/>
        <w:numPr>
          <w:ilvl w:val="0"/>
          <w:numId w:val="2"/>
        </w:numPr>
        <w:spacing w:after="60" w:line="260"/>
      </w:pPr>
      <w:r>
        <w:t xml:space="preserve">Collaborative improvement networks: Multi-site collaboratives (VON iNICQ, CPQCC, state perinatal collaboratives) pooling data and sharing improvement strategies</w:t>
      </w:r>
    </w:p>
    <w:p>
      <w:pPr>
        <w:spacing w:after="120" w:line="276"/>
      </w:pPr>
      <w:r>
        <w:t xml:space="preserve">Key principles for successful neonatal QI: multidisciplinary team engagement; data-driven decision making with real-time feedback; standardization where evidence supports it with flexibility for clinical judgment; bundle approaches (addressing multiple process steps simultaneously); sustainability planning from the outset; and equity lens ensuring improvements benefit all patient populations.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Quality Metrics in Newborn Nurseries: Comprehensive Review</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2026-03-15T07:15:30.388Z</dcterms:created>
  <dcterms:modified xsi:type="dcterms:W3CDTF">2026-03-15T07:15:30.388Z</dcterms:modified>
</cp:coreProperties>
</file>

<file path=docProps/custom.xml><?xml version="1.0" encoding="utf-8"?>
<Properties xmlns="http://schemas.openxmlformats.org/officeDocument/2006/custom-properties" xmlns:vt="http://schemas.openxmlformats.org/officeDocument/2006/docPropsVTypes"/>
</file>