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Necrotizing Enterocolitis</w:t>
      </w:r>
    </w:p>
    <w:p>
      <w:pPr>
        <w:spacing w:after="200"/>
        <w:jc w:val="center"/>
      </w:pPr>
      <w:r>
        <w:rPr>
          <w:rFonts w:ascii="Arial" w:cs="Arial" w:eastAsia="Arial" w:hAnsi="Arial"/>
          <w:color w:val="1A7A6D"/>
          <w:sz w:val="30"/>
          <w:szCs w:val="30"/>
        </w:rPr>
        <w:t xml:space="preserve">Prevention, Staging, and Management</w:t>
      </w:r>
    </w:p>
    <w:p>
      <w:pPr>
        <w:spacing w:after="200"/>
        <w:jc w:val="center"/>
      </w:pPr>
      <w:r>
        <w:rPr>
          <w:rFonts w:ascii="Arial" w:cs="Arial" w:eastAsia="Arial" w:hAnsi="Arial"/>
          <w:i/>
          <w:iCs/>
          <w:sz w:val="22"/>
          <w:szCs w:val="22"/>
        </w:rPr>
        <w:t xml:space="preserve">Comprehensive Clinical Education for Level II and NICU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Epidemiology and Pathophysiology</w:t>
      </w:r>
    </w:p>
    <w:p>
      <w:pPr>
        <w:spacing w:after="120" w:line="276"/>
      </w:pPr>
      <w:r>
        <w:t xml:space="preserve">Necrotizing enterocolitis (NEC) is the most common and most serious gastrointestinal emergency in neonates, affecting approximately 5 to 12 percent of very low birth weight (VLBW) infants. Mortality ranges from 20 to 30 percent for surgical NEC and 40 to 50 percent for NEC totalis. Survivors face significant long-term morbidity including short bowel syndrome, neurodevelopmental impairment, and growth failure. The estimated annual cost of NEC care in the United States exceeds 1 billion dollars.</w:t>
      </w:r>
    </w:p>
    <w:p>
      <w:pPr>
        <w:spacing w:after="120" w:line="276"/>
      </w:pPr>
      <w:r>
        <w:t xml:space="preserve">The pathophysiology of NEC involves a complex interplay of intestinal immaturity, microbial dysbiosis, formula feeding, and inflammatory cascade activation. The preterm intestine has immature mucosal barrier function with increased permeability, reduced mucus production, decreased secretory IgA, immature tight junctions between enterocytes, and a reduced capacity for epithelial repair. This vulnerable intestine is exposed to bacterial colonization patterns that differ markedly from those of term breastfed infants, with higher proportions of pathogenic organisms (Enterobacteriaceae, Clostridium) and lower proportions of protective organisms (Bifidobacterium, Lactobacillus).</w:t>
      </w:r>
    </w:p>
    <w:p>
      <w:pPr>
        <w:spacing w:after="120" w:line="276"/>
      </w:pPr>
      <w:r>
        <w:t xml:space="preserve">When pathogenic bacteria breach the immature mucosal barrier, they trigger an exaggerated inflammatory response mediated by toll-like receptor 4 (TLR4) signaling. TLR4 activation in the preterm intestine leads to nuclear factor kappa-B (NF-kB) activation, pro-inflammatory cytokine release (TNF-alpha, IL-1, IL-6, IL-8), neutrophil recruitment, and intestinal epithelial cell apoptosis. This inflammatory cascade produces intestinal ischemia, mucosal necrosis, and in severe cases, transmural necrosis with perforation. Pneumatosis intestinalis (intramural gas) results from bacterial gas production within the necrotic bowel wall.</w:t>
      </w:r>
    </w:p>
    <w:p>
      <w:pPr>
        <w:pStyle w:val="Heading2"/>
      </w:pPr>
      <w:r>
        <w:t xml:space="preserve">1.1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Factor</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Relative Risk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Prematurity (primary risk factor)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immaturity; immature immune response; abnormal colonization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Inversely proportional to GA; 90% of NEC occurs in preterm infants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Formula feeding</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Lacks immunoglobulins, lactoferrin, oligosaccharides, and growth factors present in human milk</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10x higher risk vs exclusive human milk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ischemia/hypoxia</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Perinatal asphyxia, CHD, PDA with diastolic steal, polycythemia, cocaine exposure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augments bacterial translocation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Abnormal bacterial colonization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NICU environment; prolonged antibiotics alter microbiome; H2 blockers increase pathogenic colonization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Prolonged antibiotics (&gt;5 days without positive culture) associated with 2 to 4x increased NEC risk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Anemia/transfusion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Transfusion-associated NEC (TANEC) reported; mechanism debated; may relate to mesenteric reperfusion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Observational association; WHEAT trial (2023) showed no benefit of holding feeds during transfusion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Medications</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Indomethacin (reduces mesenteric blood flow); H2 blockers and PPIs (alter gastric pH allowing pathogenic colonization)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H2 blockers: OR 1.7 to 6.6 in various studies</w:t>
            </w:r>
          </w:p>
        </w:tc>
      </w:tr>
    </w:tbl>
    <w:p>
      <w:r>
        <w:br w:type="page"/>
      </w:r>
    </w:p>
    <w:p>
      <w:pPr>
        <w:pStyle w:val="Heading1"/>
      </w:pPr>
      <w:r>
        <w:t xml:space="preserve">Chapter 2: Bell Staging Classification</w:t>
      </w:r>
    </w:p>
    <w:p>
      <w:pPr>
        <w:spacing w:after="120" w:line="276"/>
      </w:pPr>
      <w:r>
        <w:t xml:space="preserve">The modified Bell staging system classifies NEC severity and guides management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Signs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Radiographic Signs</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IA (Suspected)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instability, apnea, bradycardia, lethargy; feeding intolerance (increased residuals, mild abdominal distension); guaiac-positive stools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or mild ileus (dilated loops, air-fluid levels)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OG decompression; blood culture; CBC, CRP; start antibiotics (ampicillin + gentamicin); serial abdominal exams q6 to 8h; serial KUB q6 to 8h</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IB (Suspected)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IA plus grossly bloody stools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IA</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IA</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IIA (Definite, Mild)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 plus absent bowel sounds; definite abdominal tenderness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dilation with PNEUMATOSIS INTESTINALIS (pathognomonic: intramural air appearing as bubbly or linear lucencies in bowel wall)</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7 to 14 days; antibiotics x 7 to 14 days; NG/OG decompression; IV fluids/PN; surgical consultation; serial exams and KUB q6 to 8h</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IIB (Definite, Moderate)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IIA plus abdominal wall erythema or induration; palpable abdominal mass (matted loops); metabolic acidosis; thrombocytopenia; hyponatremia</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Pneumatosis plus PORTAL VENOUS GAS (linear lucencies overlying liver); ascites</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14 days; antibiotics 14 days; paracentesis if tense ascites; correct coagulopathy; intubation and ventilatory support if needed; close surgical monitoring; consider surgical intervention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IIIA (Advanced, Bowel Intact)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IIB plus hypotension requiring vasopressors; disseminated intravascular coagulation (DIC); respiratory failure requiring mechanical ventilation; severe metabolic acidosis; generalized peritonitis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Definite ascites; persistent fixed dilated loops (sentinel loop); worsening pneumatosis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above plus vasopressors; ventilatory support; correct DIC (FFP, platelets, cryoprecipitate); surgical consultation for possible intervention; may need peritoneal drain as bridge</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IIIB (Advanced, Perforation)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IIIA</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PNEUMOPERITONEUM (free intraperitoneal air on cross-table lateral or left lateral decubitus film)</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 SURGICAL INTERVENTION: primary peritoneal drainage (PPD) as bridge in ELBW or unstable; or exploratory laparotomy with resection of necrotic bowel and ostomy creation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PNEUMOPERITONEUM (free air) is the ONLY absolute surgical indication for NEC. However, clinical deterioration despite maximal medical management (worsening acidosis, DIC, vasopressor-dependent shock, abdominal wall erythema) also warrants surgical exploration even without free air. A fixed, dilated loop on serial films (unchanged over 24 to 48 hours) suggests full-thickness necrosis.</w:t>
            </w:r>
          </w:p>
        </w:tc>
      </w:tr>
    </w:tbl>
    <w:p>
      <w:r>
        <w:br w:type="page"/>
      </w:r>
    </w:p>
    <w:p>
      <w:pPr>
        <w:pStyle w:val="Heading1"/>
      </w:pPr>
      <w:r>
        <w:t xml:space="preserve">Chapter 3: Prevention Bundles</w:t>
      </w:r>
    </w:p>
    <w:p>
      <w:pPr>
        <w:spacing w:after="120" w:line="276"/>
      </w:pPr>
      <w:r>
        <w:t xml:space="preserve">NEC prevention requires a multi-faceted bundle approach addressing multiple risk factors simultaneously. The following evidence-based interventions have the strongest support:</w:t>
      </w:r>
    </w:p>
    <w:p>
      <w:pPr>
        <w:pStyle w:val="Heading2"/>
      </w:pPr>
      <w:r>
        <w:t xml:space="preserve">3.1 Human Milk (Strongest Evidence)</w:t>
      </w:r>
    </w:p>
    <w:p>
      <w:pPr>
        <w:spacing w:after="120" w:line="276"/>
      </w:pPr>
      <w:r>
        <w:t xml:space="preserve">Exclusive human milk diet is the single most effective intervention for NEC prevention. Meta-analyses consistently demonstrate a 50 to 80 percent reduction in NEC with exclusive human milk compared to formula. The protective mechanisms include: secretory IgA and IgG that neutralize pathogens; lactoferrin that binds iron and has direct bacteriostatic and bactericidal activity; human milk oligosaccharides (HMOs) that serve as prebiotics promoting Bifidobacterium colonization and directly inhibit pathogen adhesion; epidermal growth factor (EGF) and transforming growth factor-beta (TGF-beta) that promote intestinal epithelial maturation and repair; lysozyme and defensins with direct antimicrobial activity; and anti-inflammatory cytokines (IL-10) that modulate the intestinal immune response.</w:t>
      </w:r>
    </w:p>
    <w:p>
      <w:pPr>
        <w:spacing w:after="120" w:line="276"/>
      </w:pPr>
      <w:r>
        <w:t xml:space="preserve">The human milk hierarchy: fresh mother's own milk (MOM) is preferred (contains viable immune cells, highest bioactive content); frozen MOM is second choice (some loss of bioactive components with freezing); pasteurized donor human milk (DHM) is third choice (Holder pasteurization inactivates many bioactive components but retains HMOs and some growth factors); and preterm formula is last resort.</w:t>
      </w:r>
    </w:p>
    <w:p>
      <w:pPr>
        <w:pStyle w:val="Heading2"/>
      </w:pPr>
      <w:r>
        <w:t xml:space="preserve">3.2 Standardized Feeding Protocols</w:t>
      </w:r>
    </w:p>
    <w:p>
      <w:pPr>
        <w:spacing w:after="120" w:line="276"/>
      </w:pPr>
      <w:r>
        <w:t xml:space="preserve">Standardized feeding protocols reduce NEC by eliminating practice variation and ensuring consistent, evidence-based advancement of enteral feeds. Multiple observational studies demonstrate 50 to 87 percent reductions in NEC following implementation of standardized protocols. Key protocol elements include: early initiation of trophic feeds (within 24 to 48 hours when clinically stable); defined advancement rates by GA and weight category; consistent feeding interval (q3h bolus preferred); clear criteria for holding or reducing feeds; and a defined pathway for fortification initiation.</w:t>
      </w:r>
    </w:p>
    <w:p>
      <w:pPr>
        <w:pStyle w:val="Heading2"/>
      </w:pPr>
      <w:r>
        <w:t xml:space="preserve">3.3 Antibiotic Stewardship</w:t>
      </w:r>
    </w:p>
    <w:p>
      <w:pPr>
        <w:spacing w:after="120" w:line="276"/>
      </w:pPr>
      <w:r>
        <w:t xml:space="preserve">Prolonged empiric antibiotics (greater than 5 days without a positive culture) are independently associated with increased NEC risk (OR 2.0 to 4.4), death, and invasive candidiasis. The 36-hour rule (discontinue antibiotics if blood culture negative at 36 to 48 hours and infant is clinically well) is the cornerstone of neonatal antibiotic stewardship and an important NEC prevention strategy. Antibiotic utilization rate (AUR) should be tracked as a quality metric.</w:t>
      </w:r>
    </w:p>
    <w:p>
      <w:pPr>
        <w:pStyle w:val="Heading2"/>
      </w:pPr>
      <w:r>
        <w:t xml:space="preserve">3.4 Other Prevention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Strategy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 Level</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Antenatal steroids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 NEC along with all prematurity complications; ensure complete course when possible</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Probiotics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(meta-analyses positive; single large RCTs mixed)</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Institutional decision; quality control concerns with commercially available products; strain-specific effects; FDA has not approved neonatal probiotics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Lactoferrin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(ELFIN trial negative)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recommended as standard practice based on current evidence; research ongoing</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H2 blockers/PPIs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(observational)</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Restrict to specific indications; reassess regularly; avoid prophylactic use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routine gastric residual monitoring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(Riskin trial)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Eliminating routine GRV checks did not increase NEC; shortened time to full feeds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Transfusion practices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(WHEAT trial 2023 showed no benefit of withholding feeds)</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Current evidence does not support routinely holding feeds during PRBC transfusion; institutional discretion</w:t>
            </w:r>
          </w:p>
        </w:tc>
      </w:tr>
    </w:tbl>
    <w:p>
      <w:r>
        <w:br w:type="page"/>
      </w:r>
    </w:p>
    <w:p>
      <w:pPr>
        <w:pStyle w:val="Heading1"/>
      </w:pPr>
      <w:r>
        <w:t xml:space="preserve">Chapter 4: Medical Management</w:t>
      </w:r>
    </w:p>
    <w:p>
      <w:pPr>
        <w:spacing w:after="120" w:line="276"/>
      </w:pPr>
      <w:r>
        <w:t xml:space="preserve">Medical management of confirmed NEC (Bell Stage II or higher) includes: complete bowel rest (NPO for 7 to 14 days depending on severity); gastrointestinal decompression with continuous low-intermittent suction via OG tube; broad-spectrum antibiotics (typical regimen: ampicillin plus gentamicin plus metronidazole or piperacillin-tazobactam; duration 7 to 14 days based on severity and clinical response); parenteral nutrition (initiated within 24 hours of NPO status to prevent nutritional deficits); cardiovascular support (volume resuscitation with NS 10 to 20 mL/kg; vasopressors if fluid-refractory hypotension); respiratory support (intubation and mechanical ventilation for respiratory failure; abdominal distension impairs diaphragmatic excretion); correction of coagulopathy (platelets for count less than 50,000 with active bleeding; FFP for DIC; cryoprecipitate for fibrinogen less than 100); and serial monitoring (abdominal exam q4 to 6h; KUB q6 to 8h for 48 to 72h then q12 to 24h; CBC, CMP, CRP q12 to 24h; blood gas as needed).</w:t>
      </w:r>
    </w:p>
    <w:p>
      <w:pPr>
        <w:pStyle w:val="Heading2"/>
      </w:pPr>
      <w:r>
        <w:t xml:space="preserve">4.1 Feeding Reintroduction After NEC</w:t>
      </w:r>
    </w:p>
    <w:p>
      <w:pPr>
        <w:spacing w:after="120" w:line="276"/>
      </w:pPr>
      <w:r>
        <w:t xml:space="preserve">Feeds are typically reintroduced after 7 to 14 days of bowel rest (7 days for Stage IIA; 10 to 14 days for Stage IIB or IIIA without surgery). Prerequisites for restarting feeds include: resolution of pneumatosis on imaging; normalized inflammatory markers (CRP trending toward normal); resolution of abdominal distension and tenderness; return of bowel sounds; tolerating OG tube clamping without emesis or distension; and stable hemodynamic and respiratory status.</w:t>
      </w:r>
    </w:p>
    <w:p>
      <w:pPr>
        <w:spacing w:after="120" w:line="276"/>
      </w:pPr>
      <w:r>
        <w:t xml:space="preserve">Reintroduction protocol: Start with trophic feeds (10 to 20 mL/kg/day) of human milk (preferred) or extensively hydrolyzed formula (for formula-fed infants; intact protein formula is generally avoided initially). Advance slowly (10 to 20 mL/kg/day, slower than initial feeding advancement rate). Monitor closely for recurrence: abdominal exam before each feed advancement; track residuals; low threshold for holding feeds if any concern.</w:t>
      </w:r>
    </w:p>
    <w:p>
      <w:r>
        <w:br w:type="page"/>
      </w:r>
    </w:p>
    <w:p>
      <w:pPr>
        <w:pStyle w:val="Heading1"/>
      </w:pPr>
      <w:r>
        <w:t xml:space="preserve">Chapter 5: Surgical Management</w:t>
      </w:r>
    </w:p>
    <w:p>
      <w:pPr>
        <w:spacing w:after="120" w:line="276"/>
      </w:pPr>
      <w:r>
        <w:t xml:space="preserve">Surgical intervention is required in approximately 30 to 50 percent of NEC cases. The only absolute indication is pneumoperitoneum (free intraperitoneal air). Relative indications include: clinical deterioration despite maximal medical therapy (worsening acidosis, refractory shock, DIC); fixed dilated loop on serial radiographs (unchanged over 24 to 48 hours, suggesting full-thickness necrosis); abdominal wall erythema or palpable mass; positive paracentesis (brown or green fluid indicating perforation); and worsening portal venous gas.</w:t>
      </w:r>
    </w:p>
    <w:p>
      <w:pPr>
        <w:spacing w:after="120" w:line="276"/>
      </w:pPr>
      <w:r>
        <w:t xml:space="preserve">Surgical options include primary peritoneal drainage (PPD), which involves bedside placement of a Penrose drain in the right lower quadrant under local anesthesia (used as a temporizing measure in ELBW infants too unstable for laparotomy, or as definitive treatment in some cases), and exploratory laparotomy with resection of clearly necrotic bowel and creation of an ostomy (ileostomy or jejunostomy). The decision between PPD and laparotomy depends on infant size, hemodynamic stability, and surgical judgment. Reanastomosis is typically performed 6 to 12 weeks after the initial surgery, once the infant has recovered and grown.</w:t>
      </w:r>
    </w:p>
    <w:p>
      <w:pPr>
        <w:pStyle w:val="Heading1"/>
      </w:pPr>
      <w:r>
        <w:t xml:space="preserve">Chapter 6: Long-Term Outcomes</w:t>
      </w:r>
    </w:p>
    <w:p>
      <w:pPr>
        <w:spacing w:after="120" w:line="276"/>
      </w:pPr>
      <w:r>
        <w:t xml:space="preserve">NEC survivors face significant long-term morbidity. Short bowel syndrome (SBS) occurs in 20 to 35 percent of surgical NEC survivors, particularly those requiring extensive bowel resection. SBS management includes PN-dependent nutrition, gradual enteral advancement, and in severe cases, intestinal rehabilitation programs or intestinal transplantation. Neurodevelopmental impairment affects 40 to 50 percent of NEC survivors, including cerebral palsy, cognitive delay, hearing impairment, and visual impairment. The mechanism is thought to involve systemic inflammation affecting the developing brain, as well as the consequences of prolonged hospitalization, pain exposure, and nutritional deficits. Growth failure is common, particularly in SBS, and requires close nutritional monitoring and supplementation through early childhood. Stricture formation occurs in 15 to 30 percent of medically managed NEC; contrast studies should be obtained before ostomy closure or if feeding intolerance recurs after recovery.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Necrotizing Enterocolitis: Prevention, Staging,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2026-03-17T00:53:02.778Z</dcterms:created>
  <dcterms:modified xsi:type="dcterms:W3CDTF">2026-03-17T00:53:02.779Z</dcterms:modified>
</cp:coreProperties>
</file>

<file path=docProps/custom.xml><?xml version="1.0" encoding="utf-8"?>
<Properties xmlns="http://schemas.openxmlformats.org/officeDocument/2006/custom-properties" xmlns:vt="http://schemas.openxmlformats.org/officeDocument/2006/docPropsVTypes"/>
</file>