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Intraventricular Hemorrhage</w:t>
      </w:r>
    </w:p>
    <w:p>
      <w:pPr>
        <w:spacing w:after="200"/>
        <w:jc w:val="center"/>
      </w:pPr>
      <w:r>
        <w:rPr>
          <w:rFonts w:ascii="Arial" w:cs="Arial" w:eastAsia="Arial" w:hAnsi="Arial"/>
          <w:color w:val="1A7A6D"/>
          <w:sz w:val="30"/>
          <w:szCs w:val="30"/>
        </w:rPr>
        <w:t xml:space="preserve">Prevention, Classification, and Management</w:t>
      </w:r>
    </w:p>
    <w:p>
      <w:pPr>
        <w:spacing w:after="200"/>
        <w:jc w:val="center"/>
      </w:pPr>
      <w:r>
        <w:rPr>
          <w:rFonts w:ascii="Arial" w:cs="Arial" w:eastAsia="Arial" w:hAnsi="Arial"/>
          <w:i/>
          <w:iCs/>
          <w:sz w:val="22"/>
          <w:szCs w:val="22"/>
        </w:rPr>
        <w:t xml:space="preserve">For Level II, III, and IV NICU Settings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Pathophysiology</w:t>
      </w:r>
    </w:p>
    <w:p>
      <w:pPr>
        <w:spacing w:after="120" w:line="276"/>
      </w:pPr>
      <w:r>
        <w:t xml:space="preserve">Intraventricular hemorrhage (IVH) originates in the fragile capillary network of the germinal matrix, a highly vascularized, metabolically active region lining the ventricles that serves as the source of neuronal and glial progenitor cells during fetal brain development. The germinal matrix is most prominent between 24 and 32 weeks of gestation and involutes by 36 weeks. Its capillaries lack the structural support (pericytes, basement membrane, glial end-feet) of mature cerebral vasculature, making them extremely vulnerable to fluctuations in cerebral blood flow.</w:t>
      </w:r>
    </w:p>
    <w:p>
      <w:pPr>
        <w:spacing w:after="120" w:line="276"/>
      </w:pPr>
      <w:r>
        <w:t xml:space="preserve">The preterm brain has impaired cerebral autoregulation, meaning that cerebral blood flow passively follows systemic blood pressure rather than being maintained at a constant level across a range of perfusion pressures. This pressure-passive circulation means that any episode of hypotension (reducing cerebral perfusion) or hypertension (causing capillary rupture) can trigger germinal matrix hemorrhage. Common precipitating events include fluctuations in blood pressure during resuscitation, rapid volume expansion, pneumothorax, hypoxia, hypercarbia, and seizures.</w:t>
      </w:r>
    </w:p>
    <w:p>
      <w:pPr>
        <w:pStyle w:val="Heading2"/>
      </w:pPr>
      <w:r>
        <w:t xml:space="preserve">1.1 Papile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200"/>
        <w:gridCol w:w="34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Grade</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Findings</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Incidence (VLBW)</w:t>
            </w:r>
          </w:p>
        </w:tc>
        <w:tc>
          <w:tcPr>
            <w:tcW w:type="dxa" w:w="3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Prognosis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Grade I</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Germinal matrix hemorrhage only (subependymal); no intraventricular extension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20%</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Excellent; resolves without sequelae in most cases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Grade II</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Intraventricular blood WITHOUT ventricular dilation (blood fills less than 50% of ventricular area on ultrasound)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10%</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Good; most resolve without long-term sequelae; small increased risk of mild developmental delay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Grade III</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Intraventricular blood WITH acute ventricular dilation (blood fills greater than 50% of ventricular area)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5%</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Guarded; 30 to 40% develop post-hemorrhagic hydrocephalus requiring intervention; significant neurodevelopmental impairment risk</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Grade IV (periventricular hemorrhagic infarction)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Parenchymal hemorrhage — now understood as periventricular VENOUS INFARCTION (not extension of IVH into parenchyma); caused by obstruction of the terminal vein by intraventricular clot</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5%</w:t>
            </w:r>
          </w:p>
        </w:tc>
        <w:tc>
          <w:tcPr>
            <w:tcW w:type="dxa" w:w="3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Poor; 60 to 80% develop cerebral palsy (typically spastic hemiplegia contralateral to the lesion); 50 to 70% cognitive impairment; 25 to 50% require VP shunt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The terminology 'Grade IV IVH' is a misnomer. Parenchymal hemorrhage associated with IVH is not an extension of ventricular blood into the brain parenchyma. Rather, it is a periventricular VENOUS INFARCTION caused by obstruction of the medullary and terminal veins by intraventricular blood clot. This distinction is important because the location and extent of the infarction, not just the presence of parenchymal blood, determines long-term outcome.</w:t>
            </w:r>
          </w:p>
        </w:tc>
      </w:tr>
    </w:tbl>
    <w:p>
      <w:r>
        <w:br w:type="page"/>
      </w:r>
    </w:p>
    <w:p>
      <w:pPr>
        <w:pStyle w:val="Heading1"/>
      </w:pPr>
      <w:r>
        <w:t xml:space="preserve">Chapter 2: Prevention Bundle</w:t>
      </w:r>
    </w:p>
    <w:p>
      <w:pPr>
        <w:spacing w:after="120" w:line="276"/>
      </w:pPr>
      <w:r>
        <w:t xml:space="preserve">The majority of IVH (80 to 90 percent) occurs within the first 72 hours of life, with 50 percent occurring within the first 24 hours. Prevention efforts are therefore concentrated in the immediate postnatal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Implementation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Antenatal corticosteroids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STRONGEST evidence; reduces severe IVH by 50%+; Cochrane meta-analysis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Complete course (2 doses betamethasone 24h apart or 4 doses dexamethasone 12h apart) before preterm delivery; single rescue course if greater than 7 days since initial course</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Delayed cord clamping (30 to 60 seconds)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improves blood volume and hemodynamic stability; multiple RCTs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Minimum 30 to 60 seconds for all preterm deliveries; longer (60 to 120 sec) at some institutions; DO NOT perform intact cord milking in less than 28 weeks (PREMOD2 safety concern)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Minimal handling in first 72 hours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reduces BP fluctuations; cluster care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Cluster assessments; avoid unnecessary interventions; gentle handling; minimal stimulation; avoid vigorous suctioning</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Midline head positioning</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optimizes cerebral venous drainage</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Head midline, elevated 15 to 30 degrees for first 72 hours; avoid turning head to side (may compress jugular vein and impair venous drainage)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 rapid volume expansion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prevents BP surges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NS boluses over 10 to 15 minutes (NOT rapid push); avoid hypertonic solutions; correct hypovolemia gradually</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 sodium bicarbonate boluses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hyperosmolar solution causes osmotic shifts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bicarbonate needed: dilute to 0.5 mEq/mL, infuse over 30+ minutes; most experts recommend avoiding entirely if possible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Maintain hemodynamic stability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Strong; avoid BP fluctuations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Avoid hypotension (MAP less than GA) and hypertension; gentle ventilation to avoid pneumothorax; treat PDA if hemodynamically significant</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Caffeine</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reduces apnea-related BP fluctuations; CAP trial showed neuroprotective trend</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Load within hours of birth for all infants less than 32 weeks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Indomethacin prophylaxis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Evidence exists but controversial; reduces severe IVH in some trials but not adopted universally</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Some institutions give prophylactic low-dose indomethacin (0.1 mg/kg IV q24h x 3 doses) to ELBW; not standard practice at most centers</w:t>
            </w:r>
          </w:p>
        </w:tc>
      </w:tr>
    </w:tbl>
    <w:p>
      <w:r>
        <w:br w:type="page"/>
      </w:r>
    </w:p>
    <w:p>
      <w:pPr>
        <w:pStyle w:val="Heading1"/>
      </w:pPr>
      <w:r>
        <w:t xml:space="preserve">Chapter 3: Screening and Diagnosis</w:t>
      </w:r>
    </w:p>
    <w:p>
      <w:pPr>
        <w:spacing w:after="120" w:line="276"/>
      </w:pPr>
      <w:r>
        <w:t xml:space="preserve">Cranial ultrasound (CUS) is the primary screening and diagnostic tool for IVH. It is performed through the anterior fontanelle using a high-frequency (7.5 to 10 MHz) transducer, providing coronal and sagittal views of the ventricles, germinal matrix, and periventricular white matter.</w:t>
      </w:r>
    </w:p>
    <w:p>
      <w:pPr>
        <w:pStyle w:val="Heading2"/>
      </w:pPr>
      <w:r>
        <w:t xml:space="preserve">3.1 Screening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 at Birth</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First CUS</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Follow-up CUS</w:t>
            </w:r>
          </w:p>
        </w:tc>
        <w:tc>
          <w:tcPr>
            <w:tcW w:type="dxa" w:w="2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Rationale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30 weeks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3 to 7 of life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28 to 30 (or at 4 weeks of age); then at 36 weeks PMA or before discharge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Early detection of IVH; late CUS detects PVL and post-hemorrhagic ventricular dilation</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to 32 weeks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7 to 14</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Before discharge or at 36 weeks PMA if still hospitalized</w:t>
            </w:r>
          </w:p>
        </w:tc>
        <w:tc>
          <w:tcPr>
            <w:tcW w:type="dxa" w:w="25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incidence; may not need serial imaging if initial is normal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32 weeks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Only if clinically indicated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Based on clinical indication</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IVH uncommon after 32 weeks except with specific risk factors (asphyxia, coagulopathy, ECMO)</w:t>
            </w:r>
          </w:p>
        </w:tc>
      </w:tr>
    </w:tbl>
    <w:p>
      <w:pPr>
        <w:spacing w:after="120"/>
      </w:pPr>
    </w:p>
    <w:p>
      <w:pPr>
        <w:pStyle w:val="Heading1"/>
      </w:pPr>
      <w:r>
        <w:t xml:space="preserve">Chapter 4: Post-Hemorrhagic Hydrocephalus</w:t>
      </w:r>
    </w:p>
    <w:p>
      <w:pPr>
        <w:spacing w:after="120" w:line="276"/>
      </w:pPr>
      <w:r>
        <w:t xml:space="preserve">Post-hemorrhagic ventricular dilation (PHVD) occurs in 25 to 50 percent of infants with grade III or IV IVH. Blood products within the ventricles cause arachnoid granulation obstruction, arachnoiditis, and impaired CSF absorption. Management includes serial head circumference measurements (daily during acute phase; at least weekly thereafter), serial cranial ultrasound to monitor ventricular size (ventricular index, anterior horn width, and thalamo-occipital distance are measured and compared to gestational age-specific norms), and intervention when progressive dilation occurs.</w:t>
      </w:r>
    </w:p>
    <w:p>
      <w:pPr>
        <w:spacing w:after="120" w:line="276"/>
      </w:pPr>
      <w:r>
        <w:t xml:space="preserve">Interventions for PHVD include: serial lumbar punctures or ventricular taps (remove 10 to 15 mL/kg per procedure; temporary measure to relieve pressure while waiting for hemorrhage to clear); ventricular access device (VAD or Ommaya reservoir; subcutaneous reservoir connected to a ventricular catheter; allows repeated CSF drainage at the bedside without repeated punctures); and ventriculoperitoneal (VP) shunt (definitive treatment for persistent hydrocephalus; typically placed when the infant is larger, the CSF protein has decreased below 1.5 to 2 g/dL, and the hemorrhage has cleared sufficiently to reduce shunt obstruction risk).</w:t>
      </w:r>
    </w:p>
    <w:p>
      <w:pPr>
        <w:spacing w:after="120" w:line="276"/>
      </w:pPr>
      <w:r>
        <w:t xml:space="preserve">The ELVIS trial (Early versus Late Ventricular Intervention Study) demonstrated that earlier intervention (at a lower threshold of ventricular dilation) did not reduce the need for VP shunt or improve neurodevelopmental outcomes compared to later intervention. Current practice generally follows a threshold-based approach: intervene when ventricular measurements cross above the 97th percentile (p97 + 4 mm) on the Levene chart, and when there is clinical evidence of increased intracranial pressure (rapidly increasing head circumference, bulging fontanelle, splayed sutures, apnea, bradycardia, vomiting, lethargy).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Intraventricular Hemorrhage: Prevention, Classification, and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2026-03-17T00:53:02.961Z</dcterms:created>
  <dcterms:modified xsi:type="dcterms:W3CDTF">2026-03-17T00:53:02.961Z</dcterms:modified>
</cp:coreProperties>
</file>

<file path=docProps/custom.xml><?xml version="1.0" encoding="utf-8"?>
<Properties xmlns="http://schemas.openxmlformats.org/officeDocument/2006/custom-properties" xmlns:vt="http://schemas.openxmlformats.org/officeDocument/2006/docPropsVTypes"/>
</file>