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48"/>
          <w:szCs w:val="48"/>
        </w:rPr>
        <w:t xml:space="preserve">Bronchopulmonary Dysplasia</w:t>
      </w:r>
    </w:p>
    <w:p>
      <w:pPr>
        <w:spacing w:after="200"/>
        <w:jc w:val="center"/>
      </w:pPr>
      <w:r>
        <w:rPr>
          <w:rFonts w:ascii="Arial" w:cs="Arial" w:eastAsia="Arial" w:hAnsi="Arial"/>
          <w:color w:val="1A7A6D"/>
          <w:sz w:val="30"/>
          <w:szCs w:val="30"/>
        </w:rPr>
        <w:t xml:space="preserve">Definition, Prevention, and Management</w:t>
      </w:r>
    </w:p>
    <w:p>
      <w:pPr>
        <w:spacing w:after="200"/>
        <w:jc w:val="center"/>
      </w:pPr>
      <w:r>
        <w:rPr>
          <w:rFonts w:ascii="Arial" w:cs="Arial" w:eastAsia="Arial" w:hAnsi="Arial"/>
          <w:i/>
          <w:iCs/>
          <w:sz w:val="22"/>
          <w:szCs w:val="22"/>
        </w:rPr>
        <w:t xml:space="preserve">Comprehensive Clinical Guide for NICU and Level II Settings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Definition and Classification</w:t>
      </w:r>
    </w:p>
    <w:p>
      <w:pPr>
        <w:spacing w:after="120" w:line="276"/>
      </w:pPr>
      <w:r>
        <w:t xml:space="preserve">Bronchopulmonary dysplasia (BPD) is the most common chronic lung disease of infancy, affecting 25 to 40 percent of very low birth weight infants. The disease has evolved substantially since its original description by Northway in 1967. 'Old BPD' was a disease of surfactant deficiency, high-pressure ventilation, and oxygen toxicity in larger preterm infants, characterized by airway inflammation, fibrosis, and cystic changes. 'New BPD' is a disease of arrested alveolar and vascular development in extremely preterm infants, characterized by simplified alveolar architecture with fewer, larger alveoli and dysmorphic pulmonary vasculature.</w:t>
      </w:r>
    </w:p>
    <w:p>
      <w:pPr>
        <w:pStyle w:val="Heading2"/>
      </w:pPr>
      <w:r>
        <w:t xml:space="preserve">1.1 Evolving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000"/>
        <w:gridCol w:w="2860"/>
      </w:tblGrid>
      <w:tr>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Definition</w:t>
            </w:r>
          </w:p>
        </w:tc>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Criteria</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Strengths</w:t>
            </w:r>
          </w:p>
        </w:tc>
        <w:tc>
          <w:tcPr>
            <w:tcW w:type="dxa" w:w="2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Limitations</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NIH 2001 (Jobe-Bancalari)</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Oxygen requirement at 28 days of life; severity graded at 36 weeks PMA: Mild = room air; Moderate = FiO2 less than 0.30; Severe = FiO2 0.30+ or positive pressure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Widely used; simple; good predictor of respiratory morbidity</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Does not account for current respiratory support practices; may underestimate 'new BPD'</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NICHD 2018 (Jensen)</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Based on respiratory support at 36 weeks PMA: Grade 1 = nasal cannula 2 LPM or less; Grade 2 = CPAP, HFNC greater than 2 LPM, or NC with FiO2 0.21 to 0.29; Grade 3 = invasive ventilation or CPAP/HFNC with FiO2 0.30+</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Better correlation with respiratory and neurodevelopmental outcomes; reflects current practice</w:t>
            </w:r>
          </w:p>
        </w:tc>
        <w:tc>
          <w:tcPr>
            <w:tcW w:type="dxa" w:w="2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Requires standardized physiologic definitions; implementation varies</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Physiologic definition</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Room air challenge at 36 weeks PMA: if SpO2 maintained 90%+ for 30 minutes on RA, infant does NOT have BPD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Reduces subjectivity in oxygen prescribing; more consistent across centers</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May not capture infants weaned to RA before 36 weeks who had significant lung disease</w:t>
            </w:r>
          </w:p>
        </w:tc>
      </w:tr>
    </w:tbl>
    <w:p>
      <w:r>
        <w:br w:type="page"/>
      </w:r>
    </w:p>
    <w:p>
      <w:pPr>
        <w:pStyle w:val="Heading1"/>
      </w:pPr>
      <w:r>
        <w:t xml:space="preserve">Chapter 2: Pathophysiology of New BPD</w:t>
      </w:r>
    </w:p>
    <w:p>
      <w:pPr>
        <w:spacing w:after="120" w:line="276"/>
      </w:pPr>
      <w:r>
        <w:t xml:space="preserve">New BPD reflects a disruption of normal lung development at the saccular and early alveolar stages. The normal preterm lung at 24 to 28 weeks is in the canalicular to saccular stage of development, with primitive gas-exchanging units (saccules) that will undergo alveolarization (septation into mature alveoli) beginning at approximately 36 weeks and continuing postnatally through 2 to 3 years of age. Exposure to oxygen, mechanical ventilation, inflammation, and infection disrupts this alveolarization process.</w:t>
      </w:r>
    </w:p>
    <w:p>
      <w:pPr>
        <w:spacing w:after="120" w:line="276"/>
      </w:pPr>
      <w:r>
        <w:t xml:space="preserve">The result is a lung with reduced alveolar number (simplified architecture), reduced alveolar surface area for gas exchange, dysmorphic pulmonary vasculature with reduced capillary bed, increased airway smooth muscle, and variable degrees of interstitial fibrosis. Pulmonary hypertension complicates severe BPD in 25 to 40 percent of cases, adding right ventricular dysfunction to the respiratory pathology.</w:t>
      </w:r>
    </w:p>
    <w:p>
      <w:pPr>
        <w:pStyle w:val="Heading2"/>
      </w:pPr>
      <w:r>
        <w:t xml:space="preserve">2.1 Key Pathogenic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Factor</w:t>
            </w:r>
          </w:p>
        </w:tc>
        <w:tc>
          <w:tcPr>
            <w:tcW w:type="dxa" w:w="3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Mechanism</w:t>
            </w:r>
          </w:p>
        </w:tc>
        <w:tc>
          <w:tcPr>
            <w:tcW w:type="dxa" w:w="4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Prevention Strategy</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Oxygen toxicity</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Reactive oxygen species damage developing alveolar epithelium and endothelium; inhibit angiogenesis</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Target SpO2 90 to 95%; minimize FiO2; avoid fluctuations</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Volutrauma/barotrauma</w:t>
            </w:r>
          </w:p>
        </w:tc>
        <w:tc>
          <w:tcPr>
            <w:tcW w:type="dxa" w:w="3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Overdistension of immature alveoli disrupts septation; activates inflammatory cascade</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Volume-targeted ventilation (VT 4 to 6 mL/kg); permissive hypercapnia; early CPAP to avoid intubation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Atelectotrauma</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Repeated opening and closing of atelectatic alveoli causes shear injury</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Adequate PEEP to maintain FRC; open-lung strategy; avoid frequent disconnections from CPAP</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Inflammation/infection</w:t>
            </w:r>
          </w:p>
        </w:tc>
        <w:tc>
          <w:tcPr>
            <w:tcW w:type="dxa" w:w="3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Chorioamnionitis, postnatal sepsis, VAP all trigger pulmonary inflammatory response that disrupts development</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Antenatal steroids; antibiotic stewardship; VAP prevention bundle; infection control</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Nutritional deficiency</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Protein and calorie deficit impairs lung growth and repair; vitamin A deficiency specifically associated with BPD</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Early aggressive nutrition (PN day 1; enteral feeds ASAP); vitamin A supplementation (evidence moderate)</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Fluid overload</w:t>
            </w:r>
          </w:p>
        </w:tc>
        <w:tc>
          <w:tcPr>
            <w:tcW w:type="dxa" w:w="3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Excessive IV fluids increase pulmonary edema and duration of respiratory support</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Careful fluid management; allow postnatal diuresis; avoid fluid overload (associated with PDA and BPD)</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PDA</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Left-to-right shunting increases pulmonary blood flow and pulmonary edema</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Treat hemodynamically significant PDA; fluid restriction; ibuprofen or indomethacin if medical closure indicated</w:t>
            </w:r>
          </w:p>
        </w:tc>
      </w:tr>
    </w:tbl>
    <w:p>
      <w:r>
        <w:br w:type="page"/>
      </w:r>
    </w:p>
    <w:p>
      <w:pPr>
        <w:pStyle w:val="Heading1"/>
      </w:pPr>
      <w:r>
        <w:t xml:space="preserve">Chapter 3: Prevention Strategies</w:t>
      </w:r>
    </w:p>
    <w:p>
      <w:pPr>
        <w:pStyle w:val="Heading2"/>
      </w:pPr>
      <w:r>
        <w:t xml:space="preserve">3.1 Respiratory Management to Prevent BPD</w:t>
      </w:r>
    </w:p>
    <w:p>
      <w:pPr>
        <w:spacing w:after="120" w:line="276"/>
      </w:pPr>
      <w:r>
        <w:t xml:space="preserve">Non-invasive first approach: The cornerstone of BPD prevention is avoiding or minimizing mechanical ventilation. Early CPAP with selective surfactant (via LISA or INSURE) has been shown in multiple RCTs (SUPPORT, COIN, VON) to reduce BPD compared to routine intubation and prophylactic surfactant. For infants who require mechanical ventilation, the duration should be minimized through: volume-targeted ventilation (reduces BPD compared to pressure-only ventilation per Cochrane meta-analysis); permissive hypercapnia (accepting PCO2 45 to 55 mmHg with pH greater than 7.25 to allow lower pressures); early caffeine (CAP trial demonstrated reduced BPD: 36% vs 47% with placebo); and aggressive weaning with daily extubation readiness assessment.</w:t>
      </w:r>
    </w:p>
    <w:p>
      <w:pPr>
        <w:pStyle w:val="Heading2"/>
      </w:pPr>
      <w:r>
        <w:t xml:space="preserve">3.2 Postnatal Corticosteroids</w:t>
      </w:r>
    </w:p>
    <w:p>
      <w:pPr>
        <w:spacing w:after="120" w:line="276"/>
      </w:pPr>
      <w:r>
        <w:t xml:space="preserve">Postnatal systemic corticosteroids (dexamethasone, hydrocortisone) reduce BPD but carry significant neurodevelopmental risks. The DART protocol (Dexamethasone: A Randomized Trial) uses low-dose, short-course dexamethasone (0.89 mg/kg total over 10 days) for infants at high risk of BPD (ventilator-dependent at 7 to 14 days with FiO2 greater than 0.30). The benefit-to-risk ratio is most favorable when the baseline BPD risk exceeds 50 percent (calculated using the NICHD BPD estimator tool at https://neonatal.rti.org/). Systemic dexamethasone should NOT be used in the first week of life (associated with increased cerebral palsy and intestinal perforation). Inhaled budesonide has shown promise (NEUROSIS trial) with reduced BPD but a non-significant trend toward increased mortality; current evidence does not support routine use.</w:t>
      </w:r>
    </w:p>
    <w:p>
      <w:r>
        <w:br w:type="page"/>
      </w:r>
    </w:p>
    <w:p>
      <w:pPr>
        <w:pStyle w:val="Heading1"/>
      </w:pPr>
      <w:r>
        <w:t xml:space="preserve">Chapter 4: Management of Established BPD</w:t>
      </w:r>
    </w:p>
    <w:p>
      <w:pPr>
        <w:spacing w:after="120" w:line="276"/>
      </w:pPr>
      <w:r>
        <w:t xml:space="preserve">Management of established BPD focuses on supporting lung growth while minimizing ongoing injury, optimizing nutrition to support lung repair and somatic growth, managing associated complications (pulmonary hypertension, gastroesophageal reflux, growth failure), and planning for discharge with appropriate follow-up.</w:t>
      </w:r>
    </w:p>
    <w:p>
      <w:pPr>
        <w:pStyle w:val="Heading2"/>
      </w:pPr>
      <w:r>
        <w:t xml:space="preserve">4.1 Respiratory Management of Established BPD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Component</w:t>
            </w:r>
          </w:p>
        </w:tc>
        <w:tc>
          <w:tcPr>
            <w:tcW w:type="dxa" w:w="7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Approach</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Oxygen therapy</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Target SpO2 92 to 95% (some experts recommend 93 to 95% for established BPD to reduce pulmonary vasoconstriction); avoid hyperoxia; home oxygen for infants not yet weaned to RA at discharge</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Ventilatory support</w:t>
            </w:r>
          </w:p>
        </w:tc>
        <w:tc>
          <w:tcPr>
            <w:tcW w:type="dxa" w:w="7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Wean to least invasive support: CPAP or HFNC preferred; longer inspiratory times (0.4 to 0.6 sec) to account for increased airway resistance; moderate PEEP (5 to 7 cmH2O) to maintain FRC in stiff lungs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Diuretics</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Furosemide 1 to 2 mg/kg/dose IV or PO q12 to 24h for acute pulmonary edema; chlorothiazide 10 to 20 mg/kg/dose q12h plus spironolactone 1 to 2 mg/kg/dose q12h for chronic management; monitor electrolytes closely (hyponatremia, hypokalemia, hypochloremic metabolic alkalosis, nephrocalcinosis)</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Bronchodilators</w:t>
            </w:r>
          </w:p>
        </w:tc>
        <w:tc>
          <w:tcPr>
            <w:tcW w:type="dxa" w:w="7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Albuterol (salbutamol) 0.1 to 0.5 mg/kg/dose nebulized q4 to 6h for acute bronchospasm; limited evidence for routine use; may help individual infants with demonstrable airway reactivity</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Systemic steroids for BPD exacerbation</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Short burst of prednisolone or dexamethasone for acute exacerbation (viral illness, worsening respiratory status); use lowest effective dose for shortest duration</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Nutrition</w:t>
            </w:r>
          </w:p>
        </w:tc>
        <w:tc>
          <w:tcPr>
            <w:tcW w:type="dxa" w:w="7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Caloric target 120 to 150 kcal/kg/day (higher than standard due to increased work of breathing); protein 3.5 to 4.5 g/kg/day; may need caloric density 24 to 30 kcal/oz formula; fluid restriction (130 to 150 mL/kg/day) if pulmonary edema is a concern; vitamin A and vitamin D supplementation</w:t>
            </w:r>
          </w:p>
        </w:tc>
      </w:tr>
    </w:tbl>
    <w:p>
      <w:pPr>
        <w:spacing w:after="120"/>
      </w:pPr>
    </w:p>
    <w:p>
      <w:pPr>
        <w:pStyle w:val="Heading2"/>
      </w:pPr>
      <w:r>
        <w:t xml:space="preserve">4.2 Pulmonary Hypertension in BPD</w:t>
      </w:r>
    </w:p>
    <w:p>
      <w:pPr>
        <w:spacing w:after="120" w:line="276"/>
      </w:pPr>
      <w:r>
        <w:t xml:space="preserve">Pulmonary hypertension (PH) complicates 25 to 40 percent of severe BPD. Screening echocardiography is recommended at 36 weeks PMA for all infants with moderate to severe BPD. Signs of PH include: right ventricular hypertrophy and dilation on echocardiography; tricuspid regurgitation jet velocity greater than 2.5 to 3.0 m/s (estimated RVSP greater than 35 to 40 mmHg); flattened or bowed interventricular septum; and clinical signs of right heart failure (hepatomegaly, edema, increasing oxygen requirement). Management includes optimizing lung recruitment, oxygen therapy (target SpO2 93 to 95 percent to avoid hypoxic pulmonary vasoconstriction), inhaled nitric oxide (for acute exacerbations), and sildenafil (0.5 to 2 mg/kg/dose PO q6 to 8h) for chronic management. Bosentan and other pulmonary vasodilators may be used in refractory cases under pediatric pulmonology or cardiology guidance.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Bronchopulmonary Dysplasia: Definition, Prevention, and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2026-03-17T00:53:03.132Z</dcterms:created>
  <dcterms:modified xsi:type="dcterms:W3CDTF">2026-03-17T00:53:03.132Z</dcterms:modified>
</cp:coreProperties>
</file>

<file path=docProps/custom.xml><?xml version="1.0" encoding="utf-8"?>
<Properties xmlns="http://schemas.openxmlformats.org/officeDocument/2006/custom-properties" xmlns:vt="http://schemas.openxmlformats.org/officeDocument/2006/docPropsVTypes"/>
</file>