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Neonatal Sepsis</w:t>
      </w:r>
    </w:p>
    <w:p>
      <w:pPr>
        <w:spacing w:after="200"/>
        <w:jc w:val="center"/>
      </w:pPr>
      <w:r>
        <w:rPr>
          <w:rFonts w:ascii="Arial" w:cs="Arial" w:eastAsia="Arial" w:hAnsi="Arial"/>
          <w:color w:val="1A7A6D"/>
          <w:sz w:val="30"/>
          <w:szCs w:val="30"/>
        </w:rPr>
        <w:t xml:space="preserve">Early-Onset, Late-Onset, and Fungal: Comprehensive Management</w:t>
      </w:r>
    </w:p>
    <w:p>
      <w:pPr>
        <w:spacing w:after="200"/>
        <w:jc w:val="center"/>
      </w:pPr>
      <w:r>
        <w:rPr>
          <w:rFonts w:ascii="Arial" w:cs="Arial" w:eastAsia="Arial" w:hAnsi="Arial"/>
          <w:i/>
          <w:iCs/>
          <w:sz w:val="22"/>
          <w:szCs w:val="22"/>
        </w:rPr>
        <w:t xml:space="preserve">For Level II and NICU Settings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Early-Onset Sepsis (EOS)</w:t>
      </w:r>
    </w:p>
    <w:p>
      <w:pPr>
        <w:spacing w:after="120" w:line="276"/>
      </w:pPr>
      <w:r>
        <w:t xml:space="preserve">Early-onset sepsis, defined as systemic bacterial infection within the first 72 hours of life (some definitions extend to 7 days), results from vertical transmission of organisms from the maternal genital tract. Incidence is approximately 0.5 to 1.0 per 1000 live births in term infants and 2 to 5 per 1000 in preterm. GBS and E. coli account for approximately 70 percent of EOS cases.</w:t>
      </w:r>
    </w:p>
    <w:p>
      <w:pPr>
        <w:pStyle w:val="Heading2"/>
      </w:pPr>
      <w:r>
        <w:t xml:space="preserve">1.1 Microbiology of 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200"/>
        <w:gridCol w:w="3460"/>
      </w:tblGrid>
      <w:t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Organism</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Frequency</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Features</w:t>
            </w:r>
          </w:p>
        </w:tc>
        <w:tc>
          <w:tcPr>
            <w:tcW w:type="dxa" w:w="34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Antibiotic Sensitivity</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Group B Streptococcus (GBS)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Most common gram-positive; 40 to 45% of EOS</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Vertical transmission prevented by IAP; presents as pneumonia, sepsis, or meningitis; serotype III most associated with meningitis</w:t>
            </w:r>
          </w:p>
        </w:tc>
        <w:tc>
          <w:tcPr>
            <w:tcW w:type="dxa" w:w="3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Penicillin/ampicillin sensitive; some clindamycin resistance</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Escherichia coli</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Most common gram-negative; 25 to 30% of EOS; leading cause in VLBW</w:t>
            </w:r>
          </w:p>
        </w:tc>
        <w:tc>
          <w:tcPr>
            <w:tcW w:type="dxa" w:w="3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K1 capsular strain most virulent; increasing ampicillin resistance (40 to 50%); highest meningitis rate in preterm</w:t>
            </w:r>
          </w:p>
        </w:tc>
        <w:tc>
          <w:tcPr>
            <w:tcW w:type="dxa" w:w="3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Gentamicin covers most; cefotaxime or meropenem for resistant strains or meningitis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Listeria monocytogenes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Rare (2 to 5%)</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Maternal food-borne exposure (unpasteurized dairy, deli meats); granulomatosis infantiseptica in severe cases</w:t>
            </w:r>
          </w:p>
        </w:tc>
        <w:tc>
          <w:tcPr>
            <w:tcW w:type="dxa" w:w="3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Ampicillin (drug of choice); intrinsically resistant to cephalosporins (important: cefotaxime does NOT cover Listeria)</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Enterococcus species</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Uncommon</w:t>
            </w:r>
          </w:p>
        </w:tc>
        <w:tc>
          <w:tcPr>
            <w:tcW w:type="dxa" w:w="3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Intrinsically resistant to cephalosporins; ampicillin is first-line</w:t>
            </w:r>
          </w:p>
        </w:tc>
        <w:tc>
          <w:tcPr>
            <w:tcW w:type="dxa" w:w="3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Ampicillin; vancomycin for resistant strains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Staphylococcus aureus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Uncommon in EOS</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More common in LOS; may cause skin/soft tissue infections from birth</w:t>
            </w:r>
          </w:p>
        </w:tc>
        <w:tc>
          <w:tcPr>
            <w:tcW w:type="dxa" w:w="3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Nafcillin or oxacillin (MSSA); vancomycin (MRSA)</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Haemophilus influenzae (non-typeable)</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Rare; increasing in VLBW</w:t>
            </w:r>
          </w:p>
        </w:tc>
        <w:tc>
          <w:tcPr>
            <w:tcW w:type="dxa" w:w="3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Associated with chorioamnionitis and preterm delivery</w:t>
            </w:r>
          </w:p>
        </w:tc>
        <w:tc>
          <w:tcPr>
            <w:tcW w:type="dxa" w:w="3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Ampicillin (many susceptible); ampicillin-sulbactam if beta-lactamase positive</w:t>
            </w:r>
          </w:p>
        </w:tc>
      </w:tr>
    </w:tbl>
    <w:p>
      <w:r>
        <w:br w:type="page"/>
      </w:r>
    </w:p>
    <w:p>
      <w:pPr>
        <w:pStyle w:val="Heading2"/>
      </w:pPr>
      <w:r>
        <w:t xml:space="preserve">1.2 EOS Risk Assessment — Three Approaches</w:t>
      </w:r>
    </w:p>
    <w:p>
      <w:pPr>
        <w:spacing w:after="120" w:line="276"/>
      </w:pPr>
      <w:r>
        <w:t xml:space="preserve">The three validated approaches to EOS risk assessment are detailed in the Level I/II Care Pathway (Document 05). In summary: the categorical approach evaluates based on risk factors alone; the EOS Calculator uses a multivariate model to quantify risk; and enhanced serial observation relies on clinical assessment over 24 to 48 hours. The EOS Calculator (neonatalsepsiscalculator.kaiserpermanente.org) has been validated in over 200,000 infants and reduces antibiotic use by 40 to 60 percent without increasing missed cases.</w:t>
      </w:r>
    </w:p>
    <w:p>
      <w:pPr>
        <w:pStyle w:val="Heading2"/>
      </w:pPr>
      <w:r>
        <w:t xml:space="preserve">1.3 EOS Treatment Protocol</w:t>
      </w:r>
    </w:p>
    <w:p>
      <w:pPr>
        <w:spacing w:after="120" w:line="276"/>
      </w:pPr>
      <w:r>
        <w:t xml:space="preserve">Empiric therapy: Ampicillin (50 mg/kg IV q12h for age 0 to 7 days; 100 mg/kg for meningitis) plus gentamicin (4 mg/kg IV q24h for 35+ weeks; 5 mg/kg q36h for 30 to 34 weeks; 5 mg/kg q48h for less than 30 weeks). Blood culture BEFORE antibiotics. Give antibiotics within 60 minutes of decision to treat.</w:t>
      </w:r>
    </w:p>
    <w:p>
      <w:pPr>
        <w:spacing w:after="120" w:line="276"/>
      </w:pPr>
      <w:r>
        <w:t xml:space="preserve">Duration: Blood culture negative at 36 to 48 hours and clinically well -&gt; discontinue antibiotics. Culture positive bacteremia without meningitis -&gt; 7 to 10 days. GBS meningitis -&gt; 14 to 21 days. Gram-negative meningitis -&gt; 21 days minimum (repeat LP to document CSF sterilization). The 36-hour rule is the cornerstone of antibiotic stewardship.</w:t>
      </w:r>
    </w:p>
    <w:p>
      <w:r>
        <w:br w:type="page"/>
      </w:r>
    </w:p>
    <w:p>
      <w:pPr>
        <w:pStyle w:val="Heading1"/>
      </w:pPr>
      <w:r>
        <w:t xml:space="preserve">Chapter 2: Late-Onset Sepsis (LOS)</w:t>
      </w:r>
    </w:p>
    <w:p>
      <w:pPr>
        <w:spacing w:after="120" w:line="276"/>
      </w:pPr>
      <w:r>
        <w:t xml:space="preserve">Late-onset sepsis occurs after 72 hours of life and is typically nosocomial (acquired from the caregiving environment). It is predominantly a disease of VLBW infants with prolonged NICU stays, affecting 20 to 25 percent of VLBW infants. The microbiology differs significantly from EOS.</w:t>
      </w:r>
    </w:p>
    <w:p>
      <w:pPr>
        <w:pStyle w:val="Heading2"/>
      </w:pPr>
      <w:r>
        <w:t xml:space="preserve">2.1 Microbiology of 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000"/>
        <w:gridCol w:w="4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Organism</w:t>
            </w:r>
          </w:p>
        </w:tc>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Frequency</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c>
          <w:tcPr>
            <w:tcW w:type="dxa" w:w="4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Treatment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Coagulase-negative Staphylococcus (CoNS)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Most common overall (50 to 60%)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Skin flora; central line colonization</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Vancomycin; if single culture positive and infant well, may represent contamination; clinical judgment required</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Staphylococcus aureus (MSSA/MRSA)</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to 15%</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Skin colonization; line-associated; wound infections</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MSSA: nafcillin/oxacillin. MRSA: vancomycin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Gram-negative bacilli (E. coli, Klebsiella, Enterobacter, Pseudomonas, Serratia)</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 to 30% collectively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GI colonization; environmental reservoirs; central lines</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Empiric gentamicin or cefotaxime; adjust per culture/sensitivity; carbapenem for ESBL producers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Enterococcus</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to 10%</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GI colonization; central lines</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Ampicillin; vancomycin for VRE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Candida species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to 10% in ELBW</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See Chapter 3 below</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See Chapter 3</w:t>
            </w:r>
          </w:p>
        </w:tc>
      </w:tr>
    </w:tbl>
    <w:p>
      <w:pPr>
        <w:spacing w:after="120"/>
      </w:pPr>
    </w:p>
    <w:p>
      <w:pPr>
        <w:pStyle w:val="Heading2"/>
      </w:pPr>
      <w:r>
        <w:t xml:space="preserve">2.2 LOS Prevention (CLABSI Bundle)</w:t>
      </w:r>
    </w:p>
    <w:p>
      <w:pPr>
        <w:spacing w:after="120" w:line="276"/>
      </w:pPr>
      <w:r>
        <w:t xml:space="preserve">Central line-associated bloodstream infections (CLABSIs) are the most preventable cause of LOS. The CLABSI prevention bundle includes: hand hygiene before and after every line access; maximal barrier precautions during insertion (cap, mask, sterile gown, sterile gloves, full-body sterile drape); chlorhexidine skin antisepsis for insertion (use with caution in ELBW; consider povidone-iodine for less than 26 weeks); daily assessment of line necessity (remove ASAP when no longer needed); hub disinfection with 70 percent isopropyl alcohol for 15 seconds before every access (scrub the hub); dressing changes per protocol (typically every 7 days for transparent dressings); and standardized line maintenance procedures. Post-bundle CLABSI rates should be less than 1.0 per 1000 line-days.</w:t>
      </w:r>
    </w:p>
    <w:p>
      <w:pPr>
        <w:pStyle w:val="Heading2"/>
      </w:pPr>
      <w:r>
        <w:t xml:space="preserve">2.3 LOS Empiric Treatment</w:t>
      </w:r>
    </w:p>
    <w:p>
      <w:pPr>
        <w:spacing w:after="120" w:line="276"/>
      </w:pPr>
      <w:r>
        <w:t xml:space="preserve">Empiric antibiotic regimen for suspected LOS: Vancomycin (15 mg/kg IV q8 to 12h based on GA and renal function; trough target 10 to 15 mcg/mL) plus gentamicin (or cefotaxime if meningitis suspected). Vancomycin covers CoNS, MSSA, MRSA, and Enterococcus. Gentamicin provides gram-negative coverage. Adjust empiric regimen based on local antibiogram, clinical presentation, and culture results.</w:t>
      </w:r>
    </w:p>
    <w:p>
      <w:r>
        <w:br w:type="page"/>
      </w:r>
    </w:p>
    <w:p>
      <w:pPr>
        <w:pStyle w:val="Heading1"/>
      </w:pPr>
      <w:r>
        <w:t xml:space="preserve">Chapter 3: Fungal Sepsis</w:t>
      </w:r>
    </w:p>
    <w:p>
      <w:pPr>
        <w:spacing w:after="120" w:line="276"/>
      </w:pPr>
      <w:r>
        <w:t xml:space="preserve">Invasive candidiasis is a significant cause of morbidity and mortality in ELBW infants, affecting 4 to 16 percent of infants less than 1000 g. Candida albicans and Candida parapsilosis are the most common species. Mortality is 20 to 40 percent, and survivors have high rates of neurodevelopmental impairment, particularly when Candida meningitis is present.</w:t>
      </w:r>
    </w:p>
    <w:p>
      <w:pPr>
        <w:pStyle w:val="Heading2"/>
      </w:pPr>
      <w:r>
        <w:t xml:space="preserve">3.1 Risk Factors for Invasive Candidiasis</w:t>
      </w:r>
    </w:p>
    <w:p>
      <w:pPr>
        <w:pStyle w:val="ListParagraph"/>
        <w:numPr>
          <w:ilvl w:val="0"/>
          <w:numId w:val="2"/>
        </w:numPr>
        <w:spacing w:after="60" w:line="260"/>
      </w:pPr>
      <w:r>
        <w:t xml:space="preserve">Birth weight less than 1000 g (strongest risk factor)</w:t>
      </w:r>
    </w:p>
    <w:p>
      <w:pPr>
        <w:pStyle w:val="ListParagraph"/>
        <w:numPr>
          <w:ilvl w:val="0"/>
          <w:numId w:val="2"/>
        </w:numPr>
        <w:spacing w:after="60" w:line="260"/>
      </w:pPr>
      <w:r>
        <w:t xml:space="preserve">Broad-spectrum antibiotics, especially third-generation cephalosporins (cefotaxime)</w:t>
      </w:r>
    </w:p>
    <w:p>
      <w:pPr>
        <w:pStyle w:val="ListParagraph"/>
        <w:numPr>
          <w:ilvl w:val="0"/>
          <w:numId w:val="2"/>
        </w:numPr>
        <w:spacing w:after="60" w:line="260"/>
      </w:pPr>
      <w:r>
        <w:t xml:space="preserve">Central venous catheters (primary portal of entry)</w:t>
      </w:r>
    </w:p>
    <w:p>
      <w:pPr>
        <w:pStyle w:val="ListParagraph"/>
        <w:numPr>
          <w:ilvl w:val="0"/>
          <w:numId w:val="2"/>
        </w:numPr>
        <w:spacing w:after="60" w:line="260"/>
      </w:pPr>
      <w:r>
        <w:t xml:space="preserve">Prolonged parenteral nutrition (dextrose is a substrate for Candida growth)</w:t>
      </w:r>
    </w:p>
    <w:p>
      <w:pPr>
        <w:pStyle w:val="ListParagraph"/>
        <w:numPr>
          <w:ilvl w:val="0"/>
          <w:numId w:val="2"/>
        </w:numPr>
        <w:spacing w:after="60" w:line="260"/>
      </w:pPr>
      <w:r>
        <w:t xml:space="preserve">Postnatal corticosteroids (immunosuppression)</w:t>
      </w:r>
    </w:p>
    <w:p>
      <w:pPr>
        <w:pStyle w:val="ListParagraph"/>
        <w:numPr>
          <w:ilvl w:val="0"/>
          <w:numId w:val="2"/>
        </w:numPr>
        <w:spacing w:after="60" w:line="260"/>
      </w:pPr>
      <w:r>
        <w:t xml:space="preserve">Abdominal surgery or NEC (GI mucosal disruption)</w:t>
      </w:r>
    </w:p>
    <w:p>
      <w:pPr>
        <w:pStyle w:val="ListParagraph"/>
        <w:numPr>
          <w:ilvl w:val="0"/>
          <w:numId w:val="2"/>
        </w:numPr>
        <w:spacing w:after="60" w:line="260"/>
      </w:pPr>
      <w:r>
        <w:t xml:space="preserve">H2 blockers or PPIs (elevated gastric pH promotes Candida colonization)</w:t>
      </w:r>
    </w:p>
    <w:p>
      <w:pPr>
        <w:pStyle w:val="Heading2"/>
      </w:pPr>
      <w:r>
        <w:t xml:space="preserve">3.2 Fluconazole Prophylaxis</w:t>
      </w:r>
    </w:p>
    <w:p>
      <w:pPr>
        <w:spacing w:after="120" w:line="276"/>
      </w:pPr>
      <w:r>
        <w:t xml:space="preserve">Fluconazole prophylaxis (3 to 6 mg/kg IV or PO, twice weekly for 6 weeks or until central lines removed) has been shown in multiple RCTs to reduce invasive candidiasis by 80 to 90 percent in ELBW infants. It is recommended by the Infectious Diseases Society of America (IDSA) for NICUs with high Candida infection rates (greater than 5 percent in VLBW). Many US NICUs have adopted fluconazole prophylaxis for infants less than 750 g or less than 25 weeks. Azole resistance surveillance is important with widespread prophylaxis use.</w:t>
      </w:r>
    </w:p>
    <w:p>
      <w:pPr>
        <w:pStyle w:val="Heading2"/>
      </w:pPr>
      <w:r>
        <w:t xml:space="preserve">3.3 Treatment of Invasive Candidiasis</w:t>
      </w:r>
    </w:p>
    <w:p>
      <w:pPr>
        <w:spacing w:after="120" w:line="276"/>
      </w:pPr>
      <w:r>
        <w:t xml:space="preserve">First-line: Amphotericin B deoxycholate 1 mg/kg/day IV (preferred in neonates; better CNS penetration than lipid formulations; nephrotoxicity is less common in neonates than adults). Duration: 3 weeks minimum after first negative blood culture. All central venous catheters should be removed as soon as feasible (catheter biofilm is a persistent source). Obtain lumbar puncture and ophthalmologic examination (endophthalmitis screening). Renal and hepatic ultrasound to evaluate for abscess formation. Fluconazole 12 mg/kg IV or PO is an alternative for C. albicans and C. parapsilosis (not active against C. krusei or C. glabrata). Echinocandins (micafungin 10 mg/kg/day) are emerging as alternatives with good safety profiles in neonates.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Neonatal Sepsis: EOS, LOS, and Fungal — Comprehensive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2026-03-17T00:53:03.244Z</dcterms:created>
  <dcterms:modified xsi:type="dcterms:W3CDTF">2026-03-17T00:53:03.244Z</dcterms:modified>
</cp:coreProperties>
</file>

<file path=docProps/custom.xml><?xml version="1.0" encoding="utf-8"?>
<Properties xmlns="http://schemas.openxmlformats.org/officeDocument/2006/custom-properties" xmlns:vt="http://schemas.openxmlformats.org/officeDocument/2006/docPropsVTypes"/>
</file>