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Hypoxic-Ischemic Encephalopathy</w:t>
      </w:r>
    </w:p>
    <w:p>
      <w:pPr>
        <w:spacing w:after="200"/>
        <w:jc w:val="center"/>
      </w:pPr>
      <w:r>
        <w:rPr>
          <w:rFonts w:ascii="Arial" w:cs="Arial" w:eastAsia="Arial" w:hAnsi="Arial"/>
          <w:color w:val="1A7A6D"/>
          <w:sz w:val="30"/>
          <w:szCs w:val="30"/>
        </w:rPr>
        <w:t xml:space="preserve">Birth Asphyxia, Therapeutic Hypothermia, and Neurodevelopmental Follow-up</w:t>
      </w:r>
    </w:p>
    <w:p>
      <w:pPr>
        <w:spacing w:after="200"/>
        <w:jc w:val="center"/>
      </w:pPr>
      <w:r>
        <w:rPr>
          <w:rFonts w:ascii="Arial" w:cs="Arial" w:eastAsia="Arial" w:hAnsi="Arial"/>
          <w:i/>
          <w:iCs/>
          <w:sz w:val="22"/>
          <w:szCs w:val="22"/>
        </w:rPr>
        <w:t xml:space="preserve">Clinical Guide for Stabilization and Cooling Centers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Definition and Pathophysiology</w:t>
      </w:r>
    </w:p>
    <w:p>
      <w:pPr>
        <w:spacing w:after="120" w:line="276"/>
      </w:pPr>
      <w:r>
        <w:t xml:space="preserve">Hypoxic-ischemic encephalopathy (HIE) is a clinical syndrome of neurologic dysfunction in the newborn resulting from perinatal hypoxia-ischemia. It affects approximately 1 to 3 per 1000 live term births in developed countries and remains a leading cause of neonatal death, cerebral palsy, and neurodevelopmental disability. The pathophysiology involves two phases of injury: a primary energy failure during the hypoxic-ischemic insult, followed by a latent period of 6 to 15 hours, and then a secondary energy failure driven by mitochondrial dysfunction, excitotoxicity (glutamate release), calcium influx, free radical generation, and apoptotic cell death.</w:t>
      </w:r>
    </w:p>
    <w:p>
      <w:pPr>
        <w:spacing w:after="120" w:line="276"/>
      </w:pPr>
      <w:r>
        <w:t xml:space="preserve">The therapeutic window for intervention (specifically therapeutic hypothermia) exists during the latent phase between primary and secondary injury, which is why cooling must be initiated within 6 hours of birth. Cooling to 33 to 34 degrees Celsius for 72 hours reduces brain metabolic rate by approximately 5 percent per degree Celsius, decreases excitatory neurotransmitter release, reduces free radical production, and suppresses the apoptotic cascade, thereby limiting secondary injury.</w:t>
      </w:r>
    </w:p>
    <w:p>
      <w:pPr>
        <w:pStyle w:val="Heading2"/>
      </w:pPr>
      <w:r>
        <w:t xml:space="preserve">1.1 Sarnat Staging of HIE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Feature</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Stage I (Mild)</w:t>
            </w:r>
          </w:p>
        </w:tc>
        <w:tc>
          <w:tcPr>
            <w:tcW w:type="dxa" w:w="2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Stage II (Moderate)</w:t>
            </w:r>
          </w:p>
        </w:tc>
        <w:tc>
          <w:tcPr>
            <w:tcW w:type="dxa" w:w="2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Stage III (Severe)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Level of consciousness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Hyperalert, irritable</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Lethargic</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Stuporous, comatose</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Tone</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Normal or mildly increased</w:t>
            </w:r>
          </w:p>
        </w:tc>
        <w:tc>
          <w:tcPr>
            <w:tcW w:type="dxa" w:w="2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Hypotonia (marked)</w:t>
            </w:r>
          </w:p>
        </w:tc>
        <w:tc>
          <w:tcPr>
            <w:tcW w:type="dxa" w:w="2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Flaccid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Posture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Mild distal flexion</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Strong distal flexion</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Intermittent decerebration</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Reflexes (suck)</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Weak</w:t>
            </w:r>
          </w:p>
        </w:tc>
        <w:tc>
          <w:tcPr>
            <w:tcW w:type="dxa" w:w="2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Weak or absent</w:t>
            </w:r>
          </w:p>
        </w:tc>
        <w:tc>
          <w:tcPr>
            <w:tcW w:type="dxa" w:w="2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Absent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Reflexes (Moro)</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Strong, low threshold</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Weak, incomplete, high threshold</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Absent</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Autonomic function</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Sympathetic: dilated pupils, tachycardia</w:t>
            </w:r>
          </w:p>
        </w:tc>
        <w:tc>
          <w:tcPr>
            <w:tcW w:type="dxa" w:w="2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Parasympathetic: constricted pupils, bradycardia</w:t>
            </w:r>
          </w:p>
        </w:tc>
        <w:tc>
          <w:tcPr>
            <w:tcW w:type="dxa" w:w="2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Both depressed: variable pupils, variable HR, may need vasopressors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Seizures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None</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Common (focal or multifocal)</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Uncommon (suppressed cortical activity); may have subclinical seizures on EEG</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EEG</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Normal or slightly abnormal</w:t>
            </w:r>
          </w:p>
        </w:tc>
        <w:tc>
          <w:tcPr>
            <w:tcW w:type="dxa" w:w="2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Moderate voltage abnormalities; discontinuous pattern</w:t>
            </w:r>
          </w:p>
        </w:tc>
        <w:tc>
          <w:tcPr>
            <w:tcW w:type="dxa" w:w="2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Severely abnormal: burst-suppression or isoelectric</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Duration of symptoms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24 hours</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 to 14 days</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Hours to weeks</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Outcome</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 normal (does not require cooling)</w:t>
            </w:r>
          </w:p>
        </w:tc>
        <w:tc>
          <w:tcPr>
            <w:tcW w:type="dxa" w:w="2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If cooled: 55 to 60% normal; without cooling: 30 to 40% normal</w:t>
            </w:r>
          </w:p>
        </w:tc>
        <w:tc>
          <w:tcPr>
            <w:tcW w:type="dxa" w:w="2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If cooled: 20 to 25% survival without severe impairment; without cooling: 5 to 10%</w:t>
            </w:r>
          </w:p>
        </w:tc>
      </w:tr>
    </w:tbl>
    <w:p>
      <w:r>
        <w:br w:type="page"/>
      </w:r>
    </w:p>
    <w:p>
      <w:pPr>
        <w:pStyle w:val="Heading1"/>
      </w:pPr>
      <w:r>
        <w:t xml:space="preserve">Chapter 2: Eligibility for Therapeutic Hypothermia</w:t>
      </w:r>
    </w:p>
    <w:p>
      <w:pPr>
        <w:spacing w:after="120" w:line="276"/>
      </w:pPr>
      <w:r>
        <w:t xml:space="preserve">Current US criteria for therapeutic hypothermia (based on the NICHD Neonatal Research Network whole-body cooling trial and subsequent studies) require ALL of the following:</w:t>
      </w:r>
    </w:p>
    <w:p>
      <w:pPr>
        <w:pStyle w:val="ListParagraph"/>
        <w:numPr>
          <w:ilvl w:val="0"/>
          <w:numId w:val="2"/>
        </w:numPr>
        <w:spacing w:after="60" w:line="260"/>
      </w:pPr>
      <w:r>
        <w:rPr>
          <w:b/>
          <w:bCs/>
        </w:rPr>
        <w:t xml:space="preserve">Criterion A (Evidence of perinatal event): </w:t>
      </w:r>
      <w:r>
        <w:t xml:space="preserve">At least ONE of: Apgar score 5 or less at 10 minutes; continued need for resuscitation at 10 minutes (PPV or more); cord or postnatal (within 1 hour) arterial pH less than 7.00; cord or postnatal base deficit 16 mEq/L or greater; OR sentinel event (uterine rupture, placental abruption, cord prolapse, maternal cardiac arrest)</w:t>
      </w:r>
    </w:p>
    <w:p>
      <w:pPr>
        <w:pStyle w:val="ListParagraph"/>
        <w:numPr>
          <w:ilvl w:val="0"/>
          <w:numId w:val="2"/>
        </w:numPr>
        <w:spacing w:after="60" w:line="260"/>
      </w:pPr>
      <w:r>
        <w:rPr>
          <w:b/>
          <w:bCs/>
        </w:rPr>
        <w:t xml:space="preserve">Criterion B (Evidence of encephalopathy): </w:t>
      </w:r>
      <w:r>
        <w:t xml:space="preserve">Modified Sarnat examination showing moderate or severe encephalopathy: altered level of consciousness (lethargy or stupor/coma) PLUS at least ONE of: hypotonia, abnormal reflexes (including weak or absent suck), or clinical seizures</w:t>
      </w:r>
    </w:p>
    <w:p>
      <w:pPr>
        <w:pStyle w:val="ListParagraph"/>
        <w:numPr>
          <w:ilvl w:val="0"/>
          <w:numId w:val="2"/>
        </w:numPr>
        <w:spacing w:after="60" w:line="260"/>
      </w:pPr>
      <w:r>
        <w:rPr>
          <w:b/>
          <w:bCs/>
        </w:rPr>
        <w:t xml:space="preserve">Criterion C (Gestational age and timing): </w:t>
      </w:r>
      <w:r>
        <w:t xml:space="preserve">Gestational age 36 weeks or greater; postnatal age 6 hours or less at time of cooling initiation</w:t>
      </w:r>
    </w:p>
    <w:p>
      <w:pPr>
        <w:pStyle w:val="Heading2"/>
      </w:pPr>
      <w:r>
        <w:t xml:space="preserve">2.1 Role of the Referring Hospital</w:t>
      </w:r>
    </w:p>
    <w:p>
      <w:pPr>
        <w:spacing w:after="120" w:line="276"/>
      </w:pPr>
      <w:r>
        <w:t xml:space="preserve">If HIE is suspected at a Level I or Level II facility: 1) Do NOT actively warm the infant (turn off radiant warmer; remove hats and blankets). 2) Allow passive cooling toward 33 to 34 degrees C (monitor rectal temperature every 15 minutes; do not allow temperature to fall below 32 degrees C). 3) Contact the receiving cooling center IMMEDIATELY. 4) Activate transport. 5) Perform Sarnat examination and document findings. 6) Stabilize per S.T.A.B.L.E. (maintain glucose, treat seizures with phenobarbital if they occur, maintain perfusion). 7) Avoid hyperthermia at all costs (every degree above 37 degrees C worsens injury).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3"/>
              <w:left w:val="single" w:color="C53030" w:sz="3"/>
              <w:bottom w:val="single" w:color="C53030" w:sz="1"/>
              <w:right w:val="single" w:color="C53030" w:sz="1"/>
            </w:tcBorders>
            <w:shd w:fill="FDE8E8" w:val="clear"/>
            <w:tcMar>
              <w:top w:type="dxa" w:w="100"/>
              <w:left w:type="dxa" w:w="150"/>
              <w:bottom w:type="dxa" w:w="100"/>
              <w:right w:type="dxa" w:w="150"/>
            </w:tcMar>
          </w:tcPr>
          <w:p>
            <w:pPr>
              <w:spacing w:after="60"/>
            </w:pPr>
            <w:r>
              <w:rPr>
                <w:b/>
                <w:bCs/>
                <w:color w:val="C53030"/>
                <w:sz w:val="22"/>
                <w:szCs w:val="22"/>
              </w:rPr>
              <w:t xml:space="preserve">WARNING</w:t>
            </w:r>
          </w:p>
          <w:p>
            <w:pPr>
              <w:spacing w:after="0"/>
            </w:pPr>
            <w:r>
              <w:rPr>
                <w:sz w:val="20"/>
                <w:szCs w:val="20"/>
              </w:rPr>
              <w:t xml:space="preserve">TIME IS CRITICAL: Therapeutic hypothermia must be initiated within 6 HOURS of birth. Every minute of delay reduces efficacy. Do NOT delay passive cooling while awaiting transport. Do NOT delay transport for diagnostic workup. The Sarnat exam and passive cooling can be performed simultaneously. If the infant meets criteria, COOL FIRST and evaluate further at the cooling center.</w:t>
            </w:r>
          </w:p>
        </w:tc>
      </w:tr>
    </w:tbl>
    <w:p>
      <w:r>
        <w:br w:type="page"/>
      </w:r>
    </w:p>
    <w:p>
      <w:pPr>
        <w:pStyle w:val="Heading1"/>
      </w:pPr>
      <w:r>
        <w:t xml:space="preserve">Chapter 3: Therapeutic Hypothermia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2200"/>
        <w:gridCol w:w="32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Phase</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Duration</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Target Temp</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Monitoring</w:t>
            </w:r>
          </w:p>
        </w:tc>
        <w:tc>
          <w:tcPr>
            <w:tcW w:type="dxa" w:w="32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Nursing Actions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Induction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Until target reached (1 to 4 hours)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Cool toward 33.5 degrees C (plus/minus 0.5)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Rectal temp continuous; VS q15min; aEEG/EEG continuous</w:t>
            </w:r>
          </w:p>
        </w:tc>
        <w:tc>
          <w:tcPr>
            <w:tcW w:type="dxa" w:w="3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Turn off warmer; remove clothing; apply cooling device (Blanketrol, CritiCool, or similar); monitor temp closely to prevent overshoot below 32 degrees C</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Maintenance</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72 hours (from initiation of cooling, NOT from reaching target)</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33.0 to 34.0 degrees C (rectal)</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Rectal temp continuous; VS q30min; continuous EEG or aEEG; strict I and O; labs (BMP, CBC, coags, LFTs) q12 to 24h</w:t>
            </w:r>
          </w:p>
        </w:tc>
        <w:tc>
          <w:tcPr>
            <w:tcW w:type="dxa" w:w="32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Maintain target temp; skin assessment q2h (fat necrosis risk); gentle handling; cluster care; pain assessment (N-PASS); positioning (midline, HOB 15 to 30 degrees)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Rewarming</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 to 12 hours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 0.5 degrees C per hour until 36.5 degrees C</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Rectal temp continuous; VS q15min during rewarming; EEG continuous; frequent labs</w:t>
            </w:r>
          </w:p>
        </w:tc>
        <w:tc>
          <w:tcPr>
            <w:tcW w:type="dxa" w:w="3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SLOW rewarming (0.5 degrees C/hr MAXIMUM; faster rewarming causes seizures and hemodynamic instability); adjust cooling device gradually; monitor for rebound seizures; monitor for hypotension during rewarming</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Post-rewarming</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24 to 48 hours</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Maintain 36.5 to 37.0 degrees C (AVOID HYPERTHERMIA)</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Temp q1 to 2h; EEG 24h post-rewarming minimum; MRI at 4 to 7 days</w:t>
            </w:r>
          </w:p>
        </w:tc>
        <w:tc>
          <w:tcPr>
            <w:tcW w:type="dxa" w:w="32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Prevent hyperthermia (associated with worse outcomes even after cooling); continue neuro-monitoring; begin gradual feeding when stable; family support and education</w:t>
            </w:r>
          </w:p>
        </w:tc>
      </w:tr>
    </w:tbl>
    <w:p>
      <w:pPr>
        <w:spacing w:after="120"/>
      </w:pPr>
    </w:p>
    <w:p>
      <w:pPr>
        <w:pStyle w:val="Heading2"/>
      </w:pPr>
      <w:r>
        <w:t xml:space="preserve">3.1 Complications of Therapeutic Hypothermia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Complication</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Mechanism</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Monitoring</w:t>
            </w:r>
          </w:p>
        </w:tc>
        <w:tc>
          <w:tcPr>
            <w:tcW w:type="dxa" w:w="3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Management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Sinus bradycardia</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Normal physiologic response to hypothermia</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Continuous cardiac monitor; HR typically 80 to 100 during cooling</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Expected; treat only if hemodynamically significant (hypotension, poor perfusion)</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Thrombocytopenia</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Cold-induced platelet sequestration; bone marrow suppression</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Platelet count q12 to 24h</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Transfuse if less than 50,000 with active bleeding or less than 30,000 without bleeding</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Coagulopathy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Temperature-dependent enzyme kinetics slow coagulation cascade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PT/INR, aPTT, fibrinogen q12 to 24h</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FFP for active bleeding or pre-procedure; cryoprecipitate for fibrinogen less than 100</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Subcutaneous fat necrosis</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Cold-induced crystallization of fat; appears as firm subcutaneous nodules</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Skin assessment q2h; measure and document any lesions</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Usually self-resolving; monitor calcium (can cause late hypercalcemia weeks to months later)</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Persistent pulmonary hypertension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May coexist with HIE; hypothermia may worsen pulmonary vasoconstriction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 and post-ductal SpO2; echocardiography if concerned</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iNO if PPHN confirmed; optimize oxygenation and ventilation; may need to balance PH management with cooling</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Seizures</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Common in HIE; may worsen during rewarming</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Continuous EEG or aEEG throughout cooling and 24h post-rewarming</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Phenobarbital 20 mg/kg IV first-line; additional 5 to 10 mg/kg boluses up to total 40 mg/kg; second-line: levetiracetam 40 to 60 mg/kg or fosphenytoin 20 mg PE/kg</w:t>
            </w:r>
          </w:p>
        </w:tc>
      </w:tr>
    </w:tbl>
    <w:p>
      <w:r>
        <w:br w:type="page"/>
      </w:r>
    </w:p>
    <w:p>
      <w:pPr>
        <w:pStyle w:val="Heading1"/>
      </w:pPr>
      <w:r>
        <w:t xml:space="preserve">Chapter 4: Neuroimaging and Prognosis</w:t>
      </w:r>
    </w:p>
    <w:p>
      <w:pPr>
        <w:spacing w:after="120" w:line="276"/>
      </w:pPr>
      <w:r>
        <w:t xml:space="preserve">MRI is the gold standard for prognostication in HIE. It should be performed at 4 to 7 days of life (earlier imaging may underestimate injury). Key MRI patterns: basal ganglia and thalamus injury (watershed pattern associated with acute, severe hypoxia-ischemia; poor motor outcome; strongly associated with CP), white matter injury (more associated with partial, prolonged hypoxia; may predict cognitive impairment), and cortical injury (variable patterns depending on severity and duration of insult).</w:t>
      </w:r>
    </w:p>
    <w:p>
      <w:pPr>
        <w:spacing w:after="120" w:line="276"/>
      </w:pPr>
      <w:r>
        <w:t xml:space="preserve">The NICHD whole-body cooling trial demonstrated that therapeutic hypothermia reduced the composite outcome of death or moderate-severe disability at 18 to 22 months from 62 percent to 44 percent (NNT 6). Follow-up at 6 to 7 years confirmed sustained benefit. Based on these results, therapeutic hypothermia is now standard of care for moderate to severe HIE in term and near-term infants.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HIE: Birth Asphyxia, Therapeutic Hypothermia, and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2026-03-17T00:57:41.358Z</dcterms:created>
  <dcterms:modified xsi:type="dcterms:W3CDTF">2026-03-17T00:57:41.358Z</dcterms:modified>
</cp:coreProperties>
</file>

<file path=docProps/custom.xml><?xml version="1.0" encoding="utf-8"?>
<Properties xmlns="http://schemas.openxmlformats.org/officeDocument/2006/custom-properties" xmlns:vt="http://schemas.openxmlformats.org/officeDocument/2006/docPropsVTypes"/>
</file>