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Patent Ductus Arteriosus</w:t>
      </w:r>
    </w:p>
    <w:p>
      <w:pPr>
        <w:spacing w:after="200"/>
        <w:jc w:val="center"/>
      </w:pPr>
      <w:r>
        <w:rPr>
          <w:rFonts w:ascii="Arial" w:cs="Arial" w:eastAsia="Arial" w:hAnsi="Arial"/>
          <w:color w:val="1A7A6D"/>
          <w:sz w:val="30"/>
          <w:szCs w:val="30"/>
        </w:rPr>
        <w:t xml:space="preserve">Pathophysiology, Hemodynamic Assessment, and Treatment</w:t>
      </w:r>
    </w:p>
    <w:p>
      <w:pPr>
        <w:spacing w:after="200"/>
        <w:jc w:val="center"/>
      </w:pPr>
      <w:r>
        <w:rPr>
          <w:rFonts w:ascii="Arial" w:cs="Arial" w:eastAsia="Arial" w:hAnsi="Arial"/>
          <w:i/>
          <w:iCs/>
          <w:sz w:val="22"/>
          <w:szCs w:val="22"/>
        </w:rPr>
        <w:t xml:space="preserve">For Level II and NICU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Physiology and Pathophysiology</w:t>
      </w:r>
    </w:p>
    <w:p>
      <w:pPr>
        <w:spacing w:after="120" w:line="276"/>
      </w:pPr>
      <w:r>
        <w:t xml:space="preserve">The ductus arteriosus is a fetal vascular structure connecting the main pulmonary artery to the descending aorta, allowing blood to bypass the non-functioning fetal lungs. In utero, it is maintained patent by low oxygen tension and circulating prostaglandins (PGE2 and PGI2) produced by the placenta. At birth, rising PaO2 and falling prostaglandin levels trigger constriction of the ductal smooth muscle, producing functional closure within 24 to 72 hours in term infants. Anatomic closure (fibrosis converting the ductus to the ligamentum arteriosum) is complete by 2 to 3 weeks in most term infants.</w:t>
      </w:r>
    </w:p>
    <w:p>
      <w:pPr>
        <w:spacing w:after="120" w:line="276"/>
      </w:pPr>
      <w:r>
        <w:t xml:space="preserve">In preterm infants, the ductus may fail to close due to immature ductal smooth muscle with reduced sensitivity to oxygen, persistent elevation of circulating prostaglandins, and reduced ductal wall thickness. The incidence of clinically significant PDA is inversely proportional to gestational age: 30 to 40 percent of VLBW and 55 to 70 percent of ELBW infants have a PDA beyond 3 to 4 days of life.</w:t>
      </w:r>
    </w:p>
    <w:p>
      <w:pPr>
        <w:spacing w:after="120" w:line="276"/>
      </w:pPr>
      <w:r>
        <w:t xml:space="preserve">When the PDA remains patent after birth and pulmonary vascular resistance falls, blood flows left-to-right from the aorta to the pulmonary artery (L-to-R ductal shunt). The hemodynamic consequences depend on shunt volume: a small PDA may be clinically insignificant, while a large PDA produces pulmonary overcirculation (increased pulmonary blood flow leading to pulmonary edema, increased work of breathing, and BPD) and systemic hypoperfusion (diastolic steal from the systemic circulation through the ductus into the pulmonary artery, producing low diastolic blood pressure, poor end-organ perfusion, and potentially contributing to NEC, renal dysfunction, and IVH).</w:t>
      </w:r>
    </w:p>
    <w:p>
      <w:pPr>
        <w:pStyle w:val="Heading2"/>
      </w:pPr>
      <w:r>
        <w:t xml:space="preserve">1.1 Clinical Signs of Hemodynamically Significant PDA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7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(systolic-diastolic) or systolic murmur best heard at left upper sternal border; hyperdynamic precordium (visible and palpable); wide pulse pressure (high systolic, low diastolic BP); bounding peripheral pulses; tachycardia</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7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Increasing oxygen requirement; increasing ventilatory support; difficulty weaning; pulmonary edema on CXR (increased vascular markings, cardiomegaly); worsening respiratory distress after initial improvement from RDS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Renal</w:t>
            </w:r>
          </w:p>
        </w:tc>
        <w:tc>
          <w:tcPr>
            <w:tcW w:type="dxa" w:w="7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Oliguria (less than 1 mL/kg/hr); rising creatinine; fluid retention with weight gain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w:t>
            </w:r>
          </w:p>
        </w:tc>
        <w:tc>
          <w:tcPr>
            <w:tcW w:type="dxa" w:w="7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intolerance (abdominal distension, increased residuals); NEC risk (diastolic steal reduces mesenteric perfusion)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Echocardiographic</w:t>
            </w:r>
          </w:p>
        </w:tc>
        <w:tc>
          <w:tcPr>
            <w:tcW w:type="dxa" w:w="7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LA:Ao ratio greater than 1.4 to 1.5 (left atrial dilation from increased pulmonary venous return); ductal diameter greater than 1.5 to 2.0 mm; left-to-right shunt with retrograde diastolic flow in descending aorta; increased LV output; E/A ratio abnormalities</w:t>
            </w:r>
          </w:p>
        </w:tc>
      </w:tr>
    </w:tbl>
    <w:p>
      <w:r>
        <w:br w:type="page"/>
      </w:r>
    </w:p>
    <w:p>
      <w:pPr>
        <w:pStyle w:val="Heading1"/>
      </w:pPr>
      <w:r>
        <w:t xml:space="preserve">Chapter 2: Management Approaches</w:t>
      </w:r>
    </w:p>
    <w:p>
      <w:pPr>
        <w:spacing w:after="120" w:line="276"/>
      </w:pPr>
      <w:r>
        <w:t xml:space="preserve">PDA management remains one of the most debated topics in neonatology. The three approaches are: conservative management (watchful waiting with supportive care), pharmacologic closure, and surgical closure.</w:t>
      </w:r>
    </w:p>
    <w:p>
      <w:pPr>
        <w:pStyle w:val="Heading2"/>
      </w:pPr>
      <w:r>
        <w:t xml:space="preserve">2.1 Conservative Management</w:t>
      </w:r>
    </w:p>
    <w:p>
      <w:pPr>
        <w:spacing w:after="120" w:line="276"/>
      </w:pPr>
      <w:r>
        <w:t xml:space="preserve">An increasing body of evidence supports conservative management (fluid restriction, respiratory support optimization, adequate nutrition) for many PDAs, particularly in the absence of clear hemodynamic significance. The PDA-TOLERATE trial (2019) demonstrated that conservative management of moderate PDAs in infants 23 to 30 weeks did not increase the composite outcome of NEC, BPD, or death compared to early pharmacologic treatment. Many experts now advocate treating only PDAs that are clearly hemodynamically significant (large L-to-R shunt with systemic effects) rather than treating all echocardiographically detected PDAs.</w:t>
      </w:r>
    </w:p>
    <w:p>
      <w:pPr>
        <w:pStyle w:val="Heading2"/>
      </w:pPr>
      <w:r>
        <w:t xml:space="preserve">2.2 Pharmacologic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800"/>
        <w:gridCol w:w="800"/>
        <w:gridCol w:w="35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Dose</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Route</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Success Rate</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Side Effects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Ibuprofen (IV)</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COX inhibitor; blocks prostaglandin synthesis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mg/kg initial; then 5 mg/kg at 24h and 48h (3 doses total)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over 15 min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70 to 80%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Renal: oliguria, elevated creatinine (usually transient); GI: feeding intolerance, NEC risk; platelet dysfunction</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Ibuprofen (PO/oral)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mechanism</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mg/kg initial; then 5 mg/kg at 24h and 48h</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 (may have higher efficacy than IV per some studies)</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75 to 85%</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IV; may have better efficacy per recent meta-analyses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Indomethacin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COX inhibitor (non-selective)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0.1 to 0.2 mg/kg q12 to 24h x 3 doses (dose varies by postnatal age)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over 30 min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More renal effects than ibuprofen; cerebral and mesenteric vasoconstriction; NEC risk; hold if UOP less than 1 mL/kg/hr</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Acetaminophen (paracetamol)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Inhibits prostaglandin synthesis via peroxidase pathway</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mg/kg q6h PO or IV x 3 to 7 days</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 or IV</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to 80% (variable)</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Fewer renal effects; may be first-line when NSAIDs contraindicated; monitor LFTs; emerging evidence</w:t>
            </w:r>
          </w:p>
        </w:tc>
      </w:tr>
    </w:tbl>
    <w:p>
      <w:pPr>
        <w:spacing w:after="120"/>
      </w:pPr>
    </w:p>
    <w:p>
      <w:pPr>
        <w:spacing w:after="120" w:line="276"/>
      </w:pPr>
      <w:r>
        <w:t xml:space="preserve">Contraindications to pharmacologic treatment: active NEC or GI perforation; significant renal impairment (creatinine greater than 1.8 mg/dL or UOP less than 0.6 mL/kg/hr); platelet count less than 50,000; active bleeding; ductal-dependent cardiac lesion (where the PDA is needed for systemic or pulmonary blood flow).</w:t>
      </w:r>
    </w:p>
    <w:p>
      <w:pPr>
        <w:pStyle w:val="Heading2"/>
      </w:pPr>
      <w:r>
        <w:t xml:space="preserve">2.3 Surgical and Transcatheter Closure</w:t>
      </w:r>
    </w:p>
    <w:p>
      <w:pPr>
        <w:spacing w:after="120" w:line="276"/>
      </w:pPr>
      <w:r>
        <w:t xml:space="preserve">Surgical PDA ligation is reserved for infants who fail pharmacologic treatment (or for whom it is contraindicated) and who have a hemodynamically significant PDA causing clinical deterioration. The procedure involves a left thoracotomy with clip or suture ligation of the ductus. Complications include: vocal cord paralysis (recurrent laryngeal nerve injury, 5 to 10 percent), chylothorax, pneumothorax, post-ligation cardiac syndrome (hemodynamic instability in the first 6 to 12 hours after ligation due to acute increase in LV afterload), and the general risks of surgical anesthesia in an extremely preterm infant.</w:t>
      </w:r>
    </w:p>
    <w:p>
      <w:pPr>
        <w:spacing w:after="120" w:line="276"/>
      </w:pPr>
      <w:r>
        <w:t xml:space="preserve">Transcatheter PDA closure is increasingly available for larger preterm infants (typically greater than 700 g to 1000 g depending on institutional experience). The Amplatzer Piccolo Occluder (Abbott) is FDA-approved for PDA closure in infants 700 g or greater. Advantages include avoiding thoracotomy, potentially fewer complications than surgical ligation, and shorter procedure times. Limitations include size restrictions, need for vascular access (femoral), and risk of device embolization.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Patent Ductus Arteriosus: Pathophysiology, Assessment, and Treatment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2026-03-17T00:57:41.469Z</dcterms:created>
  <dcterms:modified xsi:type="dcterms:W3CDTF">2026-03-17T00:57:41.469Z</dcterms:modified>
</cp:coreProperties>
</file>

<file path=docProps/custom.xml><?xml version="1.0" encoding="utf-8"?>
<Properties xmlns="http://schemas.openxmlformats.org/officeDocument/2006/custom-properties" xmlns:vt="http://schemas.openxmlformats.org/officeDocument/2006/docPropsVTypes"/>
</file>