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Persistent Pulmonary Hypertension of the Newborn</w:t>
      </w:r>
    </w:p>
    <w:p>
      <w:pPr>
        <w:spacing w:after="200"/>
        <w:jc w:val="center"/>
      </w:pPr>
      <w:r>
        <w:rPr>
          <w:rFonts w:ascii="Arial" w:cs="Arial" w:eastAsia="Arial" w:hAnsi="Arial"/>
          <w:color w:val="1A7A6D"/>
          <w:sz w:val="30"/>
          <w:szCs w:val="30"/>
        </w:rPr>
        <w:t xml:space="preserve">Pathophysiology, Oxygenation Indices, and Stepwise Therapy</w:t>
      </w:r>
    </w:p>
    <w:p>
      <w:pPr>
        <w:spacing w:after="200"/>
        <w:jc w:val="center"/>
      </w:pPr>
      <w:r>
        <w:rPr>
          <w:rFonts w:ascii="Arial" w:cs="Arial" w:eastAsia="Arial" w:hAnsi="Arial"/>
          <w:i/>
          <w:iCs/>
          <w:sz w:val="22"/>
          <w:szCs w:val="22"/>
        </w:rPr>
        <w:t xml:space="preserve">For Level II Stabilization and NICU Management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Pathophysiology</w:t>
      </w:r>
    </w:p>
    <w:p>
      <w:pPr>
        <w:spacing w:after="120" w:line="276"/>
      </w:pPr>
      <w:r>
        <w:t xml:space="preserve">Persistent pulmonary hypertension of the newborn (PPHN) occurs when pulmonary vascular resistance (PVR) remains elevated after birth, preventing the normal transition from fetal to neonatal circulation. This results in right-to-left shunting through the ductus arteriosus and/or foramen ovale, producing severe, often refractory hypoxemia. PPHN affects approximately 2 per 1000 live births, with mortality of 10 to 20 percent even with optimal management.</w:t>
      </w:r>
    </w:p>
    <w:p>
      <w:pPr>
        <w:spacing w:after="120" w:line="276"/>
      </w:pPr>
      <w:r>
        <w:t xml:space="preserve">PPHN is classified by mechanism: maladaptation (functionally normal pulmonary vasculature that fails to relax; caused by perinatal asphyxia, MAS, pneumonia, sepsis; potentially reversible with vasodilator therapy); maldevelopment (structurally remodeled pulmonary vasculature with excessive muscularization; caused by chronic intrauterine hypoxia, NSAID exposure, or idiopathic; may require prolonged treatment); and underdevelopment (reduced pulmonary vascular bed; caused by CDH, pulmonary hypoplasia, oligohydramnios sequence; most difficult to treat due to insufficient vascular surface area).</w:t>
      </w:r>
    </w:p>
    <w:p>
      <w:pPr>
        <w:pStyle w:val="Heading2"/>
      </w:pPr>
      <w:r>
        <w:t xml:space="preserve">1.1 Diagnosis</w:t>
      </w:r>
    </w:p>
    <w:p>
      <w:pPr>
        <w:spacing w:after="120" w:line="276"/>
      </w:pPr>
      <w:r>
        <w:t xml:space="preserve">PPHN should be suspected in any term or near-term infant with hypoxemia disproportionate to the degree of parenchymal lung disease, particularly with a pre-ductal to post-ductal SpO2 differential greater than 5 to 10 percent (indicating right-to-left ductal shunting). Labile hypoxemia (dramatic desaturation with minimal stimulation) is characteristic. Diagnosis is confirmed by echocardiography showing: elevated estimated RVSP (tricuspid regurgitation jet velocity greater than 3 m/s); right-to-left or bidirectional shunting at the PDA and/or PFO; interventricular septal flattening or bowing toward the left ventricle; and absence of structural congenital heart disease (critical to rule out cyanotic CHD).</w:t>
      </w:r>
    </w:p>
    <w:p>
      <w:pPr>
        <w:pStyle w:val="Heading1"/>
      </w:pPr>
      <w:r>
        <w:t xml:space="preserve">Chapter 2: Oxygenation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900"/>
        <w:gridCol w:w="1000"/>
        <w:gridCol w:w="1500"/>
        <w:gridCol w:w="29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Index</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Normal</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Initiate iNO</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Consider ECMO</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Oxygenation Index (OI)</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OI = (MAP x FiO2 x 100) / PaO2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25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40 on 2 or more gases 30 min apart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arterial blood gas; most widely used; MAP = mean airway pressure on ventilator</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Oxygen Saturation Index (OSI)</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OSI = (MAP x FiO2 x 100) / SpO2</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8 (corresponds approximately to OI 15 to 25)</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12 to 16</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Non-invasive alternative when ABG not available; use pre-ductal SpO2; correlation with OI is approximate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Alveolar-arterial gradient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A-a = [(FiO2 x 713) - (PaCO2 / 0.8)] - PaO2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610 for 8+ hours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Older metric; less commonly used than OI for PPHN decision-making</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PaO2/FiO2 (P/F) ratio</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PaO2 / FiO2</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400</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40 to 60</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Simple bedside assessment; less specific than OI for PPHN</w:t>
            </w:r>
          </w:p>
        </w:tc>
      </w:tr>
    </w:tbl>
    <w:p>
      <w:r>
        <w:br w:type="page"/>
      </w:r>
    </w:p>
    <w:p>
      <w:pPr>
        <w:pStyle w:val="Heading1"/>
      </w:pPr>
      <w:r>
        <w:t xml:space="preserve">Chapter 3: Stepwise Management</w:t>
      </w:r>
    </w:p>
    <w:p>
      <w:pPr>
        <w:pStyle w:val="Heading2"/>
      </w:pPr>
      <w:r>
        <w:t xml:space="preserve">3.1 General Supportive Measures (All Patients)</w:t>
      </w:r>
    </w:p>
    <w:p>
      <w:pPr>
        <w:pStyle w:val="ListParagraph"/>
        <w:numPr>
          <w:ilvl w:val="0"/>
          <w:numId w:val="2"/>
        </w:numPr>
        <w:spacing w:after="60" w:line="260"/>
      </w:pPr>
      <w:r>
        <w:t xml:space="preserve">Optimize lung recruitment: treat underlying parenchymal disease (surfactant for RDS; antibiotics for pneumonia; gentle ventilation for MAS)</w:t>
      </w:r>
    </w:p>
    <w:p>
      <w:pPr>
        <w:pStyle w:val="ListParagraph"/>
        <w:numPr>
          <w:ilvl w:val="0"/>
          <w:numId w:val="2"/>
        </w:numPr>
        <w:spacing w:after="60" w:line="260"/>
      </w:pPr>
      <w:r>
        <w:t xml:space="preserve">Minimize stimulation: cluster care; minimize handling; adequate sedation (morphine or fentanyl infusion) to prevent agitation-induced pulmonary vasospasm</w:t>
      </w:r>
    </w:p>
    <w:p>
      <w:pPr>
        <w:pStyle w:val="ListParagraph"/>
        <w:numPr>
          <w:ilvl w:val="0"/>
          <w:numId w:val="2"/>
        </w:numPr>
        <w:spacing w:after="60" w:line="260"/>
      </w:pPr>
      <w:r>
        <w:t xml:space="preserve">Correct metabolic derangements: maintain normothermia, normoglycemia, normal calcium and magnesium; correct acidosis (pH target 7.35 to 7.45; mild alkalosis may help reduce PVR but avoid pH greater than 7.50)</w:t>
      </w:r>
    </w:p>
    <w:p>
      <w:pPr>
        <w:pStyle w:val="ListParagraph"/>
        <w:numPr>
          <w:ilvl w:val="0"/>
          <w:numId w:val="2"/>
        </w:numPr>
        <w:spacing w:after="60" w:line="260"/>
      </w:pPr>
      <w:r>
        <w:t xml:space="preserve">Hemodynamic support: maintain systemic blood pressure (MAP target at or above 50 mmHg in term infants) to reduce right-to-left shunting; volume resuscitation; vasopressors (dopamine, epinephrine, norepinephrine) as needed; milrinone for RV dysfunction</w:t>
      </w:r>
    </w:p>
    <w:p>
      <w:pPr>
        <w:pStyle w:val="ListParagraph"/>
        <w:numPr>
          <w:ilvl w:val="0"/>
          <w:numId w:val="2"/>
        </w:numPr>
        <w:spacing w:after="60" w:line="260"/>
      </w:pPr>
      <w:r>
        <w:t xml:space="preserve">Ventilation strategy: avoid overventilation (excessive PEEP can compress pulmonary vessels); avoid underventilation (atelectasis worsens V/Q mismatch); target SpO2 95 to 100 percent pre-ductal; permissive hypercapnia is NOT appropriate for PPHN (unlike BPD management)</w:t>
      </w:r>
    </w:p>
    <w:p>
      <w:pPr>
        <w:pStyle w:val="Heading2"/>
      </w:pPr>
      <w:r>
        <w:t xml:space="preserve">3.2 Inhaled Nitric Oxide (iNO)</w:t>
      </w:r>
    </w:p>
    <w:p>
      <w:pPr>
        <w:spacing w:after="120" w:line="276"/>
      </w:pPr>
      <w:r>
        <w:t xml:space="preserve">Inhaled nitric oxide is a selective pulmonary vasodilator that reduces PVR without significant systemic effects. It activates guanylate cyclase in pulmonary vascular smooth muscle, increasing cyclic GMP and producing relaxation. Any iNO that reaches the systemic circulation is rapidly inactivated by binding to hemoglobin.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Protocol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Indication</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OI 15 to 25 (or OSI 5 to 8) despite optimal ventilatory management and lung recruitment</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Starting dose</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ppm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Response assessment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Improvement in PaO2 by 20 mmHg or more (or SpO2 increase by 5 to 10 percent) within 30 to 60 minutes indicates response</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Non-responder</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no improvement at 20 ppm after 30 to 60 minutes, confirm diagnosis (repeat echo to rule out structural CHD or LV dysfunction); optimize lung recruitment; consider higher dose briefly (up to 40 ppm, though evidence for doses above 20 is limited)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Weaning</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Once stable on 20 ppm with FiO2 less than 0.60 for 4 to 6 hours: wean to 10 ppm, then 5 ppm, then 2 ppm, then 1 ppm before discontinuation. DO NOT discontinue abruptly (rebound pulmonary hypertension). Spend at least 1 to 2 hours at each step.</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Monitoring</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Methemoglobin level (target less than 5 percent; check 1 hour after initiation and at least daily); NO2 levels in circuit (less than 5 ppm)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Duration</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Typically 3 to 5 days; some require longer courses</w:t>
            </w:r>
          </w:p>
        </w:tc>
      </w:tr>
    </w:tbl>
    <w:p>
      <w:pPr>
        <w:spacing w:after="120"/>
      </w:pPr>
    </w:p>
    <w:p>
      <w:pPr>
        <w:pStyle w:val="Heading2"/>
      </w:pPr>
      <w:r>
        <w:t xml:space="preserve">3.3 ECMO Criteria</w:t>
      </w:r>
    </w:p>
    <w:p>
      <w:pPr>
        <w:spacing w:after="120" w:line="276"/>
      </w:pPr>
      <w:r>
        <w:t xml:space="preserve">Extracorporeal membrane oxygenation (ECMO) is the rescue therapy for PPHN refractory to maximal medical management. Standard criteria for ECMO referral: OI greater than 40 on two or more arterial blood gases obtained at least 30 minutes apart despite optimal ventilation, lung recruitment, iNO, and hemodynamic support; OR acute deterioration with inability to maintain adequate oxygenation or perfusion; OR air leak syndrome refractory to chest tube and ventilator management.</w:t>
      </w:r>
    </w:p>
    <w:p>
      <w:pPr>
        <w:spacing w:after="120" w:line="276"/>
      </w:pPr>
      <w:r>
        <w:t xml:space="preserve">ECMO eligibility requirements: gestational age 34 weeks or greater; birth weight 2000 g or greater; no lethal anomaly; no severe IVH (grade III or IV, due to anticoagulation risk); no uncontrollable coagulopathy; and reversible lung disease (estimated need for ECMO less than 2 to 3 weeks).</w:t>
      </w:r>
    </w:p>
    <w:p>
      <w:pPr>
        <w:spacing w:after="120" w:line="276"/>
      </w:pPr>
      <w:r>
        <w:t xml:space="preserve">ECMO modalities: Veno-arterial (VA) ECMO provides both cardiac and respiratory support (blood drained from right atrium via right internal jugular vein, returned to aortic arch via right common carotid artery). Veno-venous (VV) ECMO provides respiratory support only (blood drained and returned to right atrium via double-lumen catheter in right internal jugular vein). VA-ECMO is more commonly used in neonatal PPHN because cardiac dysfunction often coexists.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PPHN: Pathophysiology, Oxygenation Indices, and Stepwise Therapy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2026-03-17T00:57:41.556Z</dcterms:created>
  <dcterms:modified xsi:type="dcterms:W3CDTF">2026-03-17T00:57:41.556Z</dcterms:modified>
</cp:coreProperties>
</file>

<file path=docProps/custom.xml><?xml version="1.0" encoding="utf-8"?>
<Properties xmlns="http://schemas.openxmlformats.org/officeDocument/2006/custom-properties" xmlns:vt="http://schemas.openxmlformats.org/officeDocument/2006/docPropsVTypes"/>
</file>