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Neonatal Abstinence Syndrome</w:t>
      </w:r>
    </w:p>
    <w:p>
      <w:pPr>
        <w:spacing w:after="200"/>
        <w:jc w:val="center"/>
      </w:pPr>
      <w:r>
        <w:rPr>
          <w:rFonts w:ascii="Arial" w:cs="Arial" w:eastAsia="Arial" w:hAnsi="Arial"/>
          <w:color w:val="1A7A6D"/>
          <w:sz w:val="30"/>
          <w:szCs w:val="30"/>
        </w:rPr>
        <w:t xml:space="preserve">NAS/NOWS: Assessment, Scoring, and Evidence-Based Management</w:t>
      </w:r>
    </w:p>
    <w:p>
      <w:pPr>
        <w:spacing w:after="200"/>
        <w:jc w:val="center"/>
      </w:pPr>
      <w:r>
        <w:rPr>
          <w:rFonts w:ascii="Arial" w:cs="Arial" w:eastAsia="Arial" w:hAnsi="Arial"/>
          <w:i/>
          <w:iCs/>
          <w:sz w:val="22"/>
          <w:szCs w:val="22"/>
        </w:rPr>
        <w:t xml:space="preserve">Including the Eat Sleep Console Model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Chapter 1: Epidemiology and Pathophysiology</w:t>
      </w:r>
    </w:p>
    <w:p>
      <w:pPr>
        <w:spacing w:after="120" w:line="276"/>
      </w:pPr>
      <w:r>
        <w:t xml:space="preserve">Neonatal abstinence syndrome (NAS), now more commonly termed neonatal opioid withdrawal syndrome (NOWS) when specifically related to opioid exposure, results from the abrupt cessation of in-utero substance exposure at birth. The incidence has risen dramatically in the United States, from 1.5 per 1000 live births in 1999 to 7.3 per 1000 in 2017, paralleling the opioid epidemic. NAS/NOWS now accounts for approximately 6 to 8 percent of all NICU admissions nationally.</w:t>
      </w:r>
    </w:p>
    <w:p>
      <w:pPr>
        <w:spacing w:after="120" w:line="276"/>
      </w:pPr>
      <w:r>
        <w:t xml:space="preserve">Pathophysiology: During chronic in-utero opioid exposure, the fetal central nervous system develops tolerance through upregulation of cyclic AMP (cAMP) pathways and downregulation of opioid receptors. At birth, abrupt withdrawal of opioid stimulation produces a noradrenergic storm: excessive release of norepinephrine from the locus coeruleus produces the characteristic autonomic and CNS hyperexcitability symptoms. Similar mechanisms apply to other substances (benzodiazepines, SSRIs, nicotine), though with different neurotransmitter pathways.</w:t>
      </w:r>
    </w:p>
    <w:p>
      <w:pPr>
        <w:spacing w:after="120" w:line="276"/>
      </w:pPr>
      <w:r>
        <w:t xml:space="preserve">Onset timing varies by substance: heroin withdrawal typically begins 24 to 48 hours after birth; methadone 48 to 72 hours (may be delayed up to 5 to 7 days due to long half-life); buprenorphine 36 to 60 hours; and polysubstance exposure may produce a prolonged or biphasic course.</w:t>
      </w:r>
    </w:p>
    <w:p>
      <w:pPr>
        <w:pStyle w:val="Heading2"/>
      </w:pPr>
      <w:r>
        <w:t xml:space="preserve">1.1 Symptom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5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Symptoms</w:t>
            </w:r>
          </w:p>
        </w:tc>
        <w:tc>
          <w:tcPr>
            <w:tcW w:type="dxa" w:w="23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Onset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CNS excitability</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High-pitched, continuous cry; tremors (disturbed and undisturbed); increased muscle tone; hyperactive reflexes; sleep disturbance (short sleep cycles, inability to achieve deep sleep); seizures (rare, less than 5 percent)</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 to days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 dysfunction</w:t>
            </w:r>
          </w:p>
        </w:tc>
        <w:tc>
          <w:tcPr>
            <w:tcW w:type="dxa" w:w="5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Poor feeding with excessive, uncoordinated sucking; vomiting; diarrhea; weight loss or poor weight gain</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Days 1 to 5</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Autonomic instability</w:t>
            </w:r>
          </w:p>
        </w:tc>
        <w:tc>
          <w:tcPr>
            <w:tcW w:type="dxa" w:w="5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Fever (low-grade); sweating; nasal stuffiness; sneezing; yawning; mottling; tachycardia; tachypnea</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Hours to days</w:t>
            </w:r>
          </w:p>
        </w:tc>
      </w:tr>
      <w:tr>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Metabolic</w:t>
            </w:r>
          </w:p>
        </w:tc>
        <w:tc>
          <w:tcPr>
            <w:tcW w:type="dxa" w:w="5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Increased caloric expenditure from irritability, tremors, and poor sleep; may require 130 to 150 kcal/kg/day</w:t>
            </w:r>
          </w:p>
        </w:tc>
        <w:tc>
          <w:tcPr>
            <w:tcW w:type="dxa" w:w="23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Ongoing</w:t>
            </w:r>
          </w:p>
        </w:tc>
      </w:tr>
    </w:tbl>
    <w:p>
      <w:r>
        <w:br w:type="page"/>
      </w:r>
    </w:p>
    <w:p>
      <w:pPr>
        <w:pStyle w:val="Heading1"/>
      </w:pPr>
      <w:r>
        <w:t xml:space="preserve">Chapter 2: Assessment Models</w:t>
      </w:r>
    </w:p>
    <w:p>
      <w:pPr>
        <w:pStyle w:val="Heading2"/>
      </w:pPr>
      <w:r>
        <w:t xml:space="preserve">2.1 Finnegan Neonatal Abstinence Scoring Tool</w:t>
      </w:r>
    </w:p>
    <w:p>
      <w:pPr>
        <w:spacing w:after="120" w:line="276"/>
      </w:pPr>
      <w:r>
        <w:t xml:space="preserve">The modified Finnegan score is the traditional assessment tool, scoring 21 items across CNS, metabolic, GI, and respiratory domains. Scores are obtained every 3 to 4 hours beginning 2 to 4 hours after birth and continuing for the duration of risk (at least 4 to 7 days for methadone-exposed infants). Pharmacologic treatment is typically initiated when three consecutive scores are 8 or greater, or two consecutive scores are 12 or greater, though institutional thresholds vary.</w:t>
      </w:r>
    </w:p>
    <w:p>
      <w:pPr>
        <w:spacing w:after="120" w:line="276"/>
      </w:pPr>
      <w:r>
        <w:t xml:space="preserve">Limitations of the Finnegan tool: it is complex (21 items), subjective (inter-rater reliability is moderate), may lead to overscoring (some normal neonatal behaviors score points), focuses on symptom severity rather than functional impact, and drives a treatment approach based on symptom scores rather than the infant's functional capacity.</w:t>
      </w:r>
    </w:p>
    <w:p>
      <w:pPr>
        <w:pStyle w:val="Heading2"/>
      </w:pPr>
      <w:r>
        <w:t xml:space="preserve">2.2 Eat Sleep Console (ESC) Model</w:t>
      </w:r>
    </w:p>
    <w:p>
      <w:pPr>
        <w:spacing w:after="120" w:line="276"/>
      </w:pPr>
      <w:r>
        <w:t xml:space="preserve">The ESC model, developed by Dr. Matthew Grossman and colleagues at Yale-New Haven Children's Hospital, represents a paradigm shift from symptom scoring to functional assessment. It asks three questions: Can the infant EAT adequately (taking at least 1 ounce per feed or breastfeeding effectively for at least 10 minutes)? Can the infant SLEEP for at least 1 hour undisturbed? Can the infant be CONSOLED within 10 minutes by a caregiver?</w:t>
      </w:r>
    </w:p>
    <w:p>
      <w:pPr>
        <w:spacing w:after="120" w:line="276"/>
      </w:pPr>
      <w:r>
        <w:t xml:space="preserve">If all three answers are YES with optimized non-pharmacologic care: continue non-pharmacologic management; reassess at each feeding cycle. If any answer is NO despite optimized non-pharmacologic interventions: consider initiating pharmacologic treatment.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Metric</w:t>
            </w:r>
          </w:p>
        </w:tc>
        <w:tc>
          <w:tcPr>
            <w:tcW w:type="dxa" w:w="3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Finnegan Approach</w:t>
            </w:r>
          </w:p>
        </w:tc>
        <w:tc>
          <w:tcPr>
            <w:tcW w:type="dxa" w:w="38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ESC Approach</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Assessment frequency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3 to 4 hours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Every 3 to 4 hours (aligned with feeds)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Pharmacotherapy initiation rate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 to 80 percent of opioid-exposed infants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10 to 20 percent</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Average length of stay (all NAS)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15 to 25 days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6 to 10 days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Average length of stay (pharmacotherapy needed)</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20 to 30 days</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12 to 16 days</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NICU admission rate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 (most infants scored in NICU)</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 (rooming-in with mother is default)</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Breastfeeding rates</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Lower (mother-infant separation)</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Higher (rooming-in promotes breastfeeding)</w:t>
            </w:r>
          </w:p>
        </w:tc>
      </w:tr>
      <w:tr>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Cost per infant</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25,000 to 66,000 dollars</w:t>
            </w:r>
          </w:p>
        </w:tc>
        <w:tc>
          <w:tcPr>
            <w:tcW w:type="dxa" w:w="38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5,000 to 15,000 dollars</w:t>
            </w:r>
          </w:p>
        </w:tc>
      </w:tr>
      <w:tr>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Parent role</w:t>
            </w:r>
          </w:p>
        </w:tc>
        <w:tc>
          <w:tcPr>
            <w:tcW w:type="dxa" w:w="3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Passive observer; nurse performs scoring</w:t>
            </w:r>
          </w:p>
        </w:tc>
        <w:tc>
          <w:tcPr>
            <w:tcW w:type="dxa" w:w="38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Active primary caregiver; empowered to provide non-pharmacologic care</w:t>
            </w:r>
          </w:p>
        </w:tc>
      </w:tr>
    </w:tbl>
    <w:p>
      <w:r>
        <w:br w:type="page"/>
      </w:r>
    </w:p>
    <w:p>
      <w:pPr>
        <w:pStyle w:val="Heading1"/>
      </w:pPr>
      <w:r>
        <w:t xml:space="preserve">Chapter 3: Non-Pharmacologic Management</w:t>
      </w:r>
    </w:p>
    <w:p>
      <w:pPr>
        <w:spacing w:after="120" w:line="276"/>
      </w:pPr>
      <w:r>
        <w:t xml:space="preserve">Non-pharmacologic interventions are the FOUNDATION of NAS/NOWS management regardless of assessment model. They should be optimized before considering pharmacologic treatment and continued throughout treatment and beyond.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Intervention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Evidence</w:t>
            </w:r>
          </w:p>
        </w:tc>
        <w:tc>
          <w:tcPr>
            <w:tcW w:type="dxa" w:w="50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Implementation</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Rooming-in with mother</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pharmacotherapy rate by 50 percent; reduces LOS by 50 percent; promotes breastfeeding and bonding</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Default disposition for all substance-exposed newborns unless maternal or infant safety concern; private room preferred; mother is primary caregiver with nursing support</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Skin-to-skin contact</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crying, promotes sleep, stabilizes autonomic function, promotes breastfeeding</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Encourage frequent and prolonged SSC; educate mothers on safe SSC positioning</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Swaddling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tremors and irritability; promotes sleep; provides proprioceptive input</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Snug swaddle with extremities flexed; use for sleep and during distress; teach parents technique</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Low-stimulation environment</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CNS excitability triggers; promotes longer sleep cycles</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Dim lights; minimize noise; limit visitors; cluster care; gentle handling; avoid unnecessary procedures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Breastfeeding</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Reduces NAS severity and duration; promotes bonding; breast milk contains small amounts of methadone/buprenorphine that ease withdrawal</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Encourage for all mothers on MAT (methadone or buprenorphine) who are not using illicit substances; contraindicated if HIV+, active illicit substance use, or certain medications</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Non-nutritive sucking (pacifier)</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Satisfies excessive sucking drive; calming mechanism; may reduce crying time</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Offer during non-feeding awake periods; after breastfeeding is established if BF</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Frequent small feedings</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Addresses excessive caloric expenditure and GI irritability; prevents large boluses that may cause emesis</w:t>
            </w:r>
          </w:p>
        </w:tc>
        <w:tc>
          <w:tcPr>
            <w:tcW w:type="dxa" w:w="50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Feed q2 to 3h; smaller more frequent volumes; may need caloric density 22 to 24 kcal/oz; target 130 to 150 kcal/kg/day</w:t>
            </w:r>
          </w:p>
        </w:tc>
      </w:tr>
      <w:tr>
        <w:tc>
          <w:tcPr>
            <w:tcW w:type="dxa" w:w="18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Gentle rocking and holding</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Vestibular input reduces irritability; promotes sleep</w:t>
            </w:r>
          </w:p>
        </w:tc>
        <w:tc>
          <w:tcPr>
            <w:tcW w:type="dxa" w:w="50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Rock gently (avoid vigorous bouncing which can overstimulate); use swing or vibrating bassinet for soothing</w:t>
            </w:r>
          </w:p>
        </w:tc>
      </w:tr>
    </w:tbl>
    <w:p>
      <w:r>
        <w:br w:type="page"/>
      </w:r>
    </w:p>
    <w:p>
      <w:pPr>
        <w:pStyle w:val="Heading1"/>
      </w:pPr>
      <w:r>
        <w:t xml:space="preserve">Chapter 4: Pharmacologic Management</w:t>
      </w:r>
    </w:p>
    <w:p>
      <w:pPr>
        <w:spacing w:after="120" w:line="276"/>
      </w:pPr>
      <w:r>
        <w:t xml:space="preserve">When pharmacologic treatment is needed (infant unable to eat, sleep, or be consoled despite optimized non-pharmacologic care), opioid replacement therapy is first-line for opioid withdrawal: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500"/>
        <w:gridCol w:w="2460"/>
      </w:tblGrid>
      <w:tr>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Medication</w:t>
            </w:r>
          </w:p>
        </w:tc>
        <w:tc>
          <w:tcPr>
            <w:tcW w:type="dxa" w:w="20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Dose</w:t>
            </w:r>
          </w:p>
        </w:tc>
        <w:tc>
          <w:tcPr>
            <w:tcW w:type="dxa" w:w="12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Administration</w:t>
            </w:r>
          </w:p>
        </w:tc>
        <w:tc>
          <w:tcPr>
            <w:tcW w:type="dxa" w:w="250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Weaning</w:t>
            </w:r>
          </w:p>
        </w:tc>
        <w:tc>
          <w:tcPr>
            <w:tcW w:type="dxa" w:w="2460"/>
            <w:tcBorders>
              <w:top w:val="single" w:color="AAAAAA" w:sz="1"/>
              <w:left w:val="single" w:color="AAAAAA" w:sz="1"/>
              <w:bottom w:val="single" w:color="AAAAAA" w:sz="1"/>
              <w:right w:val="single" w:color="AAAAAA" w:sz="1"/>
            </w:tcBorders>
            <w:shd w:fill="1B3A5C"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Notes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Morphine sulfate (first-line at many institutions)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0.05 to 0.1 mg/kg/dose PO q3 to 4h; titrate based on clinical response</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Given with feeds; scored into each feeding bottle or given by syringe before feed</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by 10 to 20 percent of peak dose every 24 to 48 hours when infant meets ESC criteria or Finnegan scores consistently less than 8; discontinue when at 0.02 mg/kg/dose without symptom escalation</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Liquid formulation; titrate to functional status not to a score</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Methadone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Start 0.05 to 0.1 mg/kg/dose PO q6 to 12h</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Given with feeds</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by 10 to 20 percent every 48 to 72h (longer half-life); slower wean than morphine</w:t>
            </w:r>
          </w:p>
        </w:tc>
        <w:tc>
          <w:tcPr>
            <w:tcW w:type="dxa" w:w="2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Long half-life allows less frequent dosing; used as first-line at some institutions; may allow earlier discharge with outpatient weaning</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Clonidine (adjunctive)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0.5 to 1.5 mcg/kg/dose PO q4 to 6h</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Added to opioid when maximum opioid dose insufficient</w:t>
            </w:r>
          </w:p>
        </w:tc>
        <w:tc>
          <w:tcPr>
            <w:tcW w:type="dxa" w:w="2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opioid first; then wean clonidine by 25 percent every 24 to 48h</w:t>
            </w:r>
          </w:p>
        </w:tc>
        <w:tc>
          <w:tcPr>
            <w:tcW w:type="dxa" w:w="24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Alpha-2 agonist; reduces noradrenergic hyperactivity; useful for polysubstance withdrawal; monitor for hypotension and bradycardia</w:t>
            </w:r>
          </w:p>
        </w:tc>
      </w:tr>
      <w:tr>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Phenobarbital (second-line or adjunctive)</w:t>
            </w:r>
          </w:p>
        </w:tc>
        <w:tc>
          <w:tcPr>
            <w:tcW w:type="dxa" w:w="20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Loading 15 to 20 mg/kg; maintenance 3 to 5 mg/kg/day divided q12h</w:t>
            </w:r>
          </w:p>
        </w:tc>
        <w:tc>
          <w:tcPr>
            <w:tcW w:type="dxa" w:w="12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IV or PO</w:t>
            </w:r>
          </w:p>
        </w:tc>
        <w:tc>
          <w:tcPr>
            <w:tcW w:type="dxa" w:w="250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Wean by 10 to 20 percent per week after symptoms controlled</w:t>
            </w:r>
          </w:p>
        </w:tc>
        <w:tc>
          <w:tcPr>
            <w:tcW w:type="dxa" w:w="2460"/>
            <w:tcBorders>
              <w:top w:val="single" w:color="AAAAAA" w:sz="1"/>
              <w:left w:val="single" w:color="AAAAAA" w:sz="1"/>
              <w:bottom w:val="single" w:color="AAAAAA" w:sz="1"/>
              <w:right w:val="single" w:color="AAAAAA" w:sz="1"/>
            </w:tcBorders>
            <w:shd w:fill="F5F5F5" w:val="clear"/>
            <w:tcMar>
              <w:top w:type="dxa" w:w="60"/>
              <w:left w:type="dxa" w:w="100"/>
              <w:bottom w:type="dxa" w:w="60"/>
              <w:right w:type="dxa" w:w="100"/>
            </w:tcMar>
          </w:tcPr>
          <w:p>
            <w:pPr>
              <w:spacing w:after="0"/>
            </w:pPr>
            <w:r>
              <w:rPr>
                <w:rFonts w:ascii="Arial" w:cs="Arial" w:eastAsia="Arial" w:hAnsi="Arial"/>
                <w:b w:val="false"/>
                <w:bCs w:val="false"/>
                <w:color w:val="1A1A1A"/>
                <w:sz w:val="20"/>
                <w:szCs w:val="20"/>
              </w:rPr>
              <w:t xml:space="preserve">Used for polysubstance withdrawal (especially benzodiazepine or barbiturate co-exposure); sedating; long half-life; NOT recommended as first-line for isolated opioid withdrawal by most current guidelines</w:t>
            </w:r>
          </w:p>
        </w:tc>
      </w:tr>
    </w:tbl>
    <w:p>
      <w:pPr>
        <w:spacing w:after="120"/>
      </w:pPr>
    </w:p>
    <w:p>
      <w:pPr>
        <w:pStyle w:val="Heading1"/>
      </w:pPr>
      <w:r>
        <w:t xml:space="preserve">Chapter 5: Discharge Planning</w:t>
      </w:r>
    </w:p>
    <w:p>
      <w:pPr>
        <w:spacing w:after="120" w:line="276"/>
      </w:pPr>
      <w:r>
        <w:t xml:space="preserve">Discharge readiness for NAS/NOWS infants requires: stable on current medication dose (or weaned off medications) for at least 48 hours without symptom escalation; adequate feeding with sustained weight gain; safe sleep environment confirmed; outpatient follow-up arranged (pediatrician within 48 to 72 hours; if discharged on medications, close follow-up for ongoing weaning); and social services assessment complete (safe home environment; maternal treatment program engagement confirmed; child protective services involvement as mandated by state law).</w:t>
      </w:r>
    </w:p>
    <w:p>
      <w:pPr>
        <w:spacing w:after="120" w:line="276"/>
      </w:pPr>
      <w:r>
        <w:t xml:space="preserve">Outpatient medication weaning: Some institutions discharge infants on methadone with a structured outpatient weaning protocol (weekly or biweekly dose reductions with clinic visits). This can reduce total hospitalization by 1 to 2 weeks. Requires reliable family, close follow-up access, and a clear protocol. Morphine is less commonly used for outpatient weaning due to its shorter half-life requiring more frequent dosing.</w:t>
      </w:r>
    </w:p>
    <w:p>
      <w:pPr>
        <w:spacing w:after="120" w:line="276"/>
      </w:pPr>
      <w:r>
        <w:t xml:space="preserve">Long-term developmental follow-up: All infants with prenatal opioid exposure should be referred for developmental follow-up regardless of NAS severity. Prenatal opioid exposure has been associated with: lower cognitive scores in early childhood (though confounded by environmental factors); attention difficulties; visual processing delays; and behavioral challenges. Early intervention services, stable home environment, and caregiver support are critical modifiable factors.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5C" w:sz="4" w:space="4"/>
      </w:pBdr>
      <w:spacing w:after="0"/>
      <w:jc w:val="center"/>
    </w:pPr>
    <w:r>
      <w:rPr>
        <w:rFonts w:ascii="Arial" w:cs="Arial" w:eastAsia="Arial" w:hAnsi="Arial"/>
        <w:color w:val="1B3A5C"/>
        <w:sz w:val="16"/>
        <w:szCs w:val="16"/>
      </w:rPr>
      <w:t xml:space="preserve">Page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4"/>
      </w:pBdr>
      <w:tabs>
        <w:tab w:val="right" w:pos="9026"/>
      </w:tabs>
      <w:spacing w:after="0"/>
    </w:pPr>
    <w:r>
      <w:rPr>
        <w:rFonts w:ascii="Arial" w:cs="Arial" w:eastAsia="Arial" w:hAnsi="Arial"/>
        <w:i/>
        <w:iCs/>
        <w:color w:val="1B3A5C"/>
        <w:sz w:val="18"/>
        <w:szCs w:val="18"/>
      </w:rPr>
      <w:t xml:space="preserve">Neonatal Abstinence Syndrome: Assessment, Scoring, and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A6D"/>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2026-03-17T00:57:41.579Z</dcterms:created>
  <dcterms:modified xsi:type="dcterms:W3CDTF">2026-03-17T00:57:41.580Z</dcterms:modified>
</cp:coreProperties>
</file>

<file path=docProps/custom.xml><?xml version="1.0" encoding="utf-8"?>
<Properties xmlns="http://schemas.openxmlformats.org/officeDocument/2006/custom-properties" xmlns:vt="http://schemas.openxmlformats.org/officeDocument/2006/docPropsVTypes"/>
</file>