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48"/>
          <w:szCs w:val="48"/>
        </w:rPr>
        <w:t xml:space="preserve">Comprehensive Component Analysis</w:t>
      </w:r>
    </w:p>
    <w:p>
      <w:pPr>
        <w:spacing w:after="200"/>
        <w:jc w:val="center"/>
      </w:pPr>
      <w:r>
        <w:rPr>
          <w:rFonts w:ascii="Arial" w:cs="Arial" w:eastAsia="Arial" w:hAnsi="Arial"/>
          <w:b/>
          <w:bCs/>
          <w:color w:val="2E75B6"/>
          <w:sz w:val="40"/>
          <w:szCs w:val="40"/>
        </w:rPr>
        <w:t xml:space="preserve">Neonatal Intravenous Fluid (IVF) Calculator</w:t>
      </w:r>
    </w:p>
    <w:p>
      <w:pPr>
        <w:spacing w:after="100"/>
        <w:jc w:val="center"/>
      </w:pPr>
      <w:r>
        <w:rPr>
          <w:rFonts w:ascii="Arial" w:cs="Arial" w:eastAsia="Arial" w:hAnsi="Arial"/>
          <w:color w:val="404040"/>
          <w:sz w:val="32"/>
          <w:szCs w:val="32"/>
        </w:rPr>
        <w:t xml:space="preserve">Day of Life 0 through 7</w:t>
      </w:r>
    </w:p>
    <w:p>
      <w:pPr>
        <w:spacing w:after="100"/>
        <w:jc w:val="center"/>
      </w:pPr>
      <w:r>
        <w:rPr>
          <w:rFonts w:ascii="Arial" w:cs="Arial" w:eastAsia="Arial" w:hAnsi="Arial"/>
          <w:color w:val="404040"/>
          <w:sz w:val="28"/>
          <w:szCs w:val="28"/>
        </w:rPr>
        <w:t xml:space="preserve">Stratified by Gestational Age and Clinical Status</w:t>
      </w:r>
    </w:p>
    <w:p>
      <w:pPr>
        <w:spacing w:before="600"/>
      </w:pPr>
    </w:p>
    <w:p>
      <w:pPr>
        <w:spacing w:after="100"/>
        <w:jc w:val="center"/>
      </w:pPr>
      <w:r>
        <w:rPr>
          <w:rFonts w:ascii="Arial" w:cs="Arial" w:eastAsia="Arial" w:hAnsi="Arial"/>
          <w:i/>
          <w:iCs/>
          <w:color w:val="666666"/>
          <w:sz w:val="24"/>
          <w:szCs w:val="24"/>
        </w:rPr>
        <w:t xml:space="preserve">For Use in Level II / Level II+ Nurseries and NICUs</w:t>
      </w:r>
    </w:p>
    <w:p>
      <w:pPr>
        <w:spacing w:after="100"/>
        <w:jc w:val="center"/>
      </w:pPr>
      <w:r>
        <w:rPr>
          <w:rFonts w:ascii="Arial" w:cs="Arial" w:eastAsia="Arial" w:hAnsi="Arial"/>
          <w:i/>
          <w:iCs/>
          <w:color w:val="666666"/>
          <w:sz w:val="24"/>
          <w:szCs w:val="24"/>
        </w:rPr>
        <w:t xml:space="preserve">Including Rural and Critical Access Hospital Settings</w:t>
      </w:r>
    </w:p>
    <w:p>
      <w:pPr>
        <w:spacing w:before="1200"/>
      </w:pPr>
    </w:p>
    <w:p>
      <w:pPr>
        <w:jc w:val="center"/>
      </w:pPr>
      <w:r>
        <w:rPr>
          <w:rFonts w:ascii="Arial" w:cs="Arial" w:eastAsia="Arial" w:hAnsi="Arial"/>
          <w:color w:val="888888"/>
          <w:sz w:val="22"/>
          <w:szCs w:val="22"/>
        </w:rPr>
        <w:t xml:space="preserve">Reference Document — March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 and Clinical Rationale</w:t>
      </w:r>
    </w:p>
    <w:p>
      <w:pPr>
        <w:spacing w:after="80"/>
      </w:pPr>
    </w:p>
    <w:p>
      <w:pPr>
        <w:spacing w:after="120" w:line="276"/>
      </w:pPr>
      <w:r>
        <w:rPr>
          <w:rFonts w:ascii="Arial" w:cs="Arial" w:eastAsia="Arial" w:hAnsi="Arial"/>
          <w:sz w:val="22"/>
          <w:szCs w:val="22"/>
        </w:rPr>
        <w:t xml:space="preserve">Intravenous fluid (IVF) management in the neonatal intensive care unit (NICU) represents one of the most complex and consequential daily clinical decisions facing neonatologists, neonatal nurse practitioners, and pediatric hospitalists. The first seven days of life constitute a critical physiological transition period during which total body water decreases from approximately 80–90% of body weight in the extremely preterm infant to 70–75% in the term neonate. Accurate fluid management during this window directly impacts outcomes including bronchopulmonary dysplasia (BPD), necrotizing enterocolitis (NEC), patent ductus arteriosus (PDA), intraventricular hemorrhage (IVH), and acute kidney injury (AKI).</w:t>
      </w:r>
    </w:p>
    <w:p>
      <w:pPr>
        <w:spacing w:after="120" w:line="276"/>
      </w:pPr>
      <w:r>
        <w:rPr>
          <w:rFonts w:ascii="Arial" w:cs="Arial" w:eastAsia="Arial" w:hAnsi="Arial"/>
          <w:sz w:val="22"/>
          <w:szCs w:val="22"/>
        </w:rPr>
        <w:t xml:space="preserve">A well-designed IVF calculator must integrate multiple physiological variables, account for wide variation in gestational age-specific physiology, and adapt to rapidly changing clinical conditions. This document provides a comprehensive analysis of every component required to build such a calculator, with particular attention to the following domains:</w:t>
      </w:r>
    </w:p>
    <w:p>
      <w:pPr>
        <w:pStyle w:val="ListParagraph"/>
        <w:numPr>
          <w:ilvl w:val="0"/>
          <w:numId w:val="2"/>
        </w:numPr>
        <w:spacing w:after="60" w:line="276"/>
      </w:pPr>
      <w:r>
        <w:rPr>
          <w:rFonts w:ascii="Arial" w:cs="Arial" w:eastAsia="Arial" w:hAnsi="Arial"/>
          <w:b/>
          <w:bCs/>
          <w:sz w:val="22"/>
          <w:szCs w:val="22"/>
        </w:rPr>
        <w:t xml:space="preserve">Gestational Age Stratification: </w:t>
      </w:r>
      <w:r>
        <w:rPr>
          <w:rFonts w:ascii="Arial" w:cs="Arial" w:eastAsia="Arial" w:hAnsi="Arial"/>
          <w:sz w:val="22"/>
          <w:szCs w:val="22"/>
        </w:rPr>
        <w:t xml:space="preserve">Fluid requirements vary dramatically between the 23-week micropreemie and the 40-week term infant with perinatal asphyxia.</w:t>
      </w:r>
    </w:p>
    <w:p>
      <w:pPr>
        <w:pStyle w:val="ListParagraph"/>
        <w:numPr>
          <w:ilvl w:val="0"/>
          <w:numId w:val="2"/>
        </w:numPr>
        <w:spacing w:after="60" w:line="276"/>
      </w:pPr>
      <w:r>
        <w:rPr>
          <w:rFonts w:ascii="Arial" w:cs="Arial" w:eastAsia="Arial" w:hAnsi="Arial"/>
          <w:b/>
          <w:bCs/>
          <w:sz w:val="22"/>
          <w:szCs w:val="22"/>
        </w:rPr>
        <w:t xml:space="preserve">Day of Life Progression: </w:t>
      </w:r>
      <w:r>
        <w:rPr>
          <w:rFonts w:ascii="Arial" w:cs="Arial" w:eastAsia="Arial" w:hAnsi="Arial"/>
          <w:sz w:val="22"/>
          <w:szCs w:val="22"/>
        </w:rPr>
        <w:t xml:space="preserve">The physiological contraction of extracellular fluid volume follows a predictable but GA-dependent trajectory over DOL 0–7.</w:t>
      </w:r>
    </w:p>
    <w:p>
      <w:pPr>
        <w:pStyle w:val="ListParagraph"/>
        <w:numPr>
          <w:ilvl w:val="0"/>
          <w:numId w:val="2"/>
        </w:numPr>
        <w:spacing w:after="60" w:line="276"/>
      </w:pPr>
      <w:r>
        <w:rPr>
          <w:rFonts w:ascii="Arial" w:cs="Arial" w:eastAsia="Arial" w:hAnsi="Arial"/>
          <w:b/>
          <w:bCs/>
          <w:sz w:val="22"/>
          <w:szCs w:val="22"/>
        </w:rPr>
        <w:t xml:space="preserve">Clinical Status Modifiers: </w:t>
      </w:r>
      <w:r>
        <w:rPr>
          <w:rFonts w:ascii="Arial" w:cs="Arial" w:eastAsia="Arial" w:hAnsi="Arial"/>
          <w:sz w:val="22"/>
          <w:szCs w:val="22"/>
        </w:rPr>
        <w:t xml:space="preserve">Conditions such as phototherapy, radiant warmer use, mechanical ventilation, therapeutic hypothermia, and surgical pathology each impose unique fluid requirements.</w:t>
      </w:r>
    </w:p>
    <w:p>
      <w:pPr>
        <w:pStyle w:val="ListParagraph"/>
        <w:numPr>
          <w:ilvl w:val="0"/>
          <w:numId w:val="2"/>
        </w:numPr>
        <w:spacing w:after="60" w:line="276"/>
      </w:pPr>
      <w:r>
        <w:rPr>
          <w:rFonts w:ascii="Arial" w:cs="Arial" w:eastAsia="Arial" w:hAnsi="Arial"/>
          <w:b/>
          <w:bCs/>
          <w:sz w:val="22"/>
          <w:szCs w:val="22"/>
        </w:rPr>
        <w:t xml:space="preserve">Electrolyte Management: </w:t>
      </w:r>
      <w:r>
        <w:rPr>
          <w:rFonts w:ascii="Arial" w:cs="Arial" w:eastAsia="Arial" w:hAnsi="Arial"/>
          <w:sz w:val="22"/>
          <w:szCs w:val="22"/>
        </w:rPr>
        <w:t xml:space="preserve">Sodium, potassium, calcium, and phosphorus supplementation timing and dosing are tightly coupled to fluid volume decisions.</w:t>
      </w:r>
    </w:p>
    <w:p>
      <w:pPr>
        <w:pStyle w:val="ListParagraph"/>
        <w:numPr>
          <w:ilvl w:val="0"/>
          <w:numId w:val="2"/>
        </w:numPr>
        <w:spacing w:after="60" w:line="276"/>
      </w:pPr>
      <w:r>
        <w:rPr>
          <w:rFonts w:ascii="Arial" w:cs="Arial" w:eastAsia="Arial" w:hAnsi="Arial"/>
          <w:b/>
          <w:bCs/>
          <w:sz w:val="22"/>
          <w:szCs w:val="22"/>
        </w:rPr>
        <w:t xml:space="preserve">Glucose Homeostasis: </w:t>
      </w:r>
      <w:r>
        <w:rPr>
          <w:rFonts w:ascii="Arial" w:cs="Arial" w:eastAsia="Arial" w:hAnsi="Arial"/>
          <w:sz w:val="22"/>
          <w:szCs w:val="22"/>
        </w:rPr>
        <w:t xml:space="preserve">Glucose infusion rate (GIR) must be maintained within therapeutic ranges while accommodating varying dextrose concentrations and total fluid volumes.</w:t>
      </w:r>
    </w:p>
    <w:p>
      <w:pPr>
        <w:spacing w:after="80"/>
      </w:pPr>
    </w:p>
    <w:p>
      <w:pPr>
        <w:spacing w:after="120" w:line="276"/>
      </w:pPr>
      <w:r>
        <w:rPr>
          <w:rFonts w:ascii="Arial" w:cs="Arial" w:eastAsia="Arial" w:hAnsi="Arial"/>
          <w:sz w:val="22"/>
          <w:szCs w:val="22"/>
        </w:rPr>
        <w:t xml:space="preserve">This analysis is designed to serve as a specification document for computational implementation of a neonatal IVF calculator, suitable for deployment in Level II, Level II+, and Level III NICUs, with specific consideration for rural and critical access hospital environments where subspecialty consultation may be limited.</w:t>
      </w:r>
    </w:p>
    <w:p>
      <w:r>
        <w:br w:type="page"/>
      </w:r>
    </w:p>
    <w:p>
      <w:pPr>
        <w:pStyle w:val="Heading1"/>
      </w:pPr>
      <w:r>
        <w:t xml:space="preserve">2. Core Input Variables</w:t>
      </w:r>
    </w:p>
    <w:p>
      <w:pPr>
        <w:spacing w:after="80"/>
      </w:pPr>
    </w:p>
    <w:p>
      <w:pPr>
        <w:spacing w:after="120" w:line="276"/>
      </w:pPr>
      <w:r>
        <w:rPr>
          <w:rFonts w:ascii="Arial" w:cs="Arial" w:eastAsia="Arial" w:hAnsi="Arial"/>
          <w:sz w:val="22"/>
          <w:szCs w:val="22"/>
        </w:rPr>
        <w:t xml:space="preserve">The IVF calculator requires a defined set of input variables that collectively determine the fluid prescription. These inputs fall into three categories: patient demographics, clinical timing, and clinical status modifiers.</w:t>
      </w:r>
    </w:p>
    <w:p>
      <w:pPr>
        <w:spacing w:after="80"/>
      </w:pPr>
    </w:p>
    <w:p>
      <w:pPr>
        <w:pStyle w:val="Heading2"/>
      </w:pPr>
      <w:r>
        <w:t xml:space="preserve">2.1 Gestational Age (GA) at Birth</w:t>
      </w:r>
    </w:p>
    <w:p>
      <w:pPr>
        <w:spacing w:after="120" w:line="276"/>
      </w:pPr>
      <w:r>
        <w:rPr>
          <w:rFonts w:ascii="Arial" w:cs="Arial" w:eastAsia="Arial" w:hAnsi="Arial"/>
          <w:sz w:val="22"/>
          <w:szCs w:val="22"/>
        </w:rPr>
        <w:t xml:space="preserve">Gestational age at birth is the single most important determinant of baseline fluid requirements. The calculator must accept GA in completed weeks and days (e.g., 27 weeks 3 days = 27+3) and map the input to one of the following clinical categories: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GA Category</w:t>
            </w:r>
          </w:p>
        </w:tc>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GA Range</w:t>
            </w:r>
          </w:p>
        </w:tc>
        <w:tc>
          <w:tcPr>
            <w:tcW w:type="dxa" w:w="2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Typical Weight Range</w:t>
            </w:r>
          </w:p>
        </w:tc>
        <w:tc>
          <w:tcPr>
            <w:tcW w:type="dxa" w:w="2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Key Physiological Features</w:t>
            </w:r>
          </w:p>
        </w:tc>
      </w:tr>
      <w:tr>
        <w:tc>
          <w:tcPr>
            <w:tcW w:type="dxa" w:w="22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bCs/>
                <w:sz w:val="18"/>
                <w:szCs w:val="18"/>
              </w:rPr>
              <w:t xml:space="preserve">Periviable / Extremely Preterm</w:t>
            </w:r>
          </w:p>
        </w:tc>
        <w:tc>
          <w:tcPr>
            <w:tcW w:type="dxa" w:w="22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22+0 to 25+6 weeks</w:t>
            </w:r>
          </w:p>
        </w:tc>
        <w:tc>
          <w:tcPr>
            <w:tcW w:type="dxa" w:w="24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400–800 g</w:t>
            </w:r>
          </w:p>
        </w:tc>
        <w:tc>
          <w:tcPr>
            <w:tcW w:type="dxa" w:w="2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Gelatinous skin, maximal TEWL, immature renal function, minimal SC fat</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Extremely Preterm</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26+0 to 27+6 weeks</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700–1100 g</w:t>
            </w:r>
          </w:p>
        </w:tc>
        <w:tc>
          <w:tcPr>
            <w:tcW w:type="dxa" w:w="2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Very high TEWL, improving but immature skin barrier, limited renal concentrating ability</w:t>
            </w:r>
          </w:p>
        </w:tc>
      </w:tr>
      <w:tr>
        <w:tc>
          <w:tcPr>
            <w:tcW w:type="dxa" w:w="22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bCs/>
                <w:sz w:val="18"/>
                <w:szCs w:val="18"/>
              </w:rPr>
              <w:t xml:space="preserve">Very Preterm</w:t>
            </w:r>
          </w:p>
        </w:tc>
        <w:tc>
          <w:tcPr>
            <w:tcW w:type="dxa" w:w="22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28+0 to 31+6 weeks</w:t>
            </w:r>
          </w:p>
        </w:tc>
        <w:tc>
          <w:tcPr>
            <w:tcW w:type="dxa" w:w="24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1000–1800 g</w:t>
            </w:r>
          </w:p>
        </w:tc>
        <w:tc>
          <w:tcPr>
            <w:tcW w:type="dxa" w:w="2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Moderate TEWL, improving skin integrity, renal function maturing but still limited</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Moderate Preterm</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32+0 to 33+6 weeks</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1500–2500 g</w:t>
            </w:r>
          </w:p>
        </w:tc>
        <w:tc>
          <w:tcPr>
            <w:tcW w:type="dxa" w:w="2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Lower TEWL, adequate skin barrier, improving renal function, may feed early</w:t>
            </w:r>
          </w:p>
        </w:tc>
      </w:tr>
      <w:tr>
        <w:tc>
          <w:tcPr>
            <w:tcW w:type="dxa" w:w="22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bCs/>
                <w:sz w:val="18"/>
                <w:szCs w:val="18"/>
              </w:rPr>
              <w:t xml:space="preserve">Late Preterm</w:t>
            </w:r>
          </w:p>
        </w:tc>
        <w:tc>
          <w:tcPr>
            <w:tcW w:type="dxa" w:w="22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34+0 to 36+6 weeks</w:t>
            </w:r>
          </w:p>
        </w:tc>
        <w:tc>
          <w:tcPr>
            <w:tcW w:type="dxa" w:w="240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2000–3200 g</w:t>
            </w:r>
          </w:p>
        </w:tc>
        <w:tc>
          <w:tcPr>
            <w:tcW w:type="dxa" w:w="2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Near-term physiology, risk of hypoglycemia, often transition to enteral feeds quickly</w:t>
            </w:r>
          </w:p>
        </w:tc>
      </w:tr>
      <w:tr>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Term</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37+0 to 42+0 weeks</w:t>
            </w:r>
          </w:p>
        </w:tc>
        <w:tc>
          <w:tcPr>
            <w:tcW w:type="dxa" w:w="2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2500–4500 g</w:t>
            </w:r>
          </w:p>
        </w:tc>
        <w:tc>
          <w:tcPr>
            <w:tcW w:type="dxa" w:w="2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Mature skin barrier, competent renal function, IVF typically short-duration or for specific pathology</w:t>
            </w:r>
          </w:p>
        </w:tc>
      </w:tr>
    </w:tbl>
    <w:p>
      <w:pPr>
        <w:spacing w:after="80"/>
      </w:pPr>
    </w:p>
    <w:p>
      <w:pPr>
        <w:spacing w:after="120" w:line="276"/>
      </w:pPr>
      <w:r>
        <w:rPr>
          <w:rFonts w:ascii="Arial" w:cs="Arial" w:eastAsia="Arial" w:hAnsi="Arial"/>
          <w:sz w:val="22"/>
          <w:szCs w:val="22"/>
        </w:rPr>
        <w:t xml:space="preserve">The calculator should store GA as a continuous variable (total days from last menstrual period) for internal calculations while presenting the categorical classification to the clinician for contextual guidance. Corrected gestational age (CGA) should also be calculated and displayed (CGA = GA at birth + postnatal age).</w:t>
      </w:r>
    </w:p>
    <w:p>
      <w:pPr>
        <w:spacing w:after="80"/>
      </w:pPr>
    </w:p>
    <w:p>
      <w:pPr>
        <w:pStyle w:val="Heading2"/>
      </w:pPr>
      <w:r>
        <w:t xml:space="preserve">2.2 Birth Weight and Current Weight</w:t>
      </w:r>
    </w:p>
    <w:p>
      <w:pPr>
        <w:spacing w:after="120" w:line="276"/>
      </w:pPr>
      <w:r>
        <w:rPr>
          <w:rFonts w:ascii="Arial" w:cs="Arial" w:eastAsia="Arial" w:hAnsi="Arial"/>
          <w:sz w:val="22"/>
          <w:szCs w:val="22"/>
        </w:rPr>
        <w:t xml:space="preserve">Birth weight serves as the primary dosing weight for the first 24–48 hours of life before the expected physiological weight loss has been fully characterized. The calculator must accept and track:</w:t>
      </w:r>
    </w:p>
    <w:p>
      <w:pPr>
        <w:pStyle w:val="ListParagraph"/>
        <w:numPr>
          <w:ilvl w:val="0"/>
          <w:numId w:val="2"/>
        </w:numPr>
        <w:spacing w:after="60" w:line="276"/>
      </w:pPr>
      <w:r>
        <w:rPr>
          <w:rFonts w:ascii="Arial" w:cs="Arial" w:eastAsia="Arial" w:hAnsi="Arial"/>
          <w:b/>
          <w:bCs/>
          <w:sz w:val="22"/>
          <w:szCs w:val="22"/>
        </w:rPr>
        <w:t xml:space="preserve">Birth Weight (BW): </w:t>
      </w:r>
      <w:r>
        <w:rPr>
          <w:rFonts w:ascii="Arial" w:cs="Arial" w:eastAsia="Arial" w:hAnsi="Arial"/>
          <w:sz w:val="22"/>
          <w:szCs w:val="22"/>
        </w:rPr>
        <w:t xml:space="preserve">Entered in grams. Used for initial fluid rate calculations and as the reference for percent weight change monitoring. The calculator should flag weights outside expected ranges for the stated gestational age using Fenton or INTERGROWTH-21st growth curves.</w:t>
      </w:r>
    </w:p>
    <w:p>
      <w:pPr>
        <w:pStyle w:val="ListParagraph"/>
        <w:numPr>
          <w:ilvl w:val="0"/>
          <w:numId w:val="2"/>
        </w:numPr>
        <w:spacing w:after="60" w:line="276"/>
      </w:pPr>
      <w:r>
        <w:rPr>
          <w:rFonts w:ascii="Arial" w:cs="Arial" w:eastAsia="Arial" w:hAnsi="Arial"/>
          <w:b/>
          <w:bCs/>
          <w:sz w:val="22"/>
          <w:szCs w:val="22"/>
        </w:rPr>
        <w:t xml:space="preserve">Current Weight (CW): </w:t>
      </w:r>
      <w:r>
        <w:rPr>
          <w:rFonts w:ascii="Arial" w:cs="Arial" w:eastAsia="Arial" w:hAnsi="Arial"/>
          <w:sz w:val="22"/>
          <w:szCs w:val="22"/>
        </w:rPr>
        <w:t xml:space="preserve">Updated daily (or more frequently in critically ill neonates). The calculator should compute percent weight change from birth weight: [(CW – BW) / BW] × 100.</w:t>
      </w:r>
    </w:p>
    <w:p>
      <w:pPr>
        <w:pStyle w:val="ListParagraph"/>
        <w:numPr>
          <w:ilvl w:val="0"/>
          <w:numId w:val="2"/>
        </w:numPr>
        <w:spacing w:after="60" w:line="276"/>
      </w:pPr>
      <w:r>
        <w:rPr>
          <w:rFonts w:ascii="Arial" w:cs="Arial" w:eastAsia="Arial" w:hAnsi="Arial"/>
          <w:b/>
          <w:bCs/>
          <w:sz w:val="22"/>
          <w:szCs w:val="22"/>
        </w:rPr>
        <w:t xml:space="preserve">Dosing Weight Selection: </w:t>
      </w:r>
      <w:r>
        <w:rPr>
          <w:rFonts w:ascii="Arial" w:cs="Arial" w:eastAsia="Arial" w:hAnsi="Arial"/>
          <w:sz w:val="22"/>
          <w:szCs w:val="22"/>
        </w:rPr>
        <w:t xml:space="preserve">The calculator must allow the clinician to select whether to use birth weight or current weight for rate calculations. Standard practice uses birth weight through DOL 3–5 or until the nadir of physiological weight loss, then transitions to current weight. For infants with significant edema, dry weight estimation should be supported.</w:t>
      </w:r>
    </w:p>
    <w:p>
      <w:pPr>
        <w:spacing w:after="80"/>
      </w:pPr>
    </w:p>
    <w:p>
      <w:pPr>
        <w:spacing w:after="120" w:line="276"/>
      </w:pPr>
      <w:r>
        <w:rPr>
          <w:rFonts w:ascii="Arial" w:cs="Arial" w:eastAsia="Arial" w:hAnsi="Arial"/>
          <w:sz w:val="22"/>
          <w:szCs w:val="22"/>
        </w:rPr>
        <w:t xml:space="preserve">Expected physiological weight loss targets by GA category serve as important monitoring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GA Category</w:t>
            </w:r>
          </w:p>
        </w:tc>
        <w:tc>
          <w:tcPr>
            <w:tcW w:type="dxa" w:w="312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Expected Weight Loss (%BW)</w:t>
            </w:r>
          </w:p>
        </w:tc>
        <w:tc>
          <w:tcPr>
            <w:tcW w:type="dxa" w:w="312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Typical Nadir (DOL)</w:t>
            </w:r>
          </w:p>
        </w:tc>
      </w:tr>
      <w:tr>
        <w:tc>
          <w:tcPr>
            <w:tcW w:type="dxa" w:w="312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22–25 weeks</w:t>
            </w:r>
          </w:p>
        </w:tc>
        <w:tc>
          <w:tcPr>
            <w:tcW w:type="dxa" w:w="312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10–20% (up to 25% in periviable)</w:t>
            </w:r>
          </w:p>
        </w:tc>
        <w:tc>
          <w:tcPr>
            <w:tcW w:type="dxa" w:w="312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DOL 4–7</w:t>
            </w:r>
          </w:p>
        </w:tc>
      </w:tr>
      <w:tr>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26–27 weeks</w:t>
            </w:r>
          </w:p>
        </w:tc>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10–18%</w:t>
            </w:r>
          </w:p>
        </w:tc>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DOL 4–6</w:t>
            </w:r>
          </w:p>
        </w:tc>
      </w:tr>
      <w:tr>
        <w:tc>
          <w:tcPr>
            <w:tcW w:type="dxa" w:w="312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28–31 weeks</w:t>
            </w:r>
          </w:p>
        </w:tc>
        <w:tc>
          <w:tcPr>
            <w:tcW w:type="dxa" w:w="312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7–15%</w:t>
            </w:r>
          </w:p>
        </w:tc>
        <w:tc>
          <w:tcPr>
            <w:tcW w:type="dxa" w:w="312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DOL 3–5</w:t>
            </w:r>
          </w:p>
        </w:tc>
      </w:tr>
      <w:tr>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32–36 weeks</w:t>
            </w:r>
          </w:p>
        </w:tc>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5–10%</w:t>
            </w:r>
          </w:p>
        </w:tc>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DOL 3–4</w:t>
            </w:r>
          </w:p>
        </w:tc>
      </w:tr>
      <w:tr>
        <w:tc>
          <w:tcPr>
            <w:tcW w:type="dxa" w:w="312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≥37 weeks</w:t>
            </w:r>
          </w:p>
        </w:tc>
        <w:tc>
          <w:tcPr>
            <w:tcW w:type="dxa" w:w="312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5–7%</w:t>
            </w:r>
          </w:p>
        </w:tc>
        <w:tc>
          <w:tcPr>
            <w:tcW w:type="dxa" w:w="312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DOL 2–3</w:t>
            </w:r>
          </w:p>
        </w:tc>
      </w:tr>
    </w:tbl>
    <w:p>
      <w:pPr>
        <w:spacing w:after="80"/>
      </w:pPr>
    </w:p>
    <w:p>
      <w:pPr>
        <w:pStyle w:val="Heading2"/>
      </w:pPr>
      <w:r>
        <w:t xml:space="preserve">2.3 Day of Life (DOL)</w:t>
      </w:r>
    </w:p>
    <w:p>
      <w:pPr>
        <w:spacing w:after="120" w:line="276"/>
      </w:pPr>
      <w:r>
        <w:rPr>
          <w:rFonts w:ascii="Arial" w:cs="Arial" w:eastAsia="Arial" w:hAnsi="Arial"/>
          <w:sz w:val="22"/>
          <w:szCs w:val="22"/>
        </w:rPr>
        <w:t xml:space="preserve">The day of life is a critical temporal variable that drives the progression of fluid rates. DOL 0 is defined as the calendar day of birth (from birth to midnight). The calculator must:</w:t>
      </w:r>
    </w:p>
    <w:p>
      <w:pPr>
        <w:pStyle w:val="ListParagraph"/>
        <w:numPr>
          <w:ilvl w:val="0"/>
          <w:numId w:val="2"/>
        </w:numPr>
        <w:spacing w:after="60" w:line="276"/>
      </w:pPr>
      <w:r>
        <w:rPr>
          <w:rFonts w:ascii="Arial" w:cs="Arial" w:eastAsia="Arial" w:hAnsi="Arial"/>
          <w:b/>
          <w:bCs/>
          <w:sz w:val="22"/>
          <w:szCs w:val="22"/>
        </w:rPr>
        <w:t xml:space="preserve">Accept DOL as integer: </w:t>
      </w:r>
      <w:r>
        <w:rPr>
          <w:rFonts w:ascii="Arial" w:cs="Arial" w:eastAsia="Arial" w:hAnsi="Arial"/>
          <w:sz w:val="22"/>
          <w:szCs w:val="22"/>
        </w:rPr>
        <w:t xml:space="preserve">DOL 0, 1, 2, 3, 4, 5, 6, 7. Some calculators extend to DOL 14 or 28 for ongoing management.</w:t>
      </w:r>
    </w:p>
    <w:p>
      <w:pPr>
        <w:pStyle w:val="ListParagraph"/>
        <w:numPr>
          <w:ilvl w:val="0"/>
          <w:numId w:val="2"/>
        </w:numPr>
        <w:spacing w:after="60" w:line="276"/>
      </w:pPr>
      <w:r>
        <w:rPr>
          <w:rFonts w:ascii="Arial" w:cs="Arial" w:eastAsia="Arial" w:hAnsi="Arial"/>
          <w:b/>
          <w:bCs/>
          <w:sz w:val="22"/>
          <w:szCs w:val="22"/>
        </w:rPr>
        <w:t xml:space="preserve">Calculate DOL automatically: </w:t>
      </w:r>
      <w:r>
        <w:rPr>
          <w:rFonts w:ascii="Arial" w:cs="Arial" w:eastAsia="Arial" w:hAnsi="Arial"/>
          <w:sz w:val="22"/>
          <w:szCs w:val="22"/>
        </w:rPr>
        <w:t xml:space="preserve">From date/time of birth and current date/time.</w:t>
      </w:r>
    </w:p>
    <w:p>
      <w:pPr>
        <w:pStyle w:val="ListParagraph"/>
        <w:numPr>
          <w:ilvl w:val="0"/>
          <w:numId w:val="2"/>
        </w:numPr>
        <w:spacing w:after="60" w:line="276"/>
      </w:pPr>
      <w:r>
        <w:rPr>
          <w:rFonts w:ascii="Arial" w:cs="Arial" w:eastAsia="Arial" w:hAnsi="Arial"/>
          <w:b/>
          <w:bCs/>
          <w:sz w:val="22"/>
          <w:szCs w:val="22"/>
        </w:rPr>
        <w:t xml:space="preserve">Account for postnatal age in hours: </w:t>
      </w:r>
      <w:r>
        <w:rPr>
          <w:rFonts w:ascii="Arial" w:cs="Arial" w:eastAsia="Arial" w:hAnsi="Arial"/>
          <w:sz w:val="22"/>
          <w:szCs w:val="22"/>
        </w:rPr>
        <w:t xml:space="preserve">Particularly on DOL 0 where the duration since birth matters (e.g., a 2-hour-old infant vs. a 20-hour-old infant on DOL 0 may have different requirements).</w:t>
      </w:r>
    </w:p>
    <w:p>
      <w:pPr>
        <w:pStyle w:val="ListParagraph"/>
        <w:numPr>
          <w:ilvl w:val="0"/>
          <w:numId w:val="2"/>
        </w:numPr>
        <w:spacing w:after="60" w:line="276"/>
      </w:pPr>
      <w:r>
        <w:rPr>
          <w:rFonts w:ascii="Arial" w:cs="Arial" w:eastAsia="Arial" w:hAnsi="Arial"/>
          <w:b/>
          <w:bCs/>
          <w:sz w:val="22"/>
          <w:szCs w:val="22"/>
        </w:rPr>
        <w:t xml:space="preserve">Drive rate progression: </w:t>
      </w:r>
      <w:r>
        <w:rPr>
          <w:rFonts w:ascii="Arial" w:cs="Arial" w:eastAsia="Arial" w:hAnsi="Arial"/>
          <w:sz w:val="22"/>
          <w:szCs w:val="22"/>
        </w:rPr>
        <w:t xml:space="preserve">Fluid rates typically increase by 10–30 mL/kg/day over the first 5–7 days depending on GA, clinical course, and tolerance.</w:t>
      </w:r>
    </w:p>
    <w:p>
      <w:pPr>
        <w:spacing w:after="80"/>
      </w:pPr>
    </w:p>
    <w:p>
      <w:pPr>
        <w:pStyle w:val="Heading2"/>
      </w:pPr>
      <w:r>
        <w:t xml:space="preserve">2.4 Postnatal Age in Hours</w:t>
      </w:r>
    </w:p>
    <w:p>
      <w:pPr>
        <w:spacing w:after="120" w:line="276"/>
      </w:pPr>
      <w:r>
        <w:rPr>
          <w:rFonts w:ascii="Arial" w:cs="Arial" w:eastAsia="Arial" w:hAnsi="Arial"/>
          <w:sz w:val="22"/>
          <w:szCs w:val="22"/>
        </w:rPr>
        <w:t xml:space="preserve">Particularly relevant on DOL 0, the postnatal age in hours allows more granular fluid management. Key decision points include:</w:t>
      </w:r>
    </w:p>
    <w:p>
      <w:pPr>
        <w:pStyle w:val="ListParagraph"/>
        <w:numPr>
          <w:ilvl w:val="0"/>
          <w:numId w:val="2"/>
        </w:numPr>
        <w:spacing w:after="60" w:line="276"/>
      </w:pPr>
      <w:r>
        <w:rPr>
          <w:rFonts w:ascii="Arial" w:cs="Arial" w:eastAsia="Arial" w:hAnsi="Arial"/>
          <w:sz w:val="22"/>
          <w:szCs w:val="22"/>
        </w:rPr>
        <w:t xml:space="preserve">0–6 hours: Initial stabilization fluids, typically D10W at 60–80 mL/kg/day (GA-dependent)</w:t>
      </w:r>
    </w:p>
    <w:p>
      <w:pPr>
        <w:pStyle w:val="ListParagraph"/>
        <w:numPr>
          <w:ilvl w:val="0"/>
          <w:numId w:val="2"/>
        </w:numPr>
        <w:spacing w:after="60" w:line="276"/>
      </w:pPr>
      <w:r>
        <w:rPr>
          <w:rFonts w:ascii="Arial" w:cs="Arial" w:eastAsia="Arial" w:hAnsi="Arial"/>
          <w:sz w:val="22"/>
          <w:szCs w:val="22"/>
        </w:rPr>
        <w:t xml:space="preserve">6–12 hours: First electrolyte assessment, potential addition of calcium gluconate</w:t>
      </w:r>
    </w:p>
    <w:p>
      <w:pPr>
        <w:pStyle w:val="ListParagraph"/>
        <w:numPr>
          <w:ilvl w:val="0"/>
          <w:numId w:val="2"/>
        </w:numPr>
        <w:spacing w:after="60" w:line="276"/>
      </w:pPr>
      <w:r>
        <w:rPr>
          <w:rFonts w:ascii="Arial" w:cs="Arial" w:eastAsia="Arial" w:hAnsi="Arial"/>
          <w:sz w:val="22"/>
          <w:szCs w:val="22"/>
        </w:rPr>
        <w:t xml:space="preserve">12–24 hours: First urine output assessment, consider sodium and potassium addition based on labs</w:t>
      </w:r>
    </w:p>
    <w:p>
      <w:pPr>
        <w:pStyle w:val="ListParagraph"/>
        <w:numPr>
          <w:ilvl w:val="0"/>
          <w:numId w:val="2"/>
        </w:numPr>
        <w:spacing w:after="60" w:line="276"/>
      </w:pPr>
      <w:r>
        <w:rPr>
          <w:rFonts w:ascii="Arial" w:cs="Arial" w:eastAsia="Arial" w:hAnsi="Arial"/>
          <w:sz w:val="22"/>
          <w:szCs w:val="22"/>
        </w:rPr>
        <w:t xml:space="preserve">24+ hours: Transition to DOL 1 protocol with planned rate advancement</w:t>
      </w:r>
    </w:p>
    <w:p>
      <w:pPr>
        <w:spacing w:after="80"/>
      </w:pPr>
    </w:p>
    <w:p>
      <w:pPr>
        <w:pStyle w:val="Heading2"/>
      </w:pPr>
      <w:r>
        <w:t xml:space="preserve">2.5 Sex</w:t>
      </w:r>
    </w:p>
    <w:p>
      <w:pPr>
        <w:spacing w:after="120" w:line="276"/>
      </w:pPr>
      <w:r>
        <w:rPr>
          <w:rFonts w:ascii="Arial" w:cs="Arial" w:eastAsia="Arial" w:hAnsi="Arial"/>
          <w:sz w:val="22"/>
          <w:szCs w:val="22"/>
        </w:rPr>
        <w:t xml:space="preserve">While not a primary determinant of fluid rates, sex should be recorded as an input variable for proper growth chart reference (Fenton curves are sex-specific) and for flagging conditions with sex-linked prevalence differences. Male infants have slightly higher insensible water losses in some studies, though this is not typically a clinical decision-driver.</w:t>
      </w:r>
    </w:p>
    <w:p>
      <w:r>
        <w:br w:type="page"/>
      </w:r>
    </w:p>
    <w:p>
      <w:pPr>
        <w:pStyle w:val="Heading1"/>
      </w:pPr>
      <w:r>
        <w:t xml:space="preserve">3. Baseline Fluid Rate Calculations by Gestational Age and Day of Life</w:t>
      </w:r>
    </w:p>
    <w:p>
      <w:pPr>
        <w:spacing w:after="80"/>
      </w:pPr>
    </w:p>
    <w:p>
      <w:pPr>
        <w:spacing w:after="120" w:line="276"/>
      </w:pPr>
      <w:r>
        <w:rPr>
          <w:rFonts w:ascii="Arial" w:cs="Arial" w:eastAsia="Arial" w:hAnsi="Arial"/>
          <w:sz w:val="22"/>
          <w:szCs w:val="22"/>
        </w:rPr>
        <w:t xml:space="preserve">The core function of the IVF calculator is to generate a recommended total fluid intake (TFI) in mL/kg/day for each combination of gestational age category and day of life. The following tables represent consensus starting points derived from major neonatal textbooks (Fanaroff, Cloherty, Gomella) and institutional protocols from leading U.S. NICUs. These rates assume the infant is in a humidified incubator (humidity ≥70% for infants &lt;28 weeks GA) and do not yet incorporate clinical modifiers.</w:t>
      </w:r>
    </w:p>
    <w:p>
      <w:pPr>
        <w:spacing w:after="80"/>
      </w:pPr>
    </w:p>
    <w:p>
      <w:pPr>
        <w:pStyle w:val="Heading2"/>
      </w:pPr>
      <w:r>
        <w:t xml:space="preserve">3.1 Extremely Preterm Infants (22–25+6 Weeks GA)</w:t>
      </w:r>
    </w:p>
    <w:p>
      <w:pPr>
        <w:spacing w:after="120" w:line="276"/>
      </w:pPr>
      <w:r>
        <w:rPr>
          <w:rFonts w:ascii="Arial" w:cs="Arial" w:eastAsia="Arial" w:hAnsi="Arial"/>
          <w:sz w:val="22"/>
          <w:szCs w:val="22"/>
        </w:rPr>
        <w:t xml:space="preserve">This population has the highest insensible water loss (IWL) due to immature, gelatinous skin with minimal keratinization. Transepidermal water loss (TEWL) can exceed 60–100 mL/kg/day in the first 48–72 hours without humidification. These infants require the most aggressive fluid management and the most careful monitoring.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Parameter</w:t>
            </w:r>
          </w:p>
        </w:tc>
        <w:tc>
          <w:tcPr>
            <w:tcW w:type="dxa" w:w="117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0</w:t>
            </w:r>
          </w:p>
        </w:tc>
        <w:tc>
          <w:tcPr>
            <w:tcW w:type="dxa" w:w="117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1</w:t>
            </w:r>
          </w:p>
        </w:tc>
        <w:tc>
          <w:tcPr>
            <w:tcW w:type="dxa" w:w="117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2</w:t>
            </w:r>
          </w:p>
        </w:tc>
        <w:tc>
          <w:tcPr>
            <w:tcW w:type="dxa" w:w="117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3</w:t>
            </w:r>
          </w:p>
        </w:tc>
        <w:tc>
          <w:tcPr>
            <w:tcW w:type="dxa" w:w="117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4</w:t>
            </w:r>
          </w:p>
        </w:tc>
        <w:tc>
          <w:tcPr>
            <w:tcW w:type="dxa" w:w="117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5</w:t>
            </w:r>
          </w:p>
        </w:tc>
        <w:tc>
          <w:tcPr>
            <w:tcW w:type="dxa" w:w="117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6–7</w:t>
            </w:r>
          </w:p>
        </w:tc>
      </w:tr>
      <w:tr>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bCs/>
                <w:sz w:val="18"/>
                <w:szCs w:val="18"/>
              </w:rPr>
              <w:t xml:space="preserve">TFI (mL/kg/day)</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80–100</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100–120</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120–140</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130–150</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140–160</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140–160</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150–170</w:t>
            </w:r>
          </w:p>
        </w:tc>
      </w:tr>
      <w:tr>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Dextrose (%)</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D10W</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D10W</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D10–D12.5</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D10–D12.5</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D10–TPN</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TPN</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TPN</w:t>
            </w:r>
          </w:p>
        </w:tc>
      </w:tr>
      <w:tr>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bCs/>
                <w:sz w:val="18"/>
                <w:szCs w:val="18"/>
              </w:rPr>
              <w:t xml:space="preserve">Target GIR (mg/kg/min)</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5–8</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5–8</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6–8</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6–10</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8–12</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8–12</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10–12</w:t>
            </w:r>
          </w:p>
        </w:tc>
      </w:tr>
      <w:tr>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Na+ Addition</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None</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None*</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2–4 mEq/kg/d</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2–4 mEq/kg/d</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3–5 mEq/kg/d</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3–5 mEq/kg/d</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3–5 mEq/kg/d</w:t>
            </w:r>
          </w:p>
        </w:tc>
      </w:tr>
      <w:tr>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bCs/>
                <w:sz w:val="18"/>
                <w:szCs w:val="18"/>
              </w:rPr>
              <w:t xml:space="preserve">K+ Addition</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None</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None</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0–2 mEq/kg/d**</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1–2 mEq/kg/d</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1–2 mEq/kg/d</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1–2 mEq/kg/d</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1–3 mEq/kg/d</w:t>
            </w:r>
          </w:p>
        </w:tc>
      </w:tr>
      <w:tr>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Ca++ (gluconate)</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200 mg/kg/d</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200 mg/kg/d</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200 mg/kg/d</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Per TPN</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Per TPN</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Per TPN</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Per TPN</w:t>
            </w:r>
          </w:p>
        </w:tc>
      </w:tr>
    </w:tbl>
    <w:p>
      <w:pPr>
        <w:spacing w:after="80"/>
      </w:pPr>
    </w:p>
    <w:p>
      <w:pPr>
        <w:spacing w:after="120" w:line="276"/>
      </w:pPr>
      <w:r>
        <w:rPr>
          <w:rFonts w:ascii="Arial" w:cs="Arial" w:eastAsia="Arial" w:hAnsi="Arial"/>
          <w:sz w:val="22"/>
          <w:szCs w:val="22"/>
        </w:rPr>
        <w:t xml:space="preserve">* Sodium may be started on DOL 1 if serum Na+ &lt;135 mEq/L. Some centers delay sodium until urine output is established (&gt;1 mL/kg/hr for 6–12 hours).</w:t>
      </w:r>
    </w:p>
    <w:p>
      <w:pPr>
        <w:spacing w:after="120" w:line="276"/>
      </w:pPr>
      <w:r>
        <w:rPr>
          <w:rFonts w:ascii="Arial" w:cs="Arial" w:eastAsia="Arial" w:hAnsi="Arial"/>
          <w:sz w:val="22"/>
          <w:szCs w:val="22"/>
        </w:rPr>
        <w:t xml:space="preserve">** Potassium is withheld until urine output is confirmed and serum K+ &lt;5.5 mEq/L. Non-oliguric hyperkalemia is common in ELBW infants.</w:t>
      </w:r>
    </w:p>
    <w:p>
      <w:pPr>
        <w:spacing w:after="80"/>
      </w:pPr>
    </w:p>
    <w:p>
      <w:pPr>
        <w:pStyle w:val="Heading2"/>
      </w:pPr>
      <w:r>
        <w:t xml:space="preserve">3.2 Very Preterm Infants (28–31+6 Weeks GA)</w:t>
      </w:r>
    </w:p>
    <w:p>
      <w:pPr>
        <w:spacing w:after="120" w:line="276"/>
      </w:pPr>
      <w:r>
        <w:rPr>
          <w:rFonts w:ascii="Arial" w:cs="Arial" w:eastAsia="Arial" w:hAnsi="Arial"/>
          <w:sz w:val="22"/>
          <w:szCs w:val="22"/>
        </w:rPr>
        <w:t xml:space="preserve">These infants have improved skin integrity compared to extremely preterm infants but still have significant transepidermal water loss, particularly if GA &lt;30 weeks. Renal concentrating ability is improving but remains limited. Most will require parenteral nutrition by DOL 2–3 if enteral feeds are not advancing.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Parameter</w:t>
            </w:r>
          </w:p>
        </w:tc>
        <w:tc>
          <w:tcPr>
            <w:tcW w:type="dxa" w:w="117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0</w:t>
            </w:r>
          </w:p>
        </w:tc>
        <w:tc>
          <w:tcPr>
            <w:tcW w:type="dxa" w:w="117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1</w:t>
            </w:r>
          </w:p>
        </w:tc>
        <w:tc>
          <w:tcPr>
            <w:tcW w:type="dxa" w:w="117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2</w:t>
            </w:r>
          </w:p>
        </w:tc>
        <w:tc>
          <w:tcPr>
            <w:tcW w:type="dxa" w:w="117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3</w:t>
            </w:r>
          </w:p>
        </w:tc>
        <w:tc>
          <w:tcPr>
            <w:tcW w:type="dxa" w:w="117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4</w:t>
            </w:r>
          </w:p>
        </w:tc>
        <w:tc>
          <w:tcPr>
            <w:tcW w:type="dxa" w:w="117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5</w:t>
            </w:r>
          </w:p>
        </w:tc>
        <w:tc>
          <w:tcPr>
            <w:tcW w:type="dxa" w:w="117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6–7</w:t>
            </w:r>
          </w:p>
        </w:tc>
      </w:tr>
      <w:tr>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bCs/>
                <w:sz w:val="18"/>
                <w:szCs w:val="18"/>
              </w:rPr>
              <w:t xml:space="preserve">TFI (mL/kg/day)</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70–90</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80–100</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100–120</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120–140</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130–150</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140–160</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140–160</w:t>
            </w:r>
          </w:p>
        </w:tc>
      </w:tr>
      <w:tr>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Dextrose (%)</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D10W</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D10W</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D10W</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D10–TPN</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TPN</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TPN</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TPN</w:t>
            </w:r>
          </w:p>
        </w:tc>
      </w:tr>
      <w:tr>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bCs/>
                <w:sz w:val="18"/>
                <w:szCs w:val="18"/>
              </w:rPr>
              <w:t xml:space="preserve">Target GIR</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4–7</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5–8</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5–8</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6–10</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8–12</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8–12</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10–12</w:t>
            </w:r>
          </w:p>
        </w:tc>
      </w:tr>
      <w:tr>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Na+ Addition</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None</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None*</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2–3 mEq/kg/d</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2–4 mEq/kg/d</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2–4 mEq/kg/d</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3–4 mEq/kg/d</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3–4 mEq/kg/d</w:t>
            </w:r>
          </w:p>
        </w:tc>
      </w:tr>
      <w:tr>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bCs/>
                <w:sz w:val="18"/>
                <w:szCs w:val="18"/>
              </w:rPr>
              <w:t xml:space="preserve">K+ Addition</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None</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None</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1–2 mEq/kg/d</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1–2 mEq/kg/d</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1–2 mEq/kg/d</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1–2 mEq/kg/d</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1–3 mEq/kg/d</w:t>
            </w:r>
          </w:p>
        </w:tc>
      </w:tr>
    </w:tbl>
    <w:p>
      <w:pPr>
        <w:spacing w:after="80"/>
      </w:pPr>
    </w:p>
    <w:p>
      <w:pPr>
        <w:pStyle w:val="Heading2"/>
      </w:pPr>
      <w:r>
        <w:t xml:space="preserve">3.3 Moderate Preterm Infants (32–33+6 Weeks GA)</w:t>
      </w:r>
    </w:p>
    <w:p>
      <w:pPr>
        <w:spacing w:after="120" w:line="276"/>
      </w:pPr>
      <w:r>
        <w:rPr>
          <w:rFonts w:ascii="Arial" w:cs="Arial" w:eastAsia="Arial" w:hAnsi="Arial"/>
          <w:sz w:val="22"/>
          <w:szCs w:val="22"/>
        </w:rPr>
        <w:t xml:space="preserve">Moderate preterm infants have substantially improved skin barrier function and more mature renal physiology. Many will initiate enteral feeds within 24–48 hours and may transition off IV fluids by DOL 3–5. The IVF calculator should track enteral intake and subtract from TFI to compute the IV component.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Parameter</w:t>
            </w:r>
          </w:p>
        </w:tc>
        <w:tc>
          <w:tcPr>
            <w:tcW w:type="dxa" w:w="117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0</w:t>
            </w:r>
          </w:p>
        </w:tc>
        <w:tc>
          <w:tcPr>
            <w:tcW w:type="dxa" w:w="117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1</w:t>
            </w:r>
          </w:p>
        </w:tc>
        <w:tc>
          <w:tcPr>
            <w:tcW w:type="dxa" w:w="117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2</w:t>
            </w:r>
          </w:p>
        </w:tc>
        <w:tc>
          <w:tcPr>
            <w:tcW w:type="dxa" w:w="117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3</w:t>
            </w:r>
          </w:p>
        </w:tc>
        <w:tc>
          <w:tcPr>
            <w:tcW w:type="dxa" w:w="117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4</w:t>
            </w:r>
          </w:p>
        </w:tc>
        <w:tc>
          <w:tcPr>
            <w:tcW w:type="dxa" w:w="117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5</w:t>
            </w:r>
          </w:p>
        </w:tc>
        <w:tc>
          <w:tcPr>
            <w:tcW w:type="dxa" w:w="117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6–7</w:t>
            </w:r>
          </w:p>
        </w:tc>
      </w:tr>
      <w:tr>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bCs/>
                <w:sz w:val="18"/>
                <w:szCs w:val="18"/>
              </w:rPr>
              <w:t xml:space="preserve">TFI (mL/kg/day)</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60–80</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80–100</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100–120</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120–140</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130–150</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140–150</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140–160</w:t>
            </w:r>
          </w:p>
        </w:tc>
      </w:tr>
      <w:tr>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Dextrose (%)</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D10W</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D10W</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D10W</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D10–TPN</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TPN/Enteral</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Enteral ± IVF</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Enteral</w:t>
            </w:r>
          </w:p>
        </w:tc>
      </w:tr>
    </w:tbl>
    <w:p>
      <w:pPr>
        <w:spacing w:after="80"/>
      </w:pPr>
    </w:p>
    <w:p>
      <w:pPr>
        <w:pStyle w:val="Heading2"/>
      </w:pPr>
      <w:r>
        <w:t xml:space="preserve">3.4 Late Preterm Infants (34–36+6 Weeks GA)</w:t>
      </w:r>
    </w:p>
    <w:p>
      <w:pPr>
        <w:spacing w:after="120" w:line="276"/>
      </w:pPr>
      <w:r>
        <w:rPr>
          <w:rFonts w:ascii="Arial" w:cs="Arial" w:eastAsia="Arial" w:hAnsi="Arial"/>
          <w:sz w:val="22"/>
          <w:szCs w:val="22"/>
        </w:rPr>
        <w:t xml:space="preserve">Late preterm infants approximate term physiology but remain at elevated risk for hypoglycemia, hypothermia, and feeding difficulties. Many are managed in Level II nurseries and may require IVF only briefly for hypoglycemia management or poor feeding. The calculator should support a simplified pathway for this population.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Parameter</w:t>
            </w:r>
          </w:p>
        </w:tc>
        <w:tc>
          <w:tcPr>
            <w:tcW w:type="dxa" w:w="117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0</w:t>
            </w:r>
          </w:p>
        </w:tc>
        <w:tc>
          <w:tcPr>
            <w:tcW w:type="dxa" w:w="117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1</w:t>
            </w:r>
          </w:p>
        </w:tc>
        <w:tc>
          <w:tcPr>
            <w:tcW w:type="dxa" w:w="117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2</w:t>
            </w:r>
          </w:p>
        </w:tc>
        <w:tc>
          <w:tcPr>
            <w:tcW w:type="dxa" w:w="117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3</w:t>
            </w:r>
          </w:p>
        </w:tc>
        <w:tc>
          <w:tcPr>
            <w:tcW w:type="dxa" w:w="117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4</w:t>
            </w:r>
          </w:p>
        </w:tc>
        <w:tc>
          <w:tcPr>
            <w:tcW w:type="dxa" w:w="117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5</w:t>
            </w:r>
          </w:p>
        </w:tc>
        <w:tc>
          <w:tcPr>
            <w:tcW w:type="dxa" w:w="117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6–7</w:t>
            </w:r>
          </w:p>
        </w:tc>
      </w:tr>
      <w:tr>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bCs/>
                <w:sz w:val="18"/>
                <w:szCs w:val="18"/>
              </w:rPr>
              <w:t xml:space="preserve">TFI (mL/kg/day)</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60–80</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80–100</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100–120</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120–140</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130–150</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Full feeds goal</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Full feeds goal</w:t>
            </w:r>
          </w:p>
        </w:tc>
      </w:tr>
      <w:tr>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Dextrose (%)</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D10W</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D10W</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D10–Enteral</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Enteral</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Enteral</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Enteral</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Enteral</w:t>
            </w:r>
          </w:p>
        </w:tc>
      </w:tr>
    </w:tbl>
    <w:p>
      <w:pPr>
        <w:spacing w:after="80"/>
      </w:pPr>
    </w:p>
    <w:p>
      <w:pPr>
        <w:pStyle w:val="Heading2"/>
      </w:pPr>
      <w:r>
        <w:t xml:space="preserve">3.5 Term Infants (37–42 Weeks GA)</w:t>
      </w:r>
    </w:p>
    <w:p>
      <w:pPr>
        <w:spacing w:after="120" w:line="276"/>
      </w:pPr>
      <w:r>
        <w:rPr>
          <w:rFonts w:ascii="Arial" w:cs="Arial" w:eastAsia="Arial" w:hAnsi="Arial"/>
          <w:sz w:val="22"/>
          <w:szCs w:val="22"/>
        </w:rPr>
        <w:t xml:space="preserve">Term infants requiring IVF typically have a specific clinical indication such as hypoglycemia (including infants of diabetic mothers), respiratory distress requiring NPO status, perinatal asphyxia with therapeutic hypothermia, surgical conditions, or sepsis evaluation with feeding intolerance. The baseline rates below apply to term infants maintained on IVF for these indications.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Parameter</w:t>
            </w:r>
          </w:p>
        </w:tc>
        <w:tc>
          <w:tcPr>
            <w:tcW w:type="dxa" w:w="117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0</w:t>
            </w:r>
          </w:p>
        </w:tc>
        <w:tc>
          <w:tcPr>
            <w:tcW w:type="dxa" w:w="117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1</w:t>
            </w:r>
          </w:p>
        </w:tc>
        <w:tc>
          <w:tcPr>
            <w:tcW w:type="dxa" w:w="117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2</w:t>
            </w:r>
          </w:p>
        </w:tc>
        <w:tc>
          <w:tcPr>
            <w:tcW w:type="dxa" w:w="117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3</w:t>
            </w:r>
          </w:p>
        </w:tc>
        <w:tc>
          <w:tcPr>
            <w:tcW w:type="dxa" w:w="117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4</w:t>
            </w:r>
          </w:p>
        </w:tc>
        <w:tc>
          <w:tcPr>
            <w:tcW w:type="dxa" w:w="117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5</w:t>
            </w:r>
          </w:p>
        </w:tc>
        <w:tc>
          <w:tcPr>
            <w:tcW w:type="dxa" w:w="117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6–7</w:t>
            </w:r>
          </w:p>
        </w:tc>
      </w:tr>
      <w:tr>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bCs/>
                <w:sz w:val="18"/>
                <w:szCs w:val="18"/>
              </w:rPr>
              <w:t xml:space="preserve">TFI (mL/kg/day)</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60–80</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80–100</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100–120</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120–140</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140–150</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140–150</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140–160</w:t>
            </w:r>
          </w:p>
        </w:tc>
      </w:tr>
      <w:tr>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Dextrose (%)</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D10W</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D10W</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D10W</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D10–D12.5</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Per clinical</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Per clinical</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Per clinical</w:t>
            </w:r>
          </w:p>
        </w:tc>
      </w:tr>
    </w:tbl>
    <w:p>
      <w:r>
        <w:br w:type="page"/>
      </w:r>
    </w:p>
    <w:p>
      <w:pPr>
        <w:pStyle w:val="Heading1"/>
      </w:pPr>
      <w:r>
        <w:t xml:space="preserve">4. Glucose Infusion Rate (GIR) Calculations</w:t>
      </w:r>
    </w:p>
    <w:p>
      <w:pPr>
        <w:spacing w:after="80"/>
      </w:pPr>
    </w:p>
    <w:p>
      <w:pPr>
        <w:spacing w:after="120" w:line="276"/>
      </w:pPr>
      <w:r>
        <w:rPr>
          <w:rFonts w:ascii="Arial" w:cs="Arial" w:eastAsia="Arial" w:hAnsi="Arial"/>
          <w:sz w:val="22"/>
          <w:szCs w:val="22"/>
        </w:rPr>
        <w:t xml:space="preserve">The glucose infusion rate is a derived value that represents the rate of glucose delivery in mg/kg/min. It is the single most important metabolic parameter to monitor alongside total fluid volume. The calculator must compute GIR in real time as fluid rates, dextrose concentrations, and weights change.</w:t>
      </w:r>
    </w:p>
    <w:p>
      <w:pPr>
        <w:spacing w:after="80"/>
      </w:pPr>
    </w:p>
    <w:p>
      <w:pPr>
        <w:pStyle w:val="Heading2"/>
      </w:pPr>
      <w:r>
        <w:t xml:space="preserve">4.1 GIR Formula</w:t>
      </w:r>
    </w:p>
    <w:p>
      <w:pPr>
        <w:spacing w:after="120" w:line="276"/>
      </w:pPr>
      <w:r>
        <w:rPr>
          <w:rFonts w:ascii="Arial" w:cs="Arial" w:eastAsia="Arial" w:hAnsi="Arial"/>
          <w:sz w:val="22"/>
          <w:szCs w:val="22"/>
        </w:rPr>
        <w:t xml:space="preserve">The standard GIR formula is:</w:t>
      </w:r>
    </w:p>
    <w:p>
      <w:pPr>
        <w:spacing w:after="80"/>
      </w:pPr>
    </w:p>
    <w:p>
      <w:pPr>
        <w:spacing w:after="120" w:before="120"/>
        <w:jc w:val="center"/>
      </w:pPr>
      <w:r>
        <w:rPr>
          <w:rFonts w:ascii="Courier New" w:cs="Courier New" w:eastAsia="Courier New" w:hAnsi="Courier New"/>
          <w:b/>
          <w:bCs/>
          <w:sz w:val="22"/>
          <w:szCs w:val="22"/>
        </w:rPr>
        <w:t xml:space="preserve">GIR (mg/kg/min) = [Dextrose Concentration (%) × IV Rate (mL/hr) × 1000] / [Weight (g) × 60 × 100]</w:t>
      </w:r>
    </w:p>
    <w:p>
      <w:pPr>
        <w:spacing w:after="80"/>
      </w:pPr>
    </w:p>
    <w:p>
      <w:pPr>
        <w:spacing w:after="120" w:line="276"/>
      </w:pPr>
      <w:r>
        <w:rPr>
          <w:rFonts w:ascii="Arial" w:cs="Arial" w:eastAsia="Arial" w:hAnsi="Arial"/>
          <w:sz w:val="22"/>
          <w:szCs w:val="22"/>
        </w:rPr>
        <w:t xml:space="preserve">Simplified:</w:t>
      </w:r>
    </w:p>
    <w:p>
      <w:pPr>
        <w:spacing w:after="120" w:before="120"/>
        <w:jc w:val="center"/>
      </w:pPr>
      <w:r>
        <w:rPr>
          <w:rFonts w:ascii="Courier New" w:cs="Courier New" w:eastAsia="Courier New" w:hAnsi="Courier New"/>
          <w:b/>
          <w:bCs/>
          <w:sz w:val="22"/>
          <w:szCs w:val="22"/>
        </w:rPr>
        <w:t xml:space="preserve">GIR = [Dextrose (%) × Rate (mL/kg/day)] / 144</w:t>
      </w:r>
    </w:p>
    <w:p>
      <w:pPr>
        <w:spacing w:after="80"/>
      </w:pPr>
    </w:p>
    <w:p>
      <w:pPr>
        <w:spacing w:after="120" w:line="276"/>
      </w:pPr>
      <w:r>
        <w:rPr>
          <w:rFonts w:ascii="Arial" w:cs="Arial" w:eastAsia="Arial" w:hAnsi="Arial"/>
          <w:sz w:val="22"/>
          <w:szCs w:val="22"/>
        </w:rPr>
        <w:t xml:space="preserve">When multiple dextrose-containing fluids are running simultaneously (e.g., maintenance IVF + TPN + lipid infusion + medication drips), the calculator must sum the glucose contribution from each source:</w:t>
      </w:r>
    </w:p>
    <w:p>
      <w:pPr>
        <w:spacing w:after="120" w:before="120"/>
        <w:jc w:val="center"/>
      </w:pPr>
      <w:r>
        <w:rPr>
          <w:rFonts w:ascii="Courier New" w:cs="Courier New" w:eastAsia="Courier New" w:hAnsi="Courier New"/>
          <w:b/>
          <w:bCs/>
          <w:sz w:val="22"/>
          <w:szCs w:val="22"/>
        </w:rPr>
        <w:t xml:space="preserve">Total GIR = Σ [Dextrose_i (%) × Rate_i (mL/hr)] × 1000 / [Weight (g) × 6000]</w:t>
      </w:r>
    </w:p>
    <w:p>
      <w:pPr>
        <w:spacing w:after="80"/>
      </w:pPr>
    </w:p>
    <w:p>
      <w:pPr>
        <w:pStyle w:val="Heading2"/>
      </w:pPr>
      <w:r>
        <w:t xml:space="preserve">4.2 GIR Targets by Gestational Age</w:t>
      </w:r>
    </w:p>
    <w:p>
      <w:pPr>
        <w:spacing w:after="120" w:line="276"/>
      </w:pPr>
      <w:r>
        <w:rPr>
          <w:rFonts w:ascii="Arial" w:cs="Arial" w:eastAsia="Arial" w:hAnsi="Arial"/>
          <w:sz w:val="22"/>
          <w:szCs w:val="22"/>
        </w:rPr>
        <w:t xml:space="preserve">Glucose requirements vary with gestational age, reflecting differences in glycogen stores, gluconeogenic capacity, and metabolic rate: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GA Category</w:t>
            </w:r>
          </w:p>
        </w:tc>
        <w:tc>
          <w:tcPr>
            <w:tcW w:type="dxa" w:w="234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Minimum GIR</w:t>
            </w:r>
          </w:p>
        </w:tc>
        <w:tc>
          <w:tcPr>
            <w:tcW w:type="dxa" w:w="234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Target GIR</w:t>
            </w:r>
          </w:p>
        </w:tc>
        <w:tc>
          <w:tcPr>
            <w:tcW w:type="dxa" w:w="234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Maximum GIR</w:t>
            </w:r>
          </w:p>
        </w:tc>
      </w:tr>
      <w:tr>
        <w:tc>
          <w:tcPr>
            <w:tcW w:type="dxa" w:w="234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22–25 weeks</w:t>
            </w:r>
          </w:p>
        </w:tc>
        <w:tc>
          <w:tcPr>
            <w:tcW w:type="dxa" w:w="234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4–5 mg/kg/min</w:t>
            </w:r>
          </w:p>
        </w:tc>
        <w:tc>
          <w:tcPr>
            <w:tcW w:type="dxa" w:w="234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5–8 mg/kg/min</w:t>
            </w:r>
          </w:p>
        </w:tc>
        <w:tc>
          <w:tcPr>
            <w:tcW w:type="dxa" w:w="234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10–12 mg/kg/min</w:t>
            </w:r>
          </w:p>
        </w:tc>
      </w:tr>
      <w:tr>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26–31 weeks</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4–6 mg/kg/min</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5–8 mg/kg/min</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11–12 mg/kg/min</w:t>
            </w:r>
          </w:p>
        </w:tc>
      </w:tr>
      <w:tr>
        <w:tc>
          <w:tcPr>
            <w:tcW w:type="dxa" w:w="234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32–36 weeks</w:t>
            </w:r>
          </w:p>
        </w:tc>
        <w:tc>
          <w:tcPr>
            <w:tcW w:type="dxa" w:w="234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4–6 mg/kg/min</w:t>
            </w:r>
          </w:p>
        </w:tc>
        <w:tc>
          <w:tcPr>
            <w:tcW w:type="dxa" w:w="234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5–7 mg/kg/min</w:t>
            </w:r>
          </w:p>
        </w:tc>
        <w:tc>
          <w:tcPr>
            <w:tcW w:type="dxa" w:w="234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10–12 mg/kg/min</w:t>
            </w:r>
          </w:p>
        </w:tc>
      </w:tr>
      <w:tr>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≥37 weeks</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3–5 mg/kg/min</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4–6 mg/kg/min</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10–12 mg/kg/min</w:t>
            </w:r>
          </w:p>
        </w:tc>
      </w:tr>
    </w:tbl>
    <w:p>
      <w:pPr>
        <w:spacing w:after="80"/>
      </w:pPr>
    </w:p>
    <w:p>
      <w:pPr>
        <w:pStyle w:val="Heading2"/>
      </w:pPr>
      <w:r>
        <w:t xml:space="preserve">4.3 Dextrose Concentration Selection Logic</w:t>
      </w:r>
    </w:p>
    <w:p>
      <w:pPr>
        <w:spacing w:after="120" w:line="276"/>
      </w:pPr>
      <w:r>
        <w:rPr>
          <w:rFonts w:ascii="Arial" w:cs="Arial" w:eastAsia="Arial" w:hAnsi="Arial"/>
          <w:sz w:val="22"/>
          <w:szCs w:val="22"/>
        </w:rPr>
        <w:t xml:space="preserve">The calculator must support selection of dextrose concentration from the following standard preparations and provide logic for concentration adjustments:</w:t>
      </w:r>
    </w:p>
    <w:p>
      <w:pPr>
        <w:pStyle w:val="ListParagraph"/>
        <w:numPr>
          <w:ilvl w:val="0"/>
          <w:numId w:val="2"/>
        </w:numPr>
        <w:spacing w:after="60" w:line="276"/>
      </w:pPr>
      <w:r>
        <w:rPr>
          <w:rFonts w:ascii="Arial" w:cs="Arial" w:eastAsia="Arial" w:hAnsi="Arial"/>
          <w:b/>
          <w:bCs/>
          <w:sz w:val="22"/>
          <w:szCs w:val="22"/>
        </w:rPr>
        <w:t xml:space="preserve">D5W (5%): </w:t>
      </w:r>
      <w:r>
        <w:rPr>
          <w:rFonts w:ascii="Arial" w:cs="Arial" w:eastAsia="Arial" w:hAnsi="Arial"/>
          <w:sz w:val="22"/>
          <w:szCs w:val="22"/>
        </w:rPr>
        <w:t xml:space="preserve">Rarely used as primary maintenance in neonates due to low GIR delivery. May be used for medication dilution or as a carrier fluid.</w:t>
      </w:r>
    </w:p>
    <w:p>
      <w:pPr>
        <w:pStyle w:val="ListParagraph"/>
        <w:numPr>
          <w:ilvl w:val="0"/>
          <w:numId w:val="2"/>
        </w:numPr>
        <w:spacing w:after="60" w:line="276"/>
      </w:pPr>
      <w:r>
        <w:rPr>
          <w:rFonts w:ascii="Arial" w:cs="Arial" w:eastAsia="Arial" w:hAnsi="Arial"/>
          <w:b/>
          <w:bCs/>
          <w:sz w:val="22"/>
          <w:szCs w:val="22"/>
        </w:rPr>
        <w:t xml:space="preserve">D7.5W (7.5%): </w:t>
      </w:r>
      <w:r>
        <w:rPr>
          <w:rFonts w:ascii="Arial" w:cs="Arial" w:eastAsia="Arial" w:hAnsi="Arial"/>
          <w:sz w:val="22"/>
          <w:szCs w:val="22"/>
        </w:rPr>
        <w:t xml:space="preserve">Occasionally used when transitioning down from higher concentrations or when GIR needs to be reduced without rate changes.</w:t>
      </w:r>
    </w:p>
    <w:p>
      <w:pPr>
        <w:pStyle w:val="ListParagraph"/>
        <w:numPr>
          <w:ilvl w:val="0"/>
          <w:numId w:val="2"/>
        </w:numPr>
        <w:spacing w:after="60" w:line="276"/>
      </w:pPr>
      <w:r>
        <w:rPr>
          <w:rFonts w:ascii="Arial" w:cs="Arial" w:eastAsia="Arial" w:hAnsi="Arial"/>
          <w:b/>
          <w:bCs/>
          <w:sz w:val="22"/>
          <w:szCs w:val="22"/>
        </w:rPr>
        <w:t xml:space="preserve">D10W (10%): </w:t>
      </w:r>
      <w:r>
        <w:rPr>
          <w:rFonts w:ascii="Arial" w:cs="Arial" w:eastAsia="Arial" w:hAnsi="Arial"/>
          <w:sz w:val="22"/>
          <w:szCs w:val="22"/>
        </w:rPr>
        <w:t xml:space="preserve">Standard initial maintenance fluid for most neonates. Safe for peripheral IV administration.</w:t>
      </w:r>
    </w:p>
    <w:p>
      <w:pPr>
        <w:pStyle w:val="ListParagraph"/>
        <w:numPr>
          <w:ilvl w:val="0"/>
          <w:numId w:val="2"/>
        </w:numPr>
        <w:spacing w:after="60" w:line="276"/>
      </w:pPr>
      <w:r>
        <w:rPr>
          <w:rFonts w:ascii="Arial" w:cs="Arial" w:eastAsia="Arial" w:hAnsi="Arial"/>
          <w:b/>
          <w:bCs/>
          <w:sz w:val="22"/>
          <w:szCs w:val="22"/>
        </w:rPr>
        <w:t xml:space="preserve">D12.5W (12.5%): </w:t>
      </w:r>
      <w:r>
        <w:rPr>
          <w:rFonts w:ascii="Arial" w:cs="Arial" w:eastAsia="Arial" w:hAnsi="Arial"/>
          <w:sz w:val="22"/>
          <w:szCs w:val="22"/>
        </w:rPr>
        <w:t xml:space="preserve">Used when GIR needs exceed what D10W can deliver at the current rate. Generally safe for peripheral administration, though some centers restrict to central access.</w:t>
      </w:r>
    </w:p>
    <w:p>
      <w:pPr>
        <w:pStyle w:val="ListParagraph"/>
        <w:numPr>
          <w:ilvl w:val="0"/>
          <w:numId w:val="2"/>
        </w:numPr>
        <w:spacing w:after="60" w:line="276"/>
      </w:pPr>
      <w:r>
        <w:rPr>
          <w:rFonts w:ascii="Arial" w:cs="Arial" w:eastAsia="Arial" w:hAnsi="Arial"/>
          <w:b/>
          <w:bCs/>
          <w:sz w:val="22"/>
          <w:szCs w:val="22"/>
        </w:rPr>
        <w:t xml:space="preserve">D15W–D25W (15–25%): </w:t>
      </w:r>
      <w:r>
        <w:rPr>
          <w:rFonts w:ascii="Arial" w:cs="Arial" w:eastAsia="Arial" w:hAnsi="Arial"/>
          <w:sz w:val="22"/>
          <w:szCs w:val="22"/>
        </w:rPr>
        <w:t xml:space="preserve">Require central venous access (UVC, PICC). Used in TPN formulations or when high GIR requirements cannot be met with lower concentrations.</w:t>
      </w:r>
    </w:p>
    <w:p>
      <w:pPr>
        <w:spacing w:after="80"/>
      </w:pPr>
    </w:p>
    <w:p>
      <w:pPr>
        <w:pStyle w:val="Heading2"/>
      </w:pPr>
      <w:r>
        <w:t xml:space="preserve">4.4 Hyperglycemia and Hypoglycemia Response Algorithms</w:t>
      </w:r>
    </w:p>
    <w:p>
      <w:pPr>
        <w:spacing w:after="120" w:line="276"/>
      </w:pPr>
      <w:r>
        <w:rPr>
          <w:rFonts w:ascii="Arial" w:cs="Arial" w:eastAsia="Arial" w:hAnsi="Arial"/>
          <w:sz w:val="22"/>
          <w:szCs w:val="22"/>
        </w:rPr>
        <w:t xml:space="preserve">The calculator should incorporate glucose management decision support:</w:t>
      </w:r>
    </w:p>
    <w:p>
      <w:pPr>
        <w:spacing w:after="80"/>
      </w:pPr>
    </w:p>
    <w:p>
      <w:pPr>
        <w:pStyle w:val="Heading3"/>
      </w:pPr>
      <w:r>
        <w:t xml:space="preserve">4.4.1 Hyperglycemia (Blood Glucose &gt;150–180 mg/dL)</w:t>
      </w:r>
    </w:p>
    <w:p>
      <w:pPr>
        <w:pStyle w:val="ListParagraph"/>
        <w:numPr>
          <w:ilvl w:val="0"/>
          <w:numId w:val="3"/>
        </w:numPr>
        <w:spacing w:after="60" w:line="276"/>
      </w:pPr>
      <w:r>
        <w:rPr>
          <w:rFonts w:ascii="Arial" w:cs="Arial" w:eastAsia="Arial" w:hAnsi="Arial"/>
          <w:sz w:val="22"/>
          <w:szCs w:val="22"/>
        </w:rPr>
        <w:t xml:space="preserve">Verify glucose with serum confirmation (point-of-care glucose may be inaccurate in neonates, particularly at extremes).</w:t>
      </w:r>
    </w:p>
    <w:p>
      <w:pPr>
        <w:pStyle w:val="ListParagraph"/>
        <w:numPr>
          <w:ilvl w:val="0"/>
          <w:numId w:val="3"/>
        </w:numPr>
        <w:spacing w:after="60" w:line="276"/>
      </w:pPr>
      <w:r>
        <w:rPr>
          <w:rFonts w:ascii="Arial" w:cs="Arial" w:eastAsia="Arial" w:hAnsi="Arial"/>
          <w:sz w:val="22"/>
          <w:szCs w:val="22"/>
        </w:rPr>
        <w:t xml:space="preserve">Calculate current GIR from all glucose sources.</w:t>
      </w:r>
    </w:p>
    <w:p>
      <w:pPr>
        <w:pStyle w:val="ListParagraph"/>
        <w:numPr>
          <w:ilvl w:val="0"/>
          <w:numId w:val="3"/>
        </w:numPr>
        <w:spacing w:after="60" w:line="276"/>
      </w:pPr>
      <w:r>
        <w:rPr>
          <w:rFonts w:ascii="Arial" w:cs="Arial" w:eastAsia="Arial" w:hAnsi="Arial"/>
          <w:sz w:val="22"/>
          <w:szCs w:val="22"/>
        </w:rPr>
        <w:t xml:space="preserve">If GIR &gt;8–10 mg/kg/min: Reduce dextrose concentration stepwise (e.g., D10 → D7.5 → D5) before reducing fluid rate.</w:t>
      </w:r>
    </w:p>
    <w:p>
      <w:pPr>
        <w:pStyle w:val="ListParagraph"/>
        <w:numPr>
          <w:ilvl w:val="0"/>
          <w:numId w:val="3"/>
        </w:numPr>
        <w:spacing w:after="60" w:line="276"/>
      </w:pPr>
      <w:r>
        <w:rPr>
          <w:rFonts w:ascii="Arial" w:cs="Arial" w:eastAsia="Arial" w:hAnsi="Arial"/>
          <w:sz w:val="22"/>
          <w:szCs w:val="22"/>
        </w:rPr>
        <w:t xml:space="preserve">If GIR already at minimum (4–5 mg/kg/min): Consider insulin infusion (0.01–0.1 units/kg/hr) with close monitoring.</w:t>
      </w:r>
    </w:p>
    <w:p>
      <w:pPr>
        <w:pStyle w:val="ListParagraph"/>
        <w:numPr>
          <w:ilvl w:val="0"/>
          <w:numId w:val="3"/>
        </w:numPr>
        <w:spacing w:after="60" w:line="276"/>
      </w:pPr>
      <w:r>
        <w:rPr>
          <w:rFonts w:ascii="Arial" w:cs="Arial" w:eastAsia="Arial" w:hAnsi="Arial"/>
          <w:sz w:val="22"/>
          <w:szCs w:val="22"/>
        </w:rPr>
        <w:t xml:space="preserve">Alert if glucose &gt;250 mg/dL: Flag for osmotic diuresis risk, check serum osmolality, assess urine glucose.</w:t>
      </w:r>
    </w:p>
    <w:p>
      <w:pPr>
        <w:spacing w:after="80"/>
      </w:pPr>
    </w:p>
    <w:p>
      <w:pPr>
        <w:pStyle w:val="Heading3"/>
      </w:pPr>
      <w:r>
        <w:t xml:space="preserve">4.4.2 Hypoglycemia (Blood Glucose &lt;45 mg/dL)</w:t>
      </w:r>
    </w:p>
    <w:p>
      <w:pPr>
        <w:pStyle w:val="ListParagraph"/>
        <w:numPr>
          <w:ilvl w:val="0"/>
          <w:numId w:val="3"/>
        </w:numPr>
        <w:spacing w:after="60" w:line="276"/>
      </w:pPr>
      <w:r>
        <w:rPr>
          <w:rFonts w:ascii="Arial" w:cs="Arial" w:eastAsia="Arial" w:hAnsi="Arial"/>
          <w:sz w:val="22"/>
          <w:szCs w:val="22"/>
        </w:rPr>
        <w:t xml:space="preserve">Symptomatic hypoglycemia (&lt;40 mg/dL or any symptoms): D10W bolus 2 mL/kg IV push over 5–10 minutes.</w:t>
      </w:r>
    </w:p>
    <w:p>
      <w:pPr>
        <w:pStyle w:val="ListParagraph"/>
        <w:numPr>
          <w:ilvl w:val="0"/>
          <w:numId w:val="3"/>
        </w:numPr>
        <w:spacing w:after="60" w:line="276"/>
      </w:pPr>
      <w:r>
        <w:rPr>
          <w:rFonts w:ascii="Arial" w:cs="Arial" w:eastAsia="Arial" w:hAnsi="Arial"/>
          <w:sz w:val="22"/>
          <w:szCs w:val="22"/>
        </w:rPr>
        <w:t xml:space="preserve">Increase GIR by 1–2 mg/kg/min (increase dextrose concentration or rate).</w:t>
      </w:r>
    </w:p>
    <w:p>
      <w:pPr>
        <w:pStyle w:val="ListParagraph"/>
        <w:numPr>
          <w:ilvl w:val="0"/>
          <w:numId w:val="3"/>
        </w:numPr>
        <w:spacing w:after="60" w:line="276"/>
      </w:pPr>
      <w:r>
        <w:rPr>
          <w:rFonts w:ascii="Arial" w:cs="Arial" w:eastAsia="Arial" w:hAnsi="Arial"/>
          <w:sz w:val="22"/>
          <w:szCs w:val="22"/>
        </w:rPr>
        <w:t xml:space="preserve">Recheck glucose in 30–60 minutes.</w:t>
      </w:r>
    </w:p>
    <w:p>
      <w:pPr>
        <w:pStyle w:val="ListParagraph"/>
        <w:numPr>
          <w:ilvl w:val="0"/>
          <w:numId w:val="3"/>
        </w:numPr>
        <w:spacing w:after="60" w:line="276"/>
      </w:pPr>
      <w:r>
        <w:rPr>
          <w:rFonts w:ascii="Arial" w:cs="Arial" w:eastAsia="Arial" w:hAnsi="Arial"/>
          <w:sz w:val="22"/>
          <w:szCs w:val="22"/>
        </w:rPr>
        <w:t xml:space="preserve">If persistent hypoglycemia despite GIR &gt;12 mg/kg/min: Evaluate for hyperinsulinism, inborn errors of metabolism, cortisol deficiency.</w:t>
      </w:r>
    </w:p>
    <w:p>
      <w:pPr>
        <w:pStyle w:val="ListParagraph"/>
        <w:numPr>
          <w:ilvl w:val="0"/>
          <w:numId w:val="3"/>
        </w:numPr>
        <w:spacing w:after="60" w:line="276"/>
      </w:pPr>
      <w:r>
        <w:rPr>
          <w:rFonts w:ascii="Arial" w:cs="Arial" w:eastAsia="Arial" w:hAnsi="Arial"/>
          <w:sz w:val="22"/>
          <w:szCs w:val="22"/>
        </w:rPr>
        <w:t xml:space="preserve">Calculator should flag maximum peripheral dextrose concentration and prompt for central access consideration.</w:t>
      </w:r>
    </w:p>
    <w:p>
      <w:r>
        <w:br w:type="page"/>
      </w:r>
    </w:p>
    <w:p>
      <w:pPr>
        <w:pStyle w:val="Heading1"/>
      </w:pPr>
      <w:r>
        <w:t xml:space="preserve">5. Insensible Water Loss (IWL) Modeling</w:t>
      </w:r>
    </w:p>
    <w:p>
      <w:pPr>
        <w:spacing w:after="80"/>
      </w:pPr>
    </w:p>
    <w:p>
      <w:pPr>
        <w:spacing w:after="120" w:line="276"/>
      </w:pPr>
      <w:r>
        <w:rPr>
          <w:rFonts w:ascii="Arial" w:cs="Arial" w:eastAsia="Arial" w:hAnsi="Arial"/>
          <w:sz w:val="22"/>
          <w:szCs w:val="22"/>
        </w:rPr>
        <w:t xml:space="preserve">Insensible water loss is the water lost through the skin (transepidermal water loss, TEWL) and respiratory tract that cannot be measured directly. IWL is the primary driver of fluid requirements in the first days of life, particularly in preterm infants. The calculator must model IWL to support fluid rate recommendations and to interpret monitoring data.</w:t>
      </w:r>
    </w:p>
    <w:p>
      <w:pPr>
        <w:spacing w:after="80"/>
      </w:pPr>
    </w:p>
    <w:p>
      <w:pPr>
        <w:pStyle w:val="Heading2"/>
      </w:pPr>
      <w:r>
        <w:t xml:space="preserve">5.1 Transepidermal Water Loss (TEWL) by Gestational Age</w:t>
      </w:r>
    </w:p>
    <w:p>
      <w:pPr>
        <w:spacing w:after="120" w:line="276"/>
      </w:pPr>
      <w:r>
        <w:rPr>
          <w:rFonts w:ascii="Arial" w:cs="Arial" w:eastAsia="Arial" w:hAnsi="Arial"/>
          <w:sz w:val="22"/>
          <w:szCs w:val="22"/>
        </w:rPr>
        <w:t xml:space="preserve">TEWL is inversely proportional to gestational age and decreases rapidly over the first 2 weeks of life as the stratum corneum matures. Baseline TEWL values under standard conditions (ambient humidity 50%, thermoneutral environment):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GA (weeks)</w:t>
            </w:r>
          </w:p>
        </w:tc>
        <w:tc>
          <w:tcPr>
            <w:tcW w:type="dxa" w:w="1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0–1</w:t>
            </w:r>
          </w:p>
        </w:tc>
        <w:tc>
          <w:tcPr>
            <w:tcW w:type="dxa" w:w="1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2–3</w:t>
            </w:r>
          </w:p>
        </w:tc>
        <w:tc>
          <w:tcPr>
            <w:tcW w:type="dxa" w:w="1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4–5</w:t>
            </w:r>
          </w:p>
        </w:tc>
        <w:tc>
          <w:tcPr>
            <w:tcW w:type="dxa" w:w="1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6–7</w:t>
            </w:r>
          </w:p>
        </w:tc>
        <w:tc>
          <w:tcPr>
            <w:tcW w:type="dxa" w:w="1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14+</w:t>
            </w:r>
          </w:p>
        </w:tc>
      </w:tr>
      <w:tr>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bCs/>
                <w:sz w:val="18"/>
                <w:szCs w:val="18"/>
              </w:rPr>
              <w:t xml:space="preserve">23–24</w:t>
            </w:r>
          </w:p>
        </w:tc>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60–100</w:t>
            </w:r>
          </w:p>
        </w:tc>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50–80</w:t>
            </w:r>
          </w:p>
        </w:tc>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40–60</w:t>
            </w:r>
          </w:p>
        </w:tc>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30–50</w:t>
            </w:r>
          </w:p>
        </w:tc>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15–25</w:t>
            </w:r>
          </w:p>
        </w:tc>
      </w:tr>
      <w:tr>
        <w:tc>
          <w:tcPr>
            <w:tcW w:type="dxa" w:w="1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25–27</w:t>
            </w:r>
          </w:p>
        </w:tc>
        <w:tc>
          <w:tcPr>
            <w:tcW w:type="dxa" w:w="1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40–70</w:t>
            </w:r>
          </w:p>
        </w:tc>
        <w:tc>
          <w:tcPr>
            <w:tcW w:type="dxa" w:w="1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30–50</w:t>
            </w:r>
          </w:p>
        </w:tc>
        <w:tc>
          <w:tcPr>
            <w:tcW w:type="dxa" w:w="1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25–40</w:t>
            </w:r>
          </w:p>
        </w:tc>
        <w:tc>
          <w:tcPr>
            <w:tcW w:type="dxa" w:w="1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20–30</w:t>
            </w:r>
          </w:p>
        </w:tc>
        <w:tc>
          <w:tcPr>
            <w:tcW w:type="dxa" w:w="1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10–20</w:t>
            </w:r>
          </w:p>
        </w:tc>
      </w:tr>
      <w:tr>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bCs/>
                <w:sz w:val="18"/>
                <w:szCs w:val="18"/>
              </w:rPr>
              <w:t xml:space="preserve">28–31</w:t>
            </w:r>
          </w:p>
        </w:tc>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20–40</w:t>
            </w:r>
          </w:p>
        </w:tc>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15–30</w:t>
            </w:r>
          </w:p>
        </w:tc>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12–25</w:t>
            </w:r>
          </w:p>
        </w:tc>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10–20</w:t>
            </w:r>
          </w:p>
        </w:tc>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8–15</w:t>
            </w:r>
          </w:p>
        </w:tc>
      </w:tr>
      <w:tr>
        <w:tc>
          <w:tcPr>
            <w:tcW w:type="dxa" w:w="1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32–36</w:t>
            </w:r>
          </w:p>
        </w:tc>
        <w:tc>
          <w:tcPr>
            <w:tcW w:type="dxa" w:w="1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12–20</w:t>
            </w:r>
          </w:p>
        </w:tc>
        <w:tc>
          <w:tcPr>
            <w:tcW w:type="dxa" w:w="1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10–18</w:t>
            </w:r>
          </w:p>
        </w:tc>
        <w:tc>
          <w:tcPr>
            <w:tcW w:type="dxa" w:w="1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8–15</w:t>
            </w:r>
          </w:p>
        </w:tc>
        <w:tc>
          <w:tcPr>
            <w:tcW w:type="dxa" w:w="1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8–12</w:t>
            </w:r>
          </w:p>
        </w:tc>
        <w:tc>
          <w:tcPr>
            <w:tcW w:type="dxa" w:w="1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7–10</w:t>
            </w:r>
          </w:p>
        </w:tc>
      </w:tr>
      <w:tr>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bCs/>
                <w:sz w:val="18"/>
                <w:szCs w:val="18"/>
              </w:rPr>
              <w:t xml:space="preserve">≥37</w:t>
            </w:r>
          </w:p>
        </w:tc>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7–15</w:t>
            </w:r>
          </w:p>
        </w:tc>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7–12</w:t>
            </w:r>
          </w:p>
        </w:tc>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7–10</w:t>
            </w:r>
          </w:p>
        </w:tc>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7–10</w:t>
            </w:r>
          </w:p>
        </w:tc>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7–10</w:t>
            </w:r>
          </w:p>
        </w:tc>
      </w:tr>
    </w:tbl>
    <w:p>
      <w:pPr>
        <w:spacing w:after="80"/>
      </w:pPr>
    </w:p>
    <w:p>
      <w:pPr>
        <w:spacing w:after="120" w:line="276"/>
      </w:pPr>
      <w:r>
        <w:rPr>
          <w:rFonts w:ascii="Arial" w:cs="Arial" w:eastAsia="Arial" w:hAnsi="Arial"/>
          <w:sz w:val="22"/>
          <w:szCs w:val="22"/>
        </w:rPr>
        <w:t xml:space="preserve">Values in mL/kg/day. These represent TEWL under standard incubator conditions at 50% humidity. Actual clinical IWL includes both TEWL and respiratory water loss (approximately 7–10 mL/kg/day for mechanically ventilated infants with humidified circuits, up to 20–30 mL/kg/day for infants on open systems or non-humidified oxygen).</w:t>
      </w:r>
    </w:p>
    <w:p>
      <w:pPr>
        <w:spacing w:after="80"/>
      </w:pPr>
    </w:p>
    <w:p>
      <w:pPr>
        <w:pStyle w:val="Heading2"/>
      </w:pPr>
      <w:r>
        <w:t xml:space="preserve">5.2 Factors Modifying IWL</w:t>
      </w:r>
    </w:p>
    <w:p>
      <w:pPr>
        <w:spacing w:after="120" w:line="276"/>
      </w:pPr>
      <w:r>
        <w:rPr>
          <w:rFonts w:ascii="Arial" w:cs="Arial" w:eastAsia="Arial" w:hAnsi="Arial"/>
          <w:sz w:val="22"/>
          <w:szCs w:val="22"/>
        </w:rPr>
        <w:t xml:space="preserve">The calculator must apply multiplicative or additive modifiers to baseline IWL based on clinical conditions: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Factor</w:t>
            </w:r>
          </w:p>
        </w:tc>
        <w:tc>
          <w:tcPr>
            <w:tcW w:type="dxa" w:w="312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Effect on IWL</w:t>
            </w:r>
          </w:p>
        </w:tc>
        <w:tc>
          <w:tcPr>
            <w:tcW w:type="dxa" w:w="312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Recommended Adjustment</w:t>
            </w:r>
          </w:p>
        </w:tc>
      </w:tr>
      <w:tr>
        <w:tc>
          <w:tcPr>
            <w:tcW w:type="dxa" w:w="312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bCs/>
                <w:sz w:val="18"/>
                <w:szCs w:val="18"/>
              </w:rPr>
              <w:t xml:space="preserve">Radiant warmer (open bed)</w:t>
            </w:r>
          </w:p>
        </w:tc>
        <w:tc>
          <w:tcPr>
            <w:tcW w:type="dxa" w:w="312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Increases TEWL by 50–100%</w:t>
            </w:r>
          </w:p>
        </w:tc>
        <w:tc>
          <w:tcPr>
            <w:tcW w:type="dxa" w:w="312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Add 20–40 mL/kg/day</w:t>
            </w:r>
          </w:p>
        </w:tc>
      </w:tr>
      <w:tr>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Phototherapy (conventional)</w:t>
            </w:r>
          </w:p>
        </w:tc>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Increases IWL by 20–40%</w:t>
            </w:r>
          </w:p>
        </w:tc>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Add 10–20 mL/kg/day</w:t>
            </w:r>
          </w:p>
        </w:tc>
      </w:tr>
      <w:tr>
        <w:tc>
          <w:tcPr>
            <w:tcW w:type="dxa" w:w="312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bCs/>
                <w:sz w:val="18"/>
                <w:szCs w:val="18"/>
              </w:rPr>
              <w:t xml:space="preserve">Phototherapy (intensive/double)</w:t>
            </w:r>
          </w:p>
        </w:tc>
        <w:tc>
          <w:tcPr>
            <w:tcW w:type="dxa" w:w="312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Increases IWL by 40–80%</w:t>
            </w:r>
          </w:p>
        </w:tc>
        <w:tc>
          <w:tcPr>
            <w:tcW w:type="dxa" w:w="312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Add 20–30 mL/kg/day</w:t>
            </w:r>
          </w:p>
        </w:tc>
      </w:tr>
      <w:tr>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High humidity incubator (≥80%)</w:t>
            </w:r>
          </w:p>
        </w:tc>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Decreases TEWL by 50–70%</w:t>
            </w:r>
          </w:p>
        </w:tc>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Reduce IWL component by 30–50%</w:t>
            </w:r>
          </w:p>
        </w:tc>
      </w:tr>
      <w:tr>
        <w:tc>
          <w:tcPr>
            <w:tcW w:type="dxa" w:w="312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bCs/>
                <w:sz w:val="18"/>
                <w:szCs w:val="18"/>
              </w:rPr>
              <w:t xml:space="preserve">Plastic wrap/barrier (polyethylene)</w:t>
            </w:r>
          </w:p>
        </w:tc>
        <w:tc>
          <w:tcPr>
            <w:tcW w:type="dxa" w:w="312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Decreases TEWL by 30–50%</w:t>
            </w:r>
          </w:p>
        </w:tc>
        <w:tc>
          <w:tcPr>
            <w:tcW w:type="dxa" w:w="312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Reduce IWL component by 20–30%</w:t>
            </w:r>
          </w:p>
        </w:tc>
      </w:tr>
      <w:tr>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Fever (per 1°C above 37.5)</w:t>
            </w:r>
          </w:p>
        </w:tc>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Increases IWL by 10–15%</w:t>
            </w:r>
          </w:p>
        </w:tc>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Add ~7 mL/kg/day per °C</w:t>
            </w:r>
          </w:p>
        </w:tc>
      </w:tr>
      <w:tr>
        <w:tc>
          <w:tcPr>
            <w:tcW w:type="dxa" w:w="312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bCs/>
                <w:sz w:val="18"/>
                <w:szCs w:val="18"/>
              </w:rPr>
              <w:t xml:space="preserve">Congenital skin defects (gastroschisis, omphalocele)</w:t>
            </w:r>
          </w:p>
        </w:tc>
        <w:tc>
          <w:tcPr>
            <w:tcW w:type="dxa" w:w="312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Markedly increases IWL</w:t>
            </w:r>
          </w:p>
        </w:tc>
        <w:tc>
          <w:tcPr>
            <w:tcW w:type="dxa" w:w="312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Add 50–100+ mL/kg/day (individualized)</w:t>
            </w:r>
          </w:p>
        </w:tc>
      </w:tr>
      <w:tr>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Tachypnea (RR &gt;60)</w:t>
            </w:r>
          </w:p>
        </w:tc>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Increases respiratory water loss</w:t>
            </w:r>
          </w:p>
        </w:tc>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Add 5–10 mL/kg/day</w:t>
            </w:r>
          </w:p>
        </w:tc>
      </w:tr>
      <w:tr>
        <w:tc>
          <w:tcPr>
            <w:tcW w:type="dxa" w:w="312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bCs/>
                <w:sz w:val="18"/>
                <w:szCs w:val="18"/>
              </w:rPr>
              <w:t xml:space="preserve">Humidified ventilator circuit</w:t>
            </w:r>
          </w:p>
        </w:tc>
        <w:tc>
          <w:tcPr>
            <w:tcW w:type="dxa" w:w="312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Reduces respiratory IWL</w:t>
            </w:r>
          </w:p>
        </w:tc>
        <w:tc>
          <w:tcPr>
            <w:tcW w:type="dxa" w:w="312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Respiratory IWL ~0–5 mL/kg/day</w:t>
            </w:r>
          </w:p>
        </w:tc>
      </w:tr>
    </w:tbl>
    <w:p>
      <w:r>
        <w:br w:type="page"/>
      </w:r>
    </w:p>
    <w:p>
      <w:pPr>
        <w:pStyle w:val="Heading1"/>
      </w:pPr>
      <w:r>
        <w:t xml:space="preserve">6. Clinical Status Modifiers — Detailed Analysis</w:t>
      </w:r>
    </w:p>
    <w:p>
      <w:pPr>
        <w:spacing w:after="80"/>
      </w:pPr>
    </w:p>
    <w:p>
      <w:pPr>
        <w:spacing w:after="120" w:line="276"/>
      </w:pPr>
      <w:r>
        <w:rPr>
          <w:rFonts w:ascii="Arial" w:cs="Arial" w:eastAsia="Arial" w:hAnsi="Arial"/>
          <w:sz w:val="22"/>
          <w:szCs w:val="22"/>
        </w:rPr>
        <w:t xml:space="preserve">Beyond baseline GA and DOL-determined rates, the IVF calculator must incorporate a comprehensive set of clinical status modifiers that adjust fluid rates, electrolyte targets, and monitoring frequency. Each modifier is analyzed below with specific calculator implementation guidance.</w:t>
      </w:r>
    </w:p>
    <w:p>
      <w:pPr>
        <w:spacing w:after="80"/>
      </w:pPr>
    </w:p>
    <w:p>
      <w:pPr>
        <w:pStyle w:val="Heading2"/>
      </w:pPr>
      <w:r>
        <w:t xml:space="preserve">6.1 Thermal Environment</w:t>
      </w:r>
    </w:p>
    <w:p>
      <w:pPr>
        <w:pStyle w:val="Heading3"/>
      </w:pPr>
      <w:r>
        <w:t xml:space="preserve">6.1.1 Humidified Incubator (Closed)</w:t>
      </w:r>
    </w:p>
    <w:p>
      <w:pPr>
        <w:spacing w:after="120" w:line="276"/>
      </w:pPr>
      <w:r>
        <w:rPr>
          <w:rFonts w:ascii="Arial" w:cs="Arial" w:eastAsia="Arial" w:hAnsi="Arial"/>
          <w:sz w:val="22"/>
          <w:szCs w:val="22"/>
        </w:rPr>
        <w:t xml:space="preserve">Standard of care for infants &lt;32 weeks GA. The calculator should query incubator humidity settings and apply IWL reduction factors accordingly. Typical humidity settings:</w:t>
      </w:r>
    </w:p>
    <w:p>
      <w:pPr>
        <w:pStyle w:val="ListParagraph"/>
        <w:numPr>
          <w:ilvl w:val="0"/>
          <w:numId w:val="2"/>
        </w:numPr>
        <w:spacing w:after="60" w:line="276"/>
      </w:pPr>
      <w:r>
        <w:rPr>
          <w:rFonts w:ascii="Arial" w:cs="Arial" w:eastAsia="Arial" w:hAnsi="Arial"/>
          <w:b/>
          <w:bCs/>
          <w:sz w:val="22"/>
          <w:szCs w:val="22"/>
        </w:rPr>
        <w:t xml:space="preserve">&lt;26 weeks GA: </w:t>
      </w:r>
      <w:r>
        <w:rPr>
          <w:rFonts w:ascii="Arial" w:cs="Arial" w:eastAsia="Arial" w:hAnsi="Arial"/>
          <w:sz w:val="22"/>
          <w:szCs w:val="22"/>
        </w:rPr>
        <w:t xml:space="preserve">80–90% humidity for the first 7–14 days, then wean by 5–10% per week.</w:t>
      </w:r>
    </w:p>
    <w:p>
      <w:pPr>
        <w:pStyle w:val="ListParagraph"/>
        <w:numPr>
          <w:ilvl w:val="0"/>
          <w:numId w:val="2"/>
        </w:numPr>
        <w:spacing w:after="60" w:line="276"/>
      </w:pPr>
      <w:r>
        <w:rPr>
          <w:rFonts w:ascii="Arial" w:cs="Arial" w:eastAsia="Arial" w:hAnsi="Arial"/>
          <w:b/>
          <w:bCs/>
          <w:sz w:val="22"/>
          <w:szCs w:val="22"/>
        </w:rPr>
        <w:t xml:space="preserve">26–28 weeks GA: </w:t>
      </w:r>
      <w:r>
        <w:rPr>
          <w:rFonts w:ascii="Arial" w:cs="Arial" w:eastAsia="Arial" w:hAnsi="Arial"/>
          <w:sz w:val="22"/>
          <w:szCs w:val="22"/>
        </w:rPr>
        <w:t xml:space="preserve">70–80% humidity for the first 7 days, then wean.</w:t>
      </w:r>
    </w:p>
    <w:p>
      <w:pPr>
        <w:pStyle w:val="ListParagraph"/>
        <w:numPr>
          <w:ilvl w:val="0"/>
          <w:numId w:val="2"/>
        </w:numPr>
        <w:spacing w:after="60" w:line="276"/>
      </w:pPr>
      <w:r>
        <w:rPr>
          <w:rFonts w:ascii="Arial" w:cs="Arial" w:eastAsia="Arial" w:hAnsi="Arial"/>
          <w:b/>
          <w:bCs/>
          <w:sz w:val="22"/>
          <w:szCs w:val="22"/>
        </w:rPr>
        <w:t xml:space="preserve">29–31 weeks GA: </w:t>
      </w:r>
      <w:r>
        <w:rPr>
          <w:rFonts w:ascii="Arial" w:cs="Arial" w:eastAsia="Arial" w:hAnsi="Arial"/>
          <w:sz w:val="22"/>
          <w:szCs w:val="22"/>
        </w:rPr>
        <w:t xml:space="preserve">60–70% humidity for the first 3–5 days, then wean or discontinue.</w:t>
      </w:r>
    </w:p>
    <w:p>
      <w:pPr>
        <w:pStyle w:val="ListParagraph"/>
        <w:numPr>
          <w:ilvl w:val="0"/>
          <w:numId w:val="2"/>
        </w:numPr>
        <w:spacing w:after="60" w:line="276"/>
      </w:pPr>
      <w:r>
        <w:rPr>
          <w:rFonts w:ascii="Arial" w:cs="Arial" w:eastAsia="Arial" w:hAnsi="Arial"/>
          <w:b/>
          <w:bCs/>
          <w:sz w:val="22"/>
          <w:szCs w:val="22"/>
        </w:rPr>
        <w:t xml:space="preserve">≥32 weeks GA: </w:t>
      </w:r>
      <w:r>
        <w:rPr>
          <w:rFonts w:ascii="Arial" w:cs="Arial" w:eastAsia="Arial" w:hAnsi="Arial"/>
          <w:sz w:val="22"/>
          <w:szCs w:val="22"/>
        </w:rPr>
        <w:t xml:space="preserve">50–60% humidity or ambient (varies by unit protocol).</w:t>
      </w:r>
    </w:p>
    <w:p>
      <w:pPr>
        <w:spacing w:after="80"/>
      </w:pPr>
    </w:p>
    <w:p>
      <w:pPr>
        <w:pStyle w:val="Heading3"/>
      </w:pPr>
      <w:r>
        <w:t xml:space="preserve">6.1.2 Radiant Warmer (Open Bed)</w:t>
      </w:r>
    </w:p>
    <w:p>
      <w:pPr>
        <w:spacing w:after="120" w:line="276"/>
      </w:pPr>
      <w:r>
        <w:rPr>
          <w:rFonts w:ascii="Arial" w:cs="Arial" w:eastAsia="Arial" w:hAnsi="Arial"/>
          <w:sz w:val="22"/>
          <w:szCs w:val="22"/>
        </w:rPr>
        <w:t xml:space="preserve">Radiant warmers dramatically increase TEWL by removing the humidity barrier of a closed incubator and by adding radiant heat energy that drives evaporation. The calculator must apply the following adjustments when a radiant warmer is the selected thermal environment:</w:t>
      </w:r>
    </w:p>
    <w:p>
      <w:pPr>
        <w:pStyle w:val="ListParagraph"/>
        <w:numPr>
          <w:ilvl w:val="0"/>
          <w:numId w:val="2"/>
        </w:numPr>
        <w:spacing w:after="60" w:line="276"/>
      </w:pPr>
      <w:r>
        <w:rPr>
          <w:rFonts w:ascii="Arial" w:cs="Arial" w:eastAsia="Arial" w:hAnsi="Arial"/>
          <w:sz w:val="22"/>
          <w:szCs w:val="22"/>
        </w:rPr>
        <w:t xml:space="preserve">Increase baseline TFI by 20–40 mL/kg/day (GA-dependent; greatest effect in most preterm infants).</w:t>
      </w:r>
    </w:p>
    <w:p>
      <w:pPr>
        <w:pStyle w:val="ListParagraph"/>
        <w:numPr>
          <w:ilvl w:val="0"/>
          <w:numId w:val="2"/>
        </w:numPr>
        <w:spacing w:after="60" w:line="276"/>
      </w:pPr>
      <w:r>
        <w:rPr>
          <w:rFonts w:ascii="Arial" w:cs="Arial" w:eastAsia="Arial" w:hAnsi="Arial"/>
          <w:sz w:val="22"/>
          <w:szCs w:val="22"/>
        </w:rPr>
        <w:t xml:space="preserve">Monitor weight, urine output, and serum sodium more frequently (every 6–8 hours in ELBW infants on warmers).</w:t>
      </w:r>
    </w:p>
    <w:p>
      <w:pPr>
        <w:pStyle w:val="ListParagraph"/>
        <w:numPr>
          <w:ilvl w:val="0"/>
          <w:numId w:val="2"/>
        </w:numPr>
        <w:spacing w:after="60" w:line="276"/>
      </w:pPr>
      <w:r>
        <w:rPr>
          <w:rFonts w:ascii="Arial" w:cs="Arial" w:eastAsia="Arial" w:hAnsi="Arial"/>
          <w:sz w:val="22"/>
          <w:szCs w:val="22"/>
        </w:rPr>
        <w:t xml:space="preserve">Consider additional sodium supplementation (may need 4–6 mEq/kg/day or higher).</w:t>
      </w:r>
    </w:p>
    <w:p>
      <w:pPr>
        <w:pStyle w:val="ListParagraph"/>
        <w:numPr>
          <w:ilvl w:val="0"/>
          <w:numId w:val="2"/>
        </w:numPr>
        <w:spacing w:after="60" w:line="276"/>
      </w:pPr>
      <w:r>
        <w:rPr>
          <w:rFonts w:ascii="Arial" w:cs="Arial" w:eastAsia="Arial" w:hAnsi="Arial"/>
          <w:sz w:val="22"/>
          <w:szCs w:val="22"/>
        </w:rPr>
        <w:t xml:space="preserve">If radiant warmer + phototherapy: effects are additive; may require 40–60+ mL/kg/day above baseline.</w:t>
      </w:r>
    </w:p>
    <w:p>
      <w:pPr>
        <w:spacing w:after="80"/>
      </w:pPr>
    </w:p>
    <w:p>
      <w:pPr>
        <w:pStyle w:val="Heading2"/>
      </w:pPr>
      <w:r>
        <w:t xml:space="preserve">6.2 Phototherapy</w:t>
      </w:r>
    </w:p>
    <w:p>
      <w:pPr>
        <w:spacing w:after="120" w:line="276"/>
      </w:pPr>
      <w:r>
        <w:rPr>
          <w:rFonts w:ascii="Arial" w:cs="Arial" w:eastAsia="Arial" w:hAnsi="Arial"/>
          <w:sz w:val="22"/>
          <w:szCs w:val="22"/>
        </w:rPr>
        <w:t xml:space="preserve">Phototherapy increases insensible water loss through increased skin blood flow and transdermal water evaporation. The magnitude depends on the type and intensity of phototherapy, the surface area exposed, and the infant’s gestational 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Phototherapy Type</w:t>
            </w:r>
          </w:p>
        </w:tc>
        <w:tc>
          <w:tcPr>
            <w:tcW w:type="dxa" w:w="234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IWL Increase</w:t>
            </w:r>
          </w:p>
        </w:tc>
        <w:tc>
          <w:tcPr>
            <w:tcW w:type="dxa" w:w="234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Fluid Adjustment</w:t>
            </w:r>
          </w:p>
        </w:tc>
        <w:tc>
          <w:tcPr>
            <w:tcW w:type="dxa" w:w="234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Monitoring</w:t>
            </w:r>
          </w:p>
        </w:tc>
      </w:tr>
      <w:tr>
        <w:tc>
          <w:tcPr>
            <w:tcW w:type="dxa" w:w="234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Single conventional</w:t>
            </w:r>
          </w:p>
        </w:tc>
        <w:tc>
          <w:tcPr>
            <w:tcW w:type="dxa" w:w="234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+10–20 mL/kg/day</w:t>
            </w:r>
          </w:p>
        </w:tc>
        <w:tc>
          <w:tcPr>
            <w:tcW w:type="dxa" w:w="234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Add 10–20 mL/kg/day to TFI</w:t>
            </w:r>
          </w:p>
        </w:tc>
        <w:tc>
          <w:tcPr>
            <w:tcW w:type="dxa" w:w="234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Standard q8–12h labs</w:t>
            </w:r>
          </w:p>
        </w:tc>
      </w:tr>
      <w:tr>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Intensive (high-irradiance LED)</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+20–30 mL/kg/day</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Add 20–30 mL/kg/day to TFI</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q6–8h BMP in ELBW</w:t>
            </w:r>
          </w:p>
        </w:tc>
      </w:tr>
      <w:tr>
        <w:tc>
          <w:tcPr>
            <w:tcW w:type="dxa" w:w="234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Double/triple bank</w:t>
            </w:r>
          </w:p>
        </w:tc>
        <w:tc>
          <w:tcPr>
            <w:tcW w:type="dxa" w:w="234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+20–40 mL/kg/day</w:t>
            </w:r>
          </w:p>
        </w:tc>
        <w:tc>
          <w:tcPr>
            <w:tcW w:type="dxa" w:w="234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Add 20–40 mL/kg/day to TFI</w:t>
            </w:r>
          </w:p>
        </w:tc>
        <w:tc>
          <w:tcPr>
            <w:tcW w:type="dxa" w:w="234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q6–8h BMP</w:t>
            </w:r>
          </w:p>
        </w:tc>
      </w:tr>
      <w:tr>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Fiber-optic (BiliBlanket)</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+5–10 mL/kg/day</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Add 5–10 mL/kg/day to TFI</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Standard monitoring</w:t>
            </w:r>
          </w:p>
        </w:tc>
      </w:tr>
    </w:tbl>
    <w:p>
      <w:pPr>
        <w:spacing w:after="80"/>
      </w:pPr>
    </w:p>
    <w:p>
      <w:pPr>
        <w:pStyle w:val="Heading2"/>
      </w:pPr>
      <w:r>
        <w:t xml:space="preserve">6.3 Respiratory Support</w:t>
      </w:r>
    </w:p>
    <w:p>
      <w:pPr>
        <w:pStyle w:val="Heading3"/>
      </w:pPr>
      <w:r>
        <w:t xml:space="preserve">6.3.1 Mechanical Ventilation (Conventional or HFOV/HFJV)</w:t>
      </w:r>
    </w:p>
    <w:p>
      <w:pPr>
        <w:spacing w:after="120" w:line="276"/>
      </w:pPr>
      <w:r>
        <w:rPr>
          <w:rFonts w:ascii="Arial" w:cs="Arial" w:eastAsia="Arial" w:hAnsi="Arial"/>
          <w:sz w:val="22"/>
          <w:szCs w:val="22"/>
        </w:rPr>
        <w:t xml:space="preserve">Mechanically ventilated neonates on humidified circuits have significantly reduced respiratory insensible water loss (approaching zero with active heated humidification). However, positive pressure ventilation can affect renal perfusion and ADH secretion, and the inflammatory cascade from lung disease may affect capillary permeability. Key calculator considerations:</w:t>
      </w:r>
    </w:p>
    <w:p>
      <w:pPr>
        <w:pStyle w:val="ListParagraph"/>
        <w:numPr>
          <w:ilvl w:val="0"/>
          <w:numId w:val="2"/>
        </w:numPr>
        <w:spacing w:after="60" w:line="276"/>
      </w:pPr>
      <w:r>
        <w:rPr>
          <w:rFonts w:ascii="Arial" w:cs="Arial" w:eastAsia="Arial" w:hAnsi="Arial"/>
          <w:sz w:val="22"/>
          <w:szCs w:val="22"/>
        </w:rPr>
        <w:t xml:space="preserve">Respiratory IWL reduced to near zero with heated humidified circuits.</w:t>
      </w:r>
    </w:p>
    <w:p>
      <w:pPr>
        <w:pStyle w:val="ListParagraph"/>
        <w:numPr>
          <w:ilvl w:val="0"/>
          <w:numId w:val="2"/>
        </w:numPr>
        <w:spacing w:after="60" w:line="276"/>
      </w:pPr>
      <w:r>
        <w:rPr>
          <w:rFonts w:ascii="Arial" w:cs="Arial" w:eastAsia="Arial" w:hAnsi="Arial"/>
          <w:sz w:val="22"/>
          <w:szCs w:val="22"/>
        </w:rPr>
        <w:t xml:space="preserve">Fluid restriction may be warranted for pulmonary edema or evolving BPD (target 120–140 mL/kg/day after DOL 3–4).</w:t>
      </w:r>
    </w:p>
    <w:p>
      <w:pPr>
        <w:pStyle w:val="ListParagraph"/>
        <w:numPr>
          <w:ilvl w:val="0"/>
          <w:numId w:val="2"/>
        </w:numPr>
        <w:spacing w:after="60" w:line="276"/>
      </w:pPr>
      <w:r>
        <w:rPr>
          <w:rFonts w:ascii="Arial" w:cs="Arial" w:eastAsia="Arial" w:hAnsi="Arial"/>
          <w:sz w:val="22"/>
          <w:szCs w:val="22"/>
        </w:rPr>
        <w:t xml:space="preserve">HFOV/HFJV may impair venous return and reduce renal perfusion; monitor UOP closely.</w:t>
      </w:r>
    </w:p>
    <w:p>
      <w:pPr>
        <w:pStyle w:val="ListParagraph"/>
        <w:numPr>
          <w:ilvl w:val="0"/>
          <w:numId w:val="2"/>
        </w:numPr>
        <w:spacing w:after="60" w:line="276"/>
      </w:pPr>
      <w:r>
        <w:rPr>
          <w:rFonts w:ascii="Arial" w:cs="Arial" w:eastAsia="Arial" w:hAnsi="Arial"/>
          <w:sz w:val="22"/>
          <w:szCs w:val="22"/>
        </w:rPr>
        <w:t xml:space="preserve">High MAP ventilation may increase ADH secretion leading to free water retention; monitor sodium.</w:t>
      </w:r>
    </w:p>
    <w:p>
      <w:pPr>
        <w:spacing w:after="80"/>
      </w:pPr>
    </w:p>
    <w:p>
      <w:pPr>
        <w:pStyle w:val="Heading3"/>
      </w:pPr>
      <w:r>
        <w:t xml:space="preserve">6.3.2 Non-Invasive Respiratory Support (CPAP, NIPPV, HFNC)</w:t>
      </w:r>
    </w:p>
    <w:p>
      <w:pPr>
        <w:spacing w:after="120" w:line="276"/>
      </w:pPr>
      <w:r>
        <w:rPr>
          <w:rFonts w:ascii="Arial" w:cs="Arial" w:eastAsia="Arial" w:hAnsi="Arial"/>
          <w:sz w:val="22"/>
          <w:szCs w:val="22"/>
        </w:rPr>
        <w:t xml:space="preserve">Non-invasive support provides some humidification (heated humidified high-flow nasal cannula in particular) but less complete than closed ventilator circuits. Respiratory IWL is intermediate between intubated and spontaneously breathing infants. The calculator should apply a small reduction in respiratory IWL (~5 mL/kg/day) compared to baseline spontaneous breathing.</w:t>
      </w:r>
    </w:p>
    <w:p>
      <w:pPr>
        <w:spacing w:after="80"/>
      </w:pPr>
    </w:p>
    <w:p>
      <w:pPr>
        <w:pStyle w:val="Heading2"/>
      </w:pPr>
      <w:r>
        <w:t xml:space="preserve">6.4 Perinatal Asphyxia and Therapeutic Hypothermia (HIE Protocol)</w:t>
      </w:r>
    </w:p>
    <w:p>
      <w:pPr>
        <w:spacing w:after="120" w:line="276"/>
      </w:pPr>
      <w:r>
        <w:rPr>
          <w:rFonts w:ascii="Arial" w:cs="Arial" w:eastAsia="Arial" w:hAnsi="Arial"/>
          <w:sz w:val="22"/>
          <w:szCs w:val="22"/>
        </w:rPr>
        <w:t xml:space="preserve">Neonates undergoing therapeutic hypothermia for hypoxic-ischemic encephalopathy (HIE) represent a unique fluid management challenge. The calculator must incorporate the following adjustments:</w:t>
      </w:r>
    </w:p>
    <w:p>
      <w:pPr>
        <w:pStyle w:val="ListParagraph"/>
        <w:numPr>
          <w:ilvl w:val="0"/>
          <w:numId w:val="2"/>
        </w:numPr>
        <w:spacing w:after="60" w:line="276"/>
      </w:pPr>
      <w:r>
        <w:rPr>
          <w:rFonts w:ascii="Arial" w:cs="Arial" w:eastAsia="Arial" w:hAnsi="Arial"/>
          <w:b/>
          <w:bCs/>
          <w:sz w:val="22"/>
          <w:szCs w:val="22"/>
        </w:rPr>
        <w:t xml:space="preserve">Cooling Phase (DOL 0–3): </w:t>
      </w:r>
      <w:r>
        <w:rPr>
          <w:rFonts w:ascii="Arial" w:cs="Arial" w:eastAsia="Arial" w:hAnsi="Arial"/>
          <w:sz w:val="22"/>
          <w:szCs w:val="22"/>
        </w:rPr>
        <w:t xml:space="preserve">Fluid restriction to 50–60 mL/kg/day is common. Decreased metabolic rate reduces fluid needs. Renal injury (ATN) is common; oliguria expected. Hypothermia reduces IWL.</w:t>
      </w:r>
    </w:p>
    <w:p>
      <w:pPr>
        <w:pStyle w:val="ListParagraph"/>
        <w:numPr>
          <w:ilvl w:val="0"/>
          <w:numId w:val="2"/>
        </w:numPr>
        <w:spacing w:after="60" w:line="276"/>
      </w:pPr>
      <w:r>
        <w:rPr>
          <w:rFonts w:ascii="Arial" w:cs="Arial" w:eastAsia="Arial" w:hAnsi="Arial"/>
          <w:b/>
          <w:bCs/>
          <w:sz w:val="22"/>
          <w:szCs w:val="22"/>
        </w:rPr>
        <w:t xml:space="preserve">Rewarming Phase (DOL 3–4): </w:t>
      </w:r>
      <w:r>
        <w:rPr>
          <w:rFonts w:ascii="Arial" w:cs="Arial" w:eastAsia="Arial" w:hAnsi="Arial"/>
          <w:sz w:val="22"/>
          <w:szCs w:val="22"/>
        </w:rPr>
        <w:t xml:space="preserve">Gradual increase in fluid rate as temperature normalizes. Monitor for rebound vasodilation and hypotension. May need volume boluses (10 mL/kg NS).</w:t>
      </w:r>
    </w:p>
    <w:p>
      <w:pPr>
        <w:pStyle w:val="ListParagraph"/>
        <w:numPr>
          <w:ilvl w:val="0"/>
          <w:numId w:val="2"/>
        </w:numPr>
        <w:spacing w:after="60" w:line="276"/>
      </w:pPr>
      <w:r>
        <w:rPr>
          <w:rFonts w:ascii="Arial" w:cs="Arial" w:eastAsia="Arial" w:hAnsi="Arial"/>
          <w:b/>
          <w:bCs/>
          <w:sz w:val="22"/>
          <w:szCs w:val="22"/>
        </w:rPr>
        <w:t xml:space="preserve">Post-Rewarming (DOL 4–7): </w:t>
      </w:r>
      <w:r>
        <w:rPr>
          <w:rFonts w:ascii="Arial" w:cs="Arial" w:eastAsia="Arial" w:hAnsi="Arial"/>
          <w:sz w:val="22"/>
          <w:szCs w:val="22"/>
        </w:rPr>
        <w:t xml:space="preserve">Transition to standard term IVF protocol. Monitor for polyuric phase of ATN recovery (may require increased fluids + electrolyte replacement).</w:t>
      </w:r>
    </w:p>
    <w:p>
      <w:pPr>
        <w:pStyle w:val="ListParagraph"/>
        <w:numPr>
          <w:ilvl w:val="0"/>
          <w:numId w:val="2"/>
        </w:numPr>
        <w:spacing w:after="60" w:line="276"/>
      </w:pPr>
      <w:r>
        <w:rPr>
          <w:rFonts w:ascii="Arial" w:cs="Arial" w:eastAsia="Arial" w:hAnsi="Arial"/>
          <w:b/>
          <w:bCs/>
          <w:sz w:val="22"/>
          <w:szCs w:val="22"/>
        </w:rPr>
        <w:t xml:space="preserve">Electrolyte Concerns: </w:t>
      </w:r>
      <w:r>
        <w:rPr>
          <w:rFonts w:ascii="Arial" w:cs="Arial" w:eastAsia="Arial" w:hAnsi="Arial"/>
          <w:sz w:val="22"/>
          <w:szCs w:val="22"/>
        </w:rPr>
        <w:t xml:space="preserve">Hyponatremia (SIADH), hyperkalemia (tissue injury + renal impairment), hypocalcemia, and hypomagnesemia are all common. More frequent electrolyte monitoring required (q6–8h initially).</w:t>
      </w:r>
    </w:p>
    <w:p>
      <w:pPr>
        <w:spacing w:after="80"/>
      </w:pPr>
    </w:p>
    <w:p>
      <w:pPr>
        <w:pStyle w:val="Heading2"/>
      </w:pPr>
      <w:r>
        <w:t xml:space="preserve">6.5 Patent Ductus Arteriosus (PDA)</w:t>
      </w:r>
    </w:p>
    <w:p>
      <w:pPr>
        <w:spacing w:after="120" w:line="276"/>
      </w:pPr>
      <w:r>
        <w:rPr>
          <w:rFonts w:ascii="Arial" w:cs="Arial" w:eastAsia="Arial" w:hAnsi="Arial"/>
          <w:sz w:val="22"/>
          <w:szCs w:val="22"/>
        </w:rPr>
        <w:t xml:space="preserve">A hemodynamically significant PDA increases pulmonary blood flow at the expense of systemic perfusion, including renal blood flow. Fluid management directly impacts PDA significance:</w:t>
      </w:r>
    </w:p>
    <w:p>
      <w:pPr>
        <w:pStyle w:val="ListParagraph"/>
        <w:numPr>
          <w:ilvl w:val="0"/>
          <w:numId w:val="2"/>
        </w:numPr>
        <w:spacing w:after="60" w:line="276"/>
      </w:pPr>
      <w:r>
        <w:rPr>
          <w:rFonts w:ascii="Arial" w:cs="Arial" w:eastAsia="Arial" w:hAnsi="Arial"/>
          <w:sz w:val="22"/>
          <w:szCs w:val="22"/>
        </w:rPr>
        <w:t xml:space="preserve">Fluid restriction is a cornerstone of conservative PDA management: restrict to 120–130 mL/kg/day (some centers 100–120 mL/kg/day).</w:t>
      </w:r>
    </w:p>
    <w:p>
      <w:pPr>
        <w:pStyle w:val="ListParagraph"/>
        <w:numPr>
          <w:ilvl w:val="0"/>
          <w:numId w:val="2"/>
        </w:numPr>
        <w:spacing w:after="60" w:line="276"/>
      </w:pPr>
      <w:r>
        <w:rPr>
          <w:rFonts w:ascii="Arial" w:cs="Arial" w:eastAsia="Arial" w:hAnsi="Arial"/>
          <w:sz w:val="22"/>
          <w:szCs w:val="22"/>
        </w:rPr>
        <w:t xml:space="preserve">The calculator should flag when a PDA is documented and automatically suggest the restricted fluid ceiling.</w:t>
      </w:r>
    </w:p>
    <w:p>
      <w:pPr>
        <w:pStyle w:val="ListParagraph"/>
        <w:numPr>
          <w:ilvl w:val="0"/>
          <w:numId w:val="2"/>
        </w:numPr>
        <w:spacing w:after="60" w:line="276"/>
      </w:pPr>
      <w:r>
        <w:rPr>
          <w:rFonts w:ascii="Arial" w:cs="Arial" w:eastAsia="Arial" w:hAnsi="Arial"/>
          <w:sz w:val="22"/>
          <w:szCs w:val="22"/>
        </w:rPr>
        <w:t xml:space="preserve">If ibuprofen or indomethacin is administered for pharmacologic closure, monitor renal function closely (these agents are nephrotoxic). Fluid management may need to compensate for decreased UOP.</w:t>
      </w:r>
    </w:p>
    <w:p>
      <w:pPr>
        <w:pStyle w:val="ListParagraph"/>
        <w:numPr>
          <w:ilvl w:val="0"/>
          <w:numId w:val="2"/>
        </w:numPr>
        <w:spacing w:after="60" w:line="276"/>
      </w:pPr>
      <w:r>
        <w:rPr>
          <w:rFonts w:ascii="Arial" w:cs="Arial" w:eastAsia="Arial" w:hAnsi="Arial"/>
          <w:sz w:val="22"/>
          <w:szCs w:val="22"/>
        </w:rPr>
        <w:t xml:space="preserve">Acetaminophen for PDA closure has fewer renal effects but still warrants monitoring.</w:t>
      </w:r>
    </w:p>
    <w:p>
      <w:pPr>
        <w:spacing w:after="80"/>
      </w:pPr>
    </w:p>
    <w:p>
      <w:pPr>
        <w:pStyle w:val="Heading2"/>
      </w:pPr>
      <w:r>
        <w:t xml:space="preserve">6.6 Necrotizing Enterocolitis (NEC)</w:t>
      </w:r>
    </w:p>
    <w:p>
      <w:pPr>
        <w:spacing w:after="120" w:line="276"/>
      </w:pPr>
      <w:r>
        <w:rPr>
          <w:rFonts w:ascii="Arial" w:cs="Arial" w:eastAsia="Arial" w:hAnsi="Arial"/>
          <w:sz w:val="22"/>
          <w:szCs w:val="22"/>
        </w:rPr>
        <w:t xml:space="preserve">NEC requires immediate NPO status and often significant fluid resuscitation for third-space losses:</w:t>
      </w:r>
    </w:p>
    <w:p>
      <w:pPr>
        <w:pStyle w:val="ListParagraph"/>
        <w:numPr>
          <w:ilvl w:val="0"/>
          <w:numId w:val="2"/>
        </w:numPr>
        <w:spacing w:after="60" w:line="276"/>
      </w:pPr>
      <w:r>
        <w:rPr>
          <w:rFonts w:ascii="Arial" w:cs="Arial" w:eastAsia="Arial" w:hAnsi="Arial"/>
          <w:b/>
          <w:bCs/>
          <w:sz w:val="22"/>
          <w:szCs w:val="22"/>
        </w:rPr>
        <w:t xml:space="preserve">Acute Phase: </w:t>
      </w:r>
      <w:r>
        <w:rPr>
          <w:rFonts w:ascii="Arial" w:cs="Arial" w:eastAsia="Arial" w:hAnsi="Arial"/>
          <w:sz w:val="22"/>
          <w:szCs w:val="22"/>
        </w:rPr>
        <w:t xml:space="preserve">NPO, OG to low intermittent suction, IV antibiotics. Fluid requirements may increase to 150–200+ mL/kg/day due to capillary leak and third-spacing. Serial volume boluses (10–20 mL/kg NS or LR) may be needed.</w:t>
      </w:r>
    </w:p>
    <w:p>
      <w:pPr>
        <w:pStyle w:val="ListParagraph"/>
        <w:numPr>
          <w:ilvl w:val="0"/>
          <w:numId w:val="2"/>
        </w:numPr>
        <w:spacing w:after="60" w:line="276"/>
      </w:pPr>
      <w:r>
        <w:rPr>
          <w:rFonts w:ascii="Arial" w:cs="Arial" w:eastAsia="Arial" w:hAnsi="Arial"/>
          <w:b/>
          <w:bCs/>
          <w:sz w:val="22"/>
          <w:szCs w:val="22"/>
        </w:rPr>
        <w:t xml:space="preserve">Electrolytes: </w:t>
      </w:r>
      <w:r>
        <w:rPr>
          <w:rFonts w:ascii="Arial" w:cs="Arial" w:eastAsia="Arial" w:hAnsi="Arial"/>
          <w:sz w:val="22"/>
          <w:szCs w:val="22"/>
        </w:rPr>
        <w:t xml:space="preserve">Metabolic acidosis (bicarbonate replacement may be needed), hyponatremia from free water shifts, and hyperkalemia from tissue necrosis are common.</w:t>
      </w:r>
    </w:p>
    <w:p>
      <w:pPr>
        <w:pStyle w:val="ListParagraph"/>
        <w:numPr>
          <w:ilvl w:val="0"/>
          <w:numId w:val="2"/>
        </w:numPr>
        <w:spacing w:after="60" w:line="276"/>
      </w:pPr>
      <w:r>
        <w:rPr>
          <w:rFonts w:ascii="Arial" w:cs="Arial" w:eastAsia="Arial" w:hAnsi="Arial"/>
          <w:b/>
          <w:bCs/>
          <w:sz w:val="22"/>
          <w:szCs w:val="22"/>
        </w:rPr>
        <w:t xml:space="preserve">Recovery Phase: </w:t>
      </w:r>
      <w:r>
        <w:rPr>
          <w:rFonts w:ascii="Arial" w:cs="Arial" w:eastAsia="Arial" w:hAnsi="Arial"/>
          <w:sz w:val="22"/>
          <w:szCs w:val="22"/>
        </w:rPr>
        <w:t xml:space="preserve">Gradual return to baseline fluid rates as capillary integrity recovers. Slow enteral refeeding after 7–14 days NPO.</w:t>
      </w:r>
    </w:p>
    <w:p>
      <w:pPr>
        <w:spacing w:after="80"/>
      </w:pPr>
    </w:p>
    <w:p>
      <w:pPr>
        <w:pStyle w:val="Heading2"/>
      </w:pPr>
      <w:r>
        <w:t xml:space="preserve">6.7 Surgical Conditions</w:t>
      </w:r>
    </w:p>
    <w:p>
      <w:pPr>
        <w:pStyle w:val="Heading3"/>
      </w:pPr>
      <w:r>
        <w:t xml:space="preserve">6.7.1 Gastroschisis / Omphalocele</w:t>
      </w:r>
    </w:p>
    <w:p>
      <w:pPr>
        <w:spacing w:after="120" w:line="276"/>
      </w:pPr>
      <w:r>
        <w:rPr>
          <w:rFonts w:ascii="Arial" w:cs="Arial" w:eastAsia="Arial" w:hAnsi="Arial"/>
          <w:sz w:val="22"/>
          <w:szCs w:val="22"/>
        </w:rPr>
        <w:t xml:space="preserve">Exposed viscera result in massive third-space and evaporative fluid losses:</w:t>
      </w:r>
    </w:p>
    <w:p>
      <w:pPr>
        <w:pStyle w:val="ListParagraph"/>
        <w:numPr>
          <w:ilvl w:val="0"/>
          <w:numId w:val="2"/>
        </w:numPr>
        <w:spacing w:after="60" w:line="276"/>
      </w:pPr>
      <w:r>
        <w:rPr>
          <w:rFonts w:ascii="Arial" w:cs="Arial" w:eastAsia="Arial" w:hAnsi="Arial"/>
          <w:sz w:val="22"/>
          <w:szCs w:val="22"/>
        </w:rPr>
        <w:t xml:space="preserve">Gastroschisis: TFI may need 150–250+ mL/kg/day in the acute preoperative period. Silo reduction requires ongoing supplemental fluids.</w:t>
      </w:r>
    </w:p>
    <w:p>
      <w:pPr>
        <w:pStyle w:val="ListParagraph"/>
        <w:numPr>
          <w:ilvl w:val="0"/>
          <w:numId w:val="2"/>
        </w:numPr>
        <w:spacing w:after="60" w:line="276"/>
      </w:pPr>
      <w:r>
        <w:rPr>
          <w:rFonts w:ascii="Arial" w:cs="Arial" w:eastAsia="Arial" w:hAnsi="Arial"/>
          <w:sz w:val="22"/>
          <w:szCs w:val="22"/>
        </w:rPr>
        <w:t xml:space="preserve">Cover exposed bowel with plastic wrap (reduces evaporative loss by ~50%).</w:t>
      </w:r>
    </w:p>
    <w:p>
      <w:pPr>
        <w:pStyle w:val="ListParagraph"/>
        <w:numPr>
          <w:ilvl w:val="0"/>
          <w:numId w:val="2"/>
        </w:numPr>
        <w:spacing w:after="60" w:line="276"/>
      </w:pPr>
      <w:r>
        <w:rPr>
          <w:rFonts w:ascii="Arial" w:cs="Arial" w:eastAsia="Arial" w:hAnsi="Arial"/>
          <w:sz w:val="22"/>
          <w:szCs w:val="22"/>
        </w:rPr>
        <w:t xml:space="preserve">Monitor for abdominal compartment syndrome post-reduction (decreased UOP, metabolic acidosis, hemodynamic instability).</w:t>
      </w:r>
    </w:p>
    <w:p>
      <w:pPr>
        <w:spacing w:after="80"/>
      </w:pPr>
    </w:p>
    <w:p>
      <w:pPr>
        <w:pStyle w:val="Heading3"/>
      </w:pPr>
      <w:r>
        <w:t xml:space="preserve">6.7.2 Congenital Diaphragmatic Hernia (CDH)</w:t>
      </w:r>
    </w:p>
    <w:p>
      <w:pPr>
        <w:spacing w:after="120" w:line="276"/>
      </w:pPr>
      <w:r>
        <w:rPr>
          <w:rFonts w:ascii="Arial" w:cs="Arial" w:eastAsia="Arial" w:hAnsi="Arial"/>
          <w:sz w:val="22"/>
          <w:szCs w:val="22"/>
        </w:rPr>
        <w:t xml:space="preserve">Fluid management in CDH is nuanced:</w:t>
      </w:r>
    </w:p>
    <w:p>
      <w:pPr>
        <w:pStyle w:val="ListParagraph"/>
        <w:numPr>
          <w:ilvl w:val="0"/>
          <w:numId w:val="2"/>
        </w:numPr>
        <w:spacing w:after="60" w:line="276"/>
      </w:pPr>
      <w:r>
        <w:rPr>
          <w:rFonts w:ascii="Arial" w:cs="Arial" w:eastAsia="Arial" w:hAnsi="Arial"/>
          <w:sz w:val="22"/>
          <w:szCs w:val="22"/>
        </w:rPr>
        <w:t xml:space="preserve">Fluid restriction often recommended to minimize pulmonary edema (60–80 mL/kg/day initially).</w:t>
      </w:r>
    </w:p>
    <w:p>
      <w:pPr>
        <w:pStyle w:val="ListParagraph"/>
        <w:numPr>
          <w:ilvl w:val="0"/>
          <w:numId w:val="2"/>
        </w:numPr>
        <w:spacing w:after="60" w:line="276"/>
      </w:pPr>
      <w:r>
        <w:rPr>
          <w:rFonts w:ascii="Arial" w:cs="Arial" w:eastAsia="Arial" w:hAnsi="Arial"/>
          <w:sz w:val="22"/>
          <w:szCs w:val="22"/>
        </w:rPr>
        <w:t xml:space="preserve">Balanced against need for adequate systemic perfusion.</w:t>
      </w:r>
    </w:p>
    <w:p>
      <w:pPr>
        <w:pStyle w:val="ListParagraph"/>
        <w:numPr>
          <w:ilvl w:val="0"/>
          <w:numId w:val="2"/>
        </w:numPr>
        <w:spacing w:after="60" w:line="276"/>
      </w:pPr>
      <w:r>
        <w:rPr>
          <w:rFonts w:ascii="Arial" w:cs="Arial" w:eastAsia="Arial" w:hAnsi="Arial"/>
          <w:sz w:val="22"/>
          <w:szCs w:val="22"/>
        </w:rPr>
        <w:t xml:space="preserve">Pulmonary hypertension management may require vasopressors and volume support simultaneously.</w:t>
      </w:r>
    </w:p>
    <w:p>
      <w:pPr>
        <w:spacing w:after="80"/>
      </w:pPr>
    </w:p>
    <w:p>
      <w:pPr>
        <w:pStyle w:val="Heading3"/>
      </w:pPr>
      <w:r>
        <w:t xml:space="preserve">6.7.3 Esophageal Atresia / Tracheoesophageal Fistula</w:t>
      </w:r>
    </w:p>
    <w:p>
      <w:pPr>
        <w:spacing w:after="120" w:line="276"/>
      </w:pPr>
      <w:r>
        <w:rPr>
          <w:rFonts w:ascii="Arial" w:cs="Arial" w:eastAsia="Arial" w:hAnsi="Arial"/>
          <w:sz w:val="22"/>
          <w:szCs w:val="22"/>
        </w:rPr>
        <w:t xml:space="preserve">Standard IVF management with attention to maintaining NPO status, adequate suctioning, and fluid balance during and after surgical repair.</w:t>
      </w:r>
    </w:p>
    <w:p>
      <w:pPr>
        <w:spacing w:after="80"/>
      </w:pPr>
    </w:p>
    <w:p>
      <w:pPr>
        <w:pStyle w:val="Heading2"/>
      </w:pPr>
      <w:r>
        <w:t xml:space="preserve">6.8 Renal Dysfunction</w:t>
      </w:r>
    </w:p>
    <w:p>
      <w:pPr>
        <w:spacing w:after="120" w:line="276"/>
      </w:pPr>
      <w:r>
        <w:rPr>
          <w:rFonts w:ascii="Arial" w:cs="Arial" w:eastAsia="Arial" w:hAnsi="Arial"/>
          <w:sz w:val="22"/>
          <w:szCs w:val="22"/>
        </w:rPr>
        <w:t xml:space="preserve">The calculator must incorporate renal status as a critical modifier:</w:t>
      </w:r>
    </w:p>
    <w:p>
      <w:pPr>
        <w:pStyle w:val="ListParagraph"/>
        <w:numPr>
          <w:ilvl w:val="0"/>
          <w:numId w:val="2"/>
        </w:numPr>
        <w:spacing w:after="60" w:line="276"/>
      </w:pPr>
      <w:r>
        <w:rPr>
          <w:rFonts w:ascii="Arial" w:cs="Arial" w:eastAsia="Arial" w:hAnsi="Arial"/>
          <w:b/>
          <w:bCs/>
          <w:sz w:val="22"/>
          <w:szCs w:val="22"/>
        </w:rPr>
        <w:t xml:space="preserve">Oliguric AKI (UOP &lt;0.5 mL/kg/hr for &gt;12 hours): </w:t>
      </w:r>
      <w:r>
        <w:rPr>
          <w:rFonts w:ascii="Arial" w:cs="Arial" w:eastAsia="Arial" w:hAnsi="Arial"/>
          <w:sz w:val="22"/>
          <w:szCs w:val="22"/>
        </w:rPr>
        <w:t xml:space="preserve">Restrict fluids to IWL + UOP + ongoing losses. Avoid potassium in fluids. Monitor weight q6–12h.</w:t>
      </w:r>
    </w:p>
    <w:p>
      <w:pPr>
        <w:pStyle w:val="ListParagraph"/>
        <w:numPr>
          <w:ilvl w:val="0"/>
          <w:numId w:val="2"/>
        </w:numPr>
        <w:spacing w:after="60" w:line="276"/>
      </w:pPr>
      <w:r>
        <w:rPr>
          <w:rFonts w:ascii="Arial" w:cs="Arial" w:eastAsia="Arial" w:hAnsi="Arial"/>
          <w:b/>
          <w:bCs/>
          <w:sz w:val="22"/>
          <w:szCs w:val="22"/>
        </w:rPr>
        <w:t xml:space="preserve">Non-Oliguric AKI: </w:t>
      </w:r>
      <w:r>
        <w:rPr>
          <w:rFonts w:ascii="Arial" w:cs="Arial" w:eastAsia="Arial" w:hAnsi="Arial"/>
          <w:sz w:val="22"/>
          <w:szCs w:val="22"/>
        </w:rPr>
        <w:t xml:space="preserve">Creatinine rising but UOP maintained. Fluid rate based on clinical assessment. Avoid potassium. Monitor closely.</w:t>
      </w:r>
    </w:p>
    <w:p>
      <w:pPr>
        <w:pStyle w:val="ListParagraph"/>
        <w:numPr>
          <w:ilvl w:val="0"/>
          <w:numId w:val="2"/>
        </w:numPr>
        <w:spacing w:after="60" w:line="276"/>
      </w:pPr>
      <w:r>
        <w:rPr>
          <w:rFonts w:ascii="Arial" w:cs="Arial" w:eastAsia="Arial" w:hAnsi="Arial"/>
          <w:b/>
          <w:bCs/>
          <w:sz w:val="22"/>
          <w:szCs w:val="22"/>
        </w:rPr>
        <w:t xml:space="preserve">Polyuric Phase (post-AKI recovery): </w:t>
      </w:r>
      <w:r>
        <w:rPr>
          <w:rFonts w:ascii="Arial" w:cs="Arial" w:eastAsia="Arial" w:hAnsi="Arial"/>
          <w:sz w:val="22"/>
          <w:szCs w:val="22"/>
        </w:rPr>
        <w:t xml:space="preserve">May require 200+ mL/kg/day to replace urine output. Measure urine electrolytes and replace losses.</w:t>
      </w:r>
    </w:p>
    <w:p>
      <w:pPr>
        <w:pStyle w:val="ListParagraph"/>
        <w:numPr>
          <w:ilvl w:val="0"/>
          <w:numId w:val="2"/>
        </w:numPr>
        <w:spacing w:after="60" w:line="276"/>
      </w:pPr>
      <w:r>
        <w:rPr>
          <w:rFonts w:ascii="Arial" w:cs="Arial" w:eastAsia="Arial" w:hAnsi="Arial"/>
          <w:b/>
          <w:bCs/>
          <w:sz w:val="22"/>
          <w:szCs w:val="22"/>
        </w:rPr>
        <w:t xml:space="preserve">SIADH: </w:t>
      </w:r>
      <w:r>
        <w:rPr>
          <w:rFonts w:ascii="Arial" w:cs="Arial" w:eastAsia="Arial" w:hAnsi="Arial"/>
          <w:sz w:val="22"/>
          <w:szCs w:val="22"/>
        </w:rPr>
        <w:t xml:space="preserve">Fluid restriction to 60–80% of maintenance. Monitor serum sodium closely.</w:t>
      </w:r>
    </w:p>
    <w:p>
      <w:pPr>
        <w:spacing w:after="80"/>
      </w:pPr>
    </w:p>
    <w:p>
      <w:pPr>
        <w:pStyle w:val="Heading2"/>
      </w:pPr>
      <w:r>
        <w:t xml:space="preserve">6.9 Sepsis</w:t>
      </w:r>
    </w:p>
    <w:p>
      <w:pPr>
        <w:spacing w:after="120" w:line="276"/>
      </w:pPr>
      <w:r>
        <w:rPr>
          <w:rFonts w:ascii="Arial" w:cs="Arial" w:eastAsia="Arial" w:hAnsi="Arial"/>
          <w:sz w:val="22"/>
          <w:szCs w:val="22"/>
        </w:rPr>
        <w:t xml:space="preserve">Neonatal sepsis can cause vasodilation, capillary leak, and hemodynamic instability requiring fluid resuscitation:</w:t>
      </w:r>
    </w:p>
    <w:p>
      <w:pPr>
        <w:pStyle w:val="ListParagraph"/>
        <w:numPr>
          <w:ilvl w:val="0"/>
          <w:numId w:val="2"/>
        </w:numPr>
        <w:spacing w:after="60" w:line="276"/>
      </w:pPr>
      <w:r>
        <w:rPr>
          <w:rFonts w:ascii="Arial" w:cs="Arial" w:eastAsia="Arial" w:hAnsi="Arial"/>
          <w:sz w:val="22"/>
          <w:szCs w:val="22"/>
        </w:rPr>
        <w:t xml:space="preserve">Initial resuscitation: Volume boluses of 10–20 mL/kg NS, may repeat up to 40–60 mL/kg in first hour per NRP/PALS guidelines (with careful reassessment between boluses).</w:t>
      </w:r>
    </w:p>
    <w:p>
      <w:pPr>
        <w:pStyle w:val="ListParagraph"/>
        <w:numPr>
          <w:ilvl w:val="0"/>
          <w:numId w:val="2"/>
        </w:numPr>
        <w:spacing w:after="60" w:line="276"/>
      </w:pPr>
      <w:r>
        <w:rPr>
          <w:rFonts w:ascii="Arial" w:cs="Arial" w:eastAsia="Arial" w:hAnsi="Arial"/>
          <w:sz w:val="22"/>
          <w:szCs w:val="22"/>
        </w:rPr>
        <w:t xml:space="preserve">Maintenance fluids adjusted based on hemodynamic status, UOP, and lactate clearance.</w:t>
      </w:r>
    </w:p>
    <w:p>
      <w:pPr>
        <w:pStyle w:val="ListParagraph"/>
        <w:numPr>
          <w:ilvl w:val="0"/>
          <w:numId w:val="2"/>
        </w:numPr>
        <w:spacing w:after="60" w:line="276"/>
      </w:pPr>
      <w:r>
        <w:rPr>
          <w:rFonts w:ascii="Arial" w:cs="Arial" w:eastAsia="Arial" w:hAnsi="Arial"/>
          <w:sz w:val="22"/>
          <w:szCs w:val="22"/>
        </w:rPr>
        <w:t xml:space="preserve">Post-resuscitation: May need restriction if volume overloaded, or ongoing supplementation if ongoing losses.</w:t>
      </w:r>
    </w:p>
    <w:p>
      <w:pPr>
        <w:pStyle w:val="ListParagraph"/>
        <w:numPr>
          <w:ilvl w:val="0"/>
          <w:numId w:val="2"/>
        </w:numPr>
        <w:spacing w:after="60" w:line="276"/>
      </w:pPr>
      <w:r>
        <w:rPr>
          <w:rFonts w:ascii="Arial" w:cs="Arial" w:eastAsia="Arial" w:hAnsi="Arial"/>
          <w:sz w:val="22"/>
          <w:szCs w:val="22"/>
        </w:rPr>
        <w:t xml:space="preserve">The calculator should track cumulative bolus volume as a percentage of body weight and display total fluid intake including boluses.</w:t>
      </w:r>
    </w:p>
    <w:p>
      <w:r>
        <w:br w:type="page"/>
      </w:r>
    </w:p>
    <w:p>
      <w:pPr>
        <w:pStyle w:val="Heading1"/>
      </w:pPr>
      <w:r>
        <w:t xml:space="preserve">7. Electrolyte Management Components</w:t>
      </w:r>
    </w:p>
    <w:p>
      <w:pPr>
        <w:spacing w:after="80"/>
      </w:pPr>
    </w:p>
    <w:p>
      <w:pPr>
        <w:spacing w:after="120" w:line="276"/>
      </w:pPr>
      <w:r>
        <w:rPr>
          <w:rFonts w:ascii="Arial" w:cs="Arial" w:eastAsia="Arial" w:hAnsi="Arial"/>
          <w:sz w:val="22"/>
          <w:szCs w:val="22"/>
        </w:rPr>
        <w:t xml:space="preserve">Electrolyte management in the first week of life is tightly coupled to fluid volume decisions. The calculator must compute electrolyte delivery from all sources (maintenance IVF, TPN, medication drips, boluses, enteral feeds) and compare to targets.</w:t>
      </w:r>
    </w:p>
    <w:p>
      <w:pPr>
        <w:spacing w:after="80"/>
      </w:pPr>
    </w:p>
    <w:p>
      <w:pPr>
        <w:pStyle w:val="Heading2"/>
      </w:pPr>
      <w:r>
        <w:t xml:space="preserve">7.1 Sodium (Na+)</w:t>
      </w:r>
    </w:p>
    <w:p>
      <w:pPr>
        <w:spacing w:after="120" w:line="276"/>
      </w:pPr>
      <w:r>
        <w:rPr>
          <w:rFonts w:ascii="Arial" w:cs="Arial" w:eastAsia="Arial" w:hAnsi="Arial"/>
          <w:sz w:val="22"/>
          <w:szCs w:val="22"/>
        </w:rPr>
        <w:t xml:space="preserve">Sodium management in the first week of life follows a well-established physiological sequence:</w:t>
      </w:r>
    </w:p>
    <w:p>
      <w:pPr>
        <w:spacing w:after="80"/>
      </w:pPr>
    </w:p>
    <w:p>
      <w:pPr>
        <w:pStyle w:val="Heading3"/>
      </w:pPr>
      <w:r>
        <w:t xml:space="preserve">7.1.1 Timing of Sodium Initiation</w:t>
      </w:r>
    </w:p>
    <w:p>
      <w:pPr>
        <w:pStyle w:val="ListParagraph"/>
        <w:numPr>
          <w:ilvl w:val="0"/>
          <w:numId w:val="2"/>
        </w:numPr>
        <w:spacing w:after="60" w:line="276"/>
      </w:pPr>
      <w:r>
        <w:rPr>
          <w:rFonts w:ascii="Arial" w:cs="Arial" w:eastAsia="Arial" w:hAnsi="Arial"/>
          <w:b/>
          <w:bCs/>
          <w:sz w:val="22"/>
          <w:szCs w:val="22"/>
        </w:rPr>
        <w:t xml:space="preserve">DOL 0: </w:t>
      </w:r>
      <w:r>
        <w:rPr>
          <w:rFonts w:ascii="Arial" w:cs="Arial" w:eastAsia="Arial" w:hAnsi="Arial"/>
          <w:sz w:val="22"/>
          <w:szCs w:val="22"/>
        </w:rPr>
        <w:t xml:space="preserve">No sodium in maintenance fluids. The neonate is born with excess total body water and extracellular sodium. Adding sodium on DOL 0 prevents the physiological contraction of ECF volume.</w:t>
      </w:r>
    </w:p>
    <w:p>
      <w:pPr>
        <w:pStyle w:val="ListParagraph"/>
        <w:numPr>
          <w:ilvl w:val="0"/>
          <w:numId w:val="2"/>
        </w:numPr>
        <w:spacing w:after="60" w:line="276"/>
      </w:pPr>
      <w:r>
        <w:rPr>
          <w:rFonts w:ascii="Arial" w:cs="Arial" w:eastAsia="Arial" w:hAnsi="Arial"/>
          <w:b/>
          <w:bCs/>
          <w:sz w:val="22"/>
          <w:szCs w:val="22"/>
        </w:rPr>
        <w:t xml:space="preserve">DOL 1–2: </w:t>
      </w:r>
      <w:r>
        <w:rPr>
          <w:rFonts w:ascii="Arial" w:cs="Arial" w:eastAsia="Arial" w:hAnsi="Arial"/>
          <w:sz w:val="22"/>
          <w:szCs w:val="22"/>
        </w:rPr>
        <w:t xml:space="preserve">Sodium initiation depends on urine output and serum sodium. If UOP &gt;1 mL/kg/hr and serum Na &lt;140, add 2–3 mEq/kg/day. If serum Na ≥145, likely indicates dehydration (increase fluids) rather than sodium excess.</w:t>
      </w:r>
    </w:p>
    <w:p>
      <w:pPr>
        <w:pStyle w:val="ListParagraph"/>
        <w:numPr>
          <w:ilvl w:val="0"/>
          <w:numId w:val="2"/>
        </w:numPr>
        <w:spacing w:after="60" w:line="276"/>
      </w:pPr>
      <w:r>
        <w:rPr>
          <w:rFonts w:ascii="Arial" w:cs="Arial" w:eastAsia="Arial" w:hAnsi="Arial"/>
          <w:b/>
          <w:bCs/>
          <w:sz w:val="22"/>
          <w:szCs w:val="22"/>
        </w:rPr>
        <w:t xml:space="preserve">DOL 3–7: </w:t>
      </w:r>
      <w:r>
        <w:rPr>
          <w:rFonts w:ascii="Arial" w:cs="Arial" w:eastAsia="Arial" w:hAnsi="Arial"/>
          <w:sz w:val="22"/>
          <w:szCs w:val="22"/>
        </w:rPr>
        <w:t xml:space="preserve">Most infants require 2–5 mEq/kg/day. Extremely preterm infants may require higher supplementation (up to 6–8 mEq/kg/day) due to renal sodium wasting.</w:t>
      </w:r>
    </w:p>
    <w:p>
      <w:pPr>
        <w:spacing w:after="80"/>
      </w:pPr>
    </w:p>
    <w:p>
      <w:pPr>
        <w:pStyle w:val="Heading3"/>
      </w:pPr>
      <w:r>
        <w:t xml:space="preserve">7.1.2 Sodium Concentration in IVF</w:t>
      </w:r>
    </w:p>
    <w:p>
      <w:pPr>
        <w:spacing w:after="120" w:line="276"/>
      </w:pPr>
      <w:r>
        <w:rPr>
          <w:rFonts w:ascii="Arial" w:cs="Arial" w:eastAsia="Arial" w:hAnsi="Arial"/>
          <w:sz w:val="22"/>
          <w:szCs w:val="22"/>
        </w:rPr>
        <w:t xml:space="preserve">The calculator must support standard sodium additives and compute the resulting Na+ concentration:</w:t>
      </w:r>
    </w:p>
    <w:p>
      <w:pPr>
        <w:pStyle w:val="ListParagraph"/>
        <w:numPr>
          <w:ilvl w:val="0"/>
          <w:numId w:val="2"/>
        </w:numPr>
        <w:spacing w:after="60" w:line="276"/>
      </w:pPr>
      <w:r>
        <w:rPr>
          <w:rFonts w:ascii="Arial" w:cs="Arial" w:eastAsia="Arial" w:hAnsi="Arial"/>
          <w:sz w:val="22"/>
          <w:szCs w:val="22"/>
        </w:rPr>
        <w:t xml:space="preserve">NaCl 23.4% (4 mEq/mL): Added to maintenance IVF or TPN.</w:t>
      </w:r>
    </w:p>
    <w:p>
      <w:pPr>
        <w:pStyle w:val="ListParagraph"/>
        <w:numPr>
          <w:ilvl w:val="0"/>
          <w:numId w:val="2"/>
        </w:numPr>
        <w:spacing w:after="60" w:line="276"/>
      </w:pPr>
      <w:r>
        <w:rPr>
          <w:rFonts w:ascii="Arial" w:cs="Arial" w:eastAsia="Arial" w:hAnsi="Arial"/>
          <w:sz w:val="22"/>
          <w:szCs w:val="22"/>
        </w:rPr>
        <w:t xml:space="preserve">NS (0.9% NaCl = 154 mEq/L): Used for boluses and as a carrier.</w:t>
      </w:r>
    </w:p>
    <w:p>
      <w:pPr>
        <w:pStyle w:val="ListParagraph"/>
        <w:numPr>
          <w:ilvl w:val="0"/>
          <w:numId w:val="2"/>
        </w:numPr>
        <w:spacing w:after="60" w:line="276"/>
      </w:pPr>
      <w:r>
        <w:rPr>
          <w:rFonts w:ascii="Arial" w:cs="Arial" w:eastAsia="Arial" w:hAnsi="Arial"/>
          <w:sz w:val="22"/>
          <w:szCs w:val="22"/>
        </w:rPr>
        <w:t xml:space="preserve">1/2 NS (0.45% NaCl = 77 mEq/L): Common carrier for medication infusions.</w:t>
      </w:r>
    </w:p>
    <w:p>
      <w:pPr>
        <w:pStyle w:val="ListParagraph"/>
        <w:numPr>
          <w:ilvl w:val="0"/>
          <w:numId w:val="2"/>
        </w:numPr>
        <w:spacing w:after="60" w:line="276"/>
      </w:pPr>
      <w:r>
        <w:rPr>
          <w:rFonts w:ascii="Arial" w:cs="Arial" w:eastAsia="Arial" w:hAnsi="Arial"/>
          <w:sz w:val="22"/>
          <w:szCs w:val="22"/>
        </w:rPr>
        <w:t xml:space="preserve">1/4 NS (0.225% NaCl = 38.5 mEq/L): Sometimes used in preterm infant maintenance.</w:t>
      </w:r>
    </w:p>
    <w:p>
      <w:pPr>
        <w:pStyle w:val="ListParagraph"/>
        <w:numPr>
          <w:ilvl w:val="0"/>
          <w:numId w:val="2"/>
        </w:numPr>
        <w:spacing w:after="60" w:line="276"/>
      </w:pPr>
      <w:r>
        <w:rPr>
          <w:rFonts w:ascii="Arial" w:cs="Arial" w:eastAsia="Arial" w:hAnsi="Arial"/>
          <w:sz w:val="22"/>
          <w:szCs w:val="22"/>
        </w:rPr>
        <w:t xml:space="preserve">NaAcetate: Used when chloride load needs to be reduced (metabolic acidosis with hyperchloremia).</w:t>
      </w:r>
    </w:p>
    <w:p>
      <w:pPr>
        <w:spacing w:after="80"/>
      </w:pPr>
    </w:p>
    <w:p>
      <w:pPr>
        <w:pStyle w:val="Heading3"/>
      </w:pPr>
      <w:r>
        <w:t xml:space="preserve">7.1.3 Sodium Monitoring and Alert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Serum Na+ (mEq/L)</w:t>
            </w:r>
          </w:p>
        </w:tc>
        <w:tc>
          <w:tcPr>
            <w:tcW w:type="dxa" w:w="234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Classification</w:t>
            </w:r>
          </w:p>
        </w:tc>
        <w:tc>
          <w:tcPr>
            <w:tcW w:type="dxa" w:w="234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Common Etiology</w:t>
            </w:r>
          </w:p>
        </w:tc>
        <w:tc>
          <w:tcPr>
            <w:tcW w:type="dxa" w:w="234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Calculator Action</w:t>
            </w:r>
          </w:p>
        </w:tc>
      </w:tr>
      <w:tr>
        <w:tc>
          <w:tcPr>
            <w:tcW w:type="dxa" w:w="234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&lt;130</w:t>
            </w:r>
          </w:p>
        </w:tc>
        <w:tc>
          <w:tcPr>
            <w:tcW w:type="dxa" w:w="234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bCs/>
                <w:sz w:val="18"/>
                <w:szCs w:val="18"/>
              </w:rPr>
              <w:t xml:space="preserve">Severe Hyponatremia</w:t>
            </w:r>
          </w:p>
        </w:tc>
        <w:tc>
          <w:tcPr>
            <w:tcW w:type="dxa" w:w="234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Fluid overload, SIADH, excess free water</w:t>
            </w:r>
          </w:p>
        </w:tc>
        <w:tc>
          <w:tcPr>
            <w:tcW w:type="dxa" w:w="234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Alert: Restrict fluids, check UOP, hold Na-free fluids</w:t>
            </w:r>
          </w:p>
        </w:tc>
      </w:tr>
      <w:tr>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130–134</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Mild Hyponatremia</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Dilutional or renal Na wasting</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Increase Na supplementation, assess fluid balance</w:t>
            </w:r>
          </w:p>
        </w:tc>
      </w:tr>
      <w:tr>
        <w:tc>
          <w:tcPr>
            <w:tcW w:type="dxa" w:w="234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135–145</w:t>
            </w:r>
          </w:p>
        </w:tc>
        <w:tc>
          <w:tcPr>
            <w:tcW w:type="dxa" w:w="234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bCs/>
                <w:sz w:val="18"/>
                <w:szCs w:val="18"/>
              </w:rPr>
              <w:t xml:space="preserve">Normal</w:t>
            </w:r>
          </w:p>
        </w:tc>
        <w:tc>
          <w:tcPr>
            <w:tcW w:type="dxa" w:w="234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w:t>
            </w:r>
          </w:p>
        </w:tc>
        <w:tc>
          <w:tcPr>
            <w:tcW w:type="dxa" w:w="234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Continue current plan</w:t>
            </w:r>
          </w:p>
        </w:tc>
      </w:tr>
      <w:tr>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146–150</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Mild Hypernatremia</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Dehydration, inadequate free water</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Increase TFI by 10–20 mL/kg/day, reduce Na supplementation</w:t>
            </w:r>
          </w:p>
        </w:tc>
      </w:tr>
      <w:tr>
        <w:tc>
          <w:tcPr>
            <w:tcW w:type="dxa" w:w="234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&gt;150</w:t>
            </w:r>
          </w:p>
        </w:tc>
        <w:tc>
          <w:tcPr>
            <w:tcW w:type="dxa" w:w="234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bCs/>
                <w:sz w:val="18"/>
                <w:szCs w:val="18"/>
              </w:rPr>
              <w:t xml:space="preserve">Severe Hypernatremia</w:t>
            </w:r>
          </w:p>
        </w:tc>
        <w:tc>
          <w:tcPr>
            <w:tcW w:type="dxa" w:w="234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Significant dehydration, excessive TEWL</w:t>
            </w:r>
          </w:p>
        </w:tc>
        <w:tc>
          <w:tcPr>
            <w:tcW w:type="dxa" w:w="234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Alert: Increase fluids significantly, correct Na slowly (≤0.5 mEq/L/hr)</w:t>
            </w:r>
          </w:p>
        </w:tc>
      </w:tr>
    </w:tbl>
    <w:p>
      <w:pPr>
        <w:spacing w:after="80"/>
      </w:pPr>
    </w:p>
    <w:p>
      <w:pPr>
        <w:pStyle w:val="Heading2"/>
      </w:pPr>
      <w:r>
        <w:t xml:space="preserve">7.2 Potassium (K+)</w:t>
      </w:r>
    </w:p>
    <w:p>
      <w:pPr>
        <w:spacing w:after="120" w:line="276"/>
      </w:pPr>
      <w:r>
        <w:rPr>
          <w:rFonts w:ascii="Arial" w:cs="Arial" w:eastAsia="Arial" w:hAnsi="Arial"/>
          <w:sz w:val="22"/>
          <w:szCs w:val="22"/>
        </w:rPr>
        <w:t xml:space="preserve">Potassium management in neonates, particularly ELBW infants, requires careful attention due to the risk of non-oliguric hyperkalemia:</w:t>
      </w:r>
    </w:p>
    <w:p>
      <w:pPr>
        <w:spacing w:after="80"/>
      </w:pPr>
    </w:p>
    <w:p>
      <w:pPr>
        <w:pStyle w:val="Heading3"/>
      </w:pPr>
      <w:r>
        <w:t xml:space="preserve">7.2.1 Prerequisites for K+ Addition</w:t>
      </w:r>
    </w:p>
    <w:p>
      <w:pPr>
        <w:pStyle w:val="ListParagraph"/>
        <w:numPr>
          <w:ilvl w:val="0"/>
          <w:numId w:val="3"/>
        </w:numPr>
        <w:spacing w:after="60" w:line="276"/>
      </w:pPr>
      <w:r>
        <w:rPr>
          <w:rFonts w:ascii="Arial" w:cs="Arial" w:eastAsia="Arial" w:hAnsi="Arial"/>
          <w:sz w:val="22"/>
          <w:szCs w:val="22"/>
        </w:rPr>
        <w:t xml:space="preserve">Confirmed urine output (≥1 mL/kg/hr for at least 6–12 hours).</w:t>
      </w:r>
    </w:p>
    <w:p>
      <w:pPr>
        <w:pStyle w:val="ListParagraph"/>
        <w:numPr>
          <w:ilvl w:val="0"/>
          <w:numId w:val="3"/>
        </w:numPr>
        <w:spacing w:after="60" w:line="276"/>
      </w:pPr>
      <w:r>
        <w:rPr>
          <w:rFonts w:ascii="Arial" w:cs="Arial" w:eastAsia="Arial" w:hAnsi="Arial"/>
          <w:sz w:val="22"/>
          <w:szCs w:val="22"/>
        </w:rPr>
        <w:t xml:space="preserve">Serum K+ &lt;5.5 mEq/L.</w:t>
      </w:r>
    </w:p>
    <w:p>
      <w:pPr>
        <w:pStyle w:val="ListParagraph"/>
        <w:numPr>
          <w:ilvl w:val="0"/>
          <w:numId w:val="3"/>
        </w:numPr>
        <w:spacing w:after="60" w:line="276"/>
      </w:pPr>
      <w:r>
        <w:rPr>
          <w:rFonts w:ascii="Arial" w:cs="Arial" w:eastAsia="Arial" w:hAnsi="Arial"/>
          <w:sz w:val="22"/>
          <w:szCs w:val="22"/>
        </w:rPr>
        <w:t xml:space="preserve">No EKG changes suggestive of hyperkalemia (peaked T waves, widened QRS).</w:t>
      </w:r>
    </w:p>
    <w:p>
      <w:pPr>
        <w:spacing w:after="80"/>
      </w:pPr>
    </w:p>
    <w:p>
      <w:pPr>
        <w:pStyle w:val="Heading3"/>
      </w:pPr>
      <w:r>
        <w:t xml:space="preserve">7.2.2 K+ Dosing</w:t>
      </w:r>
    </w:p>
    <w:p>
      <w:pPr>
        <w:pStyle w:val="ListParagraph"/>
        <w:numPr>
          <w:ilvl w:val="0"/>
          <w:numId w:val="2"/>
        </w:numPr>
        <w:spacing w:after="60" w:line="276"/>
      </w:pPr>
      <w:r>
        <w:rPr>
          <w:rFonts w:ascii="Arial" w:cs="Arial" w:eastAsia="Arial" w:hAnsi="Arial"/>
          <w:b/>
          <w:bCs/>
          <w:sz w:val="22"/>
          <w:szCs w:val="22"/>
        </w:rPr>
        <w:t xml:space="preserve">Maintenance: </w:t>
      </w:r>
      <w:r>
        <w:rPr>
          <w:rFonts w:ascii="Arial" w:cs="Arial" w:eastAsia="Arial" w:hAnsi="Arial"/>
          <w:sz w:val="22"/>
          <w:szCs w:val="22"/>
        </w:rPr>
        <w:t xml:space="preserve">1–3 mEq/kg/day once initiated.</w:t>
      </w:r>
    </w:p>
    <w:p>
      <w:pPr>
        <w:pStyle w:val="ListParagraph"/>
        <w:numPr>
          <w:ilvl w:val="0"/>
          <w:numId w:val="2"/>
        </w:numPr>
        <w:spacing w:after="60" w:line="276"/>
      </w:pPr>
      <w:r>
        <w:rPr>
          <w:rFonts w:ascii="Arial" w:cs="Arial" w:eastAsia="Arial" w:hAnsi="Arial"/>
          <w:b/>
          <w:bCs/>
          <w:sz w:val="22"/>
          <w:szCs w:val="22"/>
        </w:rPr>
        <w:t xml:space="preserve">Maximum IV concentration: </w:t>
      </w:r>
      <w:r>
        <w:rPr>
          <w:rFonts w:ascii="Arial" w:cs="Arial" w:eastAsia="Arial" w:hAnsi="Arial"/>
          <w:sz w:val="22"/>
          <w:szCs w:val="22"/>
        </w:rPr>
        <w:t xml:space="preserve">40 mEq/L via peripheral line; 80–100 mEq/L via central line (must be on a pump with rate not exceeding 0.5 mEq/kg/hr).</w:t>
      </w:r>
    </w:p>
    <w:p>
      <w:pPr>
        <w:pStyle w:val="ListParagraph"/>
        <w:numPr>
          <w:ilvl w:val="0"/>
          <w:numId w:val="2"/>
        </w:numPr>
        <w:spacing w:after="60" w:line="276"/>
      </w:pPr>
      <w:r>
        <w:rPr>
          <w:rFonts w:ascii="Arial" w:cs="Arial" w:eastAsia="Arial" w:hAnsi="Arial"/>
          <w:b/>
          <w:bCs/>
          <w:sz w:val="22"/>
          <w:szCs w:val="22"/>
        </w:rPr>
        <w:t xml:space="preserve">Forms: </w:t>
      </w:r>
      <w:r>
        <w:rPr>
          <w:rFonts w:ascii="Arial" w:cs="Arial" w:eastAsia="Arial" w:hAnsi="Arial"/>
          <w:sz w:val="22"/>
          <w:szCs w:val="22"/>
        </w:rPr>
        <w:t xml:space="preserve">KCl (preferred for most situations), KAcetate (when alkalinization needed), KPhos (when phosphorus supplementation also needed).</w:t>
      </w:r>
    </w:p>
    <w:p>
      <w:pPr>
        <w:spacing w:after="80"/>
      </w:pPr>
    </w:p>
    <w:p>
      <w:pPr>
        <w:pStyle w:val="Heading2"/>
      </w:pPr>
      <w:r>
        <w:t xml:space="preserve">7.3 Calcium (Ca++)</w:t>
      </w:r>
    </w:p>
    <w:p>
      <w:pPr>
        <w:spacing w:after="120" w:line="276"/>
      </w:pPr>
      <w:r>
        <w:rPr>
          <w:rFonts w:ascii="Arial" w:cs="Arial" w:eastAsia="Arial" w:hAnsi="Arial"/>
          <w:sz w:val="22"/>
          <w:szCs w:val="22"/>
        </w:rPr>
        <w:t xml:space="preserve">Early calcium supplementation is critical for neonatal cardiac function, neuromuscular stability, and bone mineralization:</w:t>
      </w:r>
    </w:p>
    <w:p>
      <w:pPr>
        <w:pStyle w:val="ListParagraph"/>
        <w:numPr>
          <w:ilvl w:val="0"/>
          <w:numId w:val="2"/>
        </w:numPr>
        <w:spacing w:after="60" w:line="276"/>
      </w:pPr>
      <w:r>
        <w:rPr>
          <w:rFonts w:ascii="Arial" w:cs="Arial" w:eastAsia="Arial" w:hAnsi="Arial"/>
          <w:b/>
          <w:bCs/>
          <w:sz w:val="22"/>
          <w:szCs w:val="22"/>
        </w:rPr>
        <w:t xml:space="preserve">DOL 0: </w:t>
      </w:r>
      <w:r>
        <w:rPr>
          <w:rFonts w:ascii="Arial" w:cs="Arial" w:eastAsia="Arial" w:hAnsi="Arial"/>
          <w:sz w:val="22"/>
          <w:szCs w:val="22"/>
        </w:rPr>
        <w:t xml:space="preserve">Begin calcium gluconate 10% at 200 mg/kg/day (2 mL/kg/day of 10% calcium gluconate = 100 mg/mL) added to maintenance IVF.</w:t>
      </w:r>
    </w:p>
    <w:p>
      <w:pPr>
        <w:pStyle w:val="ListParagraph"/>
        <w:numPr>
          <w:ilvl w:val="0"/>
          <w:numId w:val="2"/>
        </w:numPr>
        <w:spacing w:after="60" w:line="276"/>
      </w:pPr>
      <w:r>
        <w:rPr>
          <w:rFonts w:ascii="Arial" w:cs="Arial" w:eastAsia="Arial" w:hAnsi="Arial"/>
          <w:b/>
          <w:bCs/>
          <w:sz w:val="22"/>
          <w:szCs w:val="22"/>
        </w:rPr>
        <w:t xml:space="preserve">DOL 1–7: </w:t>
      </w:r>
      <w:r>
        <w:rPr>
          <w:rFonts w:ascii="Arial" w:cs="Arial" w:eastAsia="Arial" w:hAnsi="Arial"/>
          <w:sz w:val="22"/>
          <w:szCs w:val="22"/>
        </w:rPr>
        <w:t xml:space="preserve">Continue 200–400 mg/kg/day of calcium gluconate via IVF or TPN.</w:t>
      </w:r>
    </w:p>
    <w:p>
      <w:pPr>
        <w:pStyle w:val="ListParagraph"/>
        <w:numPr>
          <w:ilvl w:val="0"/>
          <w:numId w:val="2"/>
        </w:numPr>
        <w:spacing w:after="60" w:line="276"/>
      </w:pPr>
      <w:r>
        <w:rPr>
          <w:rFonts w:ascii="Arial" w:cs="Arial" w:eastAsia="Arial" w:hAnsi="Arial"/>
          <w:b/>
          <w:bCs/>
          <w:sz w:val="22"/>
          <w:szCs w:val="22"/>
        </w:rPr>
        <w:t xml:space="preserve">Central access required for &gt;200 mg/dL calcium gluconate concentration due to vesicant risk.</w:t>
      </w:r>
      <w:r>
        <w:rPr>
          <w:rFonts w:ascii="Arial" w:cs="Arial" w:eastAsia="Arial" w:hAnsi="Arial"/>
          <w:sz w:val="22"/>
          <w:szCs w:val="22"/>
        </w:rPr>
      </w:r>
    </w:p>
    <w:p>
      <w:pPr>
        <w:pStyle w:val="ListParagraph"/>
        <w:numPr>
          <w:ilvl w:val="0"/>
          <w:numId w:val="2"/>
        </w:numPr>
        <w:spacing w:after="60" w:line="276"/>
      </w:pPr>
      <w:r>
        <w:rPr>
          <w:rFonts w:ascii="Arial" w:cs="Arial" w:eastAsia="Arial" w:hAnsi="Arial"/>
          <w:b/>
          <w:bCs/>
          <w:sz w:val="22"/>
          <w:szCs w:val="22"/>
        </w:rPr>
        <w:t xml:space="preserve">Monitoring: </w:t>
      </w:r>
      <w:r>
        <w:rPr>
          <w:rFonts w:ascii="Arial" w:cs="Arial" w:eastAsia="Arial" w:hAnsi="Arial"/>
          <w:sz w:val="22"/>
          <w:szCs w:val="22"/>
        </w:rPr>
        <w:t xml:space="preserve">Ionized calcium is the preferred measure (normal 1.1–1.4 mmol/L). Total calcium is affected by albumin levels.</w:t>
      </w:r>
    </w:p>
    <w:p>
      <w:pPr>
        <w:pStyle w:val="ListParagraph"/>
        <w:numPr>
          <w:ilvl w:val="0"/>
          <w:numId w:val="2"/>
        </w:numPr>
        <w:spacing w:after="60" w:line="276"/>
      </w:pPr>
      <w:r>
        <w:rPr>
          <w:rFonts w:ascii="Arial" w:cs="Arial" w:eastAsia="Arial" w:hAnsi="Arial"/>
          <w:b/>
          <w:bCs/>
          <w:sz w:val="22"/>
          <w:szCs w:val="22"/>
        </w:rPr>
        <w:t xml:space="preserve">Alerts: </w:t>
      </w:r>
      <w:r>
        <w:rPr>
          <w:rFonts w:ascii="Arial" w:cs="Arial" w:eastAsia="Arial" w:hAnsi="Arial"/>
          <w:sz w:val="22"/>
          <w:szCs w:val="22"/>
        </w:rPr>
        <w:t xml:space="preserve">iCa &lt;1.0 mmol/L: Supplement. iCa &lt;0.8 mmol/L: Acute supplementation with monitoring (CaCl2 or CaGluconate IV with cardiac monitoring).</w:t>
      </w:r>
    </w:p>
    <w:p>
      <w:pPr>
        <w:spacing w:after="80"/>
      </w:pPr>
    </w:p>
    <w:p>
      <w:pPr>
        <w:pStyle w:val="Heading2"/>
      </w:pPr>
      <w:r>
        <w:t xml:space="preserve">7.4 Phosphorus and Magnesium</w:t>
      </w:r>
    </w:p>
    <w:p>
      <w:pPr>
        <w:spacing w:after="120" w:line="276"/>
      </w:pPr>
      <w:r>
        <w:rPr>
          <w:rFonts w:ascii="Arial" w:cs="Arial" w:eastAsia="Arial" w:hAnsi="Arial"/>
          <w:sz w:val="22"/>
          <w:szCs w:val="22"/>
        </w:rPr>
        <w:t xml:space="preserve">These electrolytes are typically addressed through TPN formulations starting DOL 2–3 but should be tracked by the calculator:</w:t>
      </w:r>
    </w:p>
    <w:p>
      <w:pPr>
        <w:pStyle w:val="ListParagraph"/>
        <w:numPr>
          <w:ilvl w:val="0"/>
          <w:numId w:val="2"/>
        </w:numPr>
        <w:spacing w:after="60" w:line="276"/>
      </w:pPr>
      <w:r>
        <w:rPr>
          <w:rFonts w:ascii="Arial" w:cs="Arial" w:eastAsia="Arial" w:hAnsi="Arial"/>
          <w:b/>
          <w:bCs/>
          <w:sz w:val="22"/>
          <w:szCs w:val="22"/>
        </w:rPr>
        <w:t xml:space="preserve">Phosphorus: </w:t>
      </w:r>
      <w:r>
        <w:rPr>
          <w:rFonts w:ascii="Arial" w:cs="Arial" w:eastAsia="Arial" w:hAnsi="Arial"/>
          <w:sz w:val="22"/>
          <w:szCs w:val="22"/>
        </w:rPr>
        <w:t xml:space="preserve">1–2 mmol/kg/day via TPN. Monitor for refeeding syndrome in SGA/IUGR infants. Ca:P ratio in TPN should be approximately 1.3:1 to 1.7:1 by weight.</w:t>
      </w:r>
    </w:p>
    <w:p>
      <w:pPr>
        <w:pStyle w:val="ListParagraph"/>
        <w:numPr>
          <w:ilvl w:val="0"/>
          <w:numId w:val="2"/>
        </w:numPr>
        <w:spacing w:after="60" w:line="276"/>
      </w:pPr>
      <w:r>
        <w:rPr>
          <w:rFonts w:ascii="Arial" w:cs="Arial" w:eastAsia="Arial" w:hAnsi="Arial"/>
          <w:b/>
          <w:bCs/>
          <w:sz w:val="22"/>
          <w:szCs w:val="22"/>
        </w:rPr>
        <w:t xml:space="preserve">Magnesium: </w:t>
      </w:r>
      <w:r>
        <w:rPr>
          <w:rFonts w:ascii="Arial" w:cs="Arial" w:eastAsia="Arial" w:hAnsi="Arial"/>
          <w:sz w:val="22"/>
          <w:szCs w:val="22"/>
        </w:rPr>
        <w:t xml:space="preserve">0.25–0.5 mEq/kg/day via TPN. Important to check if mother received magnesium sulfate for preeclampsia or tocolysis (infant may be hypermagnesemic at birth).</w:t>
      </w:r>
    </w:p>
    <w:p>
      <w:r>
        <w:br w:type="page"/>
      </w:r>
    </w:p>
    <w:p>
      <w:pPr>
        <w:pStyle w:val="Heading1"/>
      </w:pPr>
      <w:r>
        <w:t xml:space="preserve">8. Monitoring Parameters and Adjustment Triggers</w:t>
      </w:r>
    </w:p>
    <w:p>
      <w:pPr>
        <w:spacing w:after="80"/>
      </w:pPr>
    </w:p>
    <w:p>
      <w:pPr>
        <w:spacing w:after="120" w:line="276"/>
      </w:pPr>
      <w:r>
        <w:rPr>
          <w:rFonts w:ascii="Arial" w:cs="Arial" w:eastAsia="Arial" w:hAnsi="Arial"/>
          <w:sz w:val="22"/>
          <w:szCs w:val="22"/>
        </w:rPr>
        <w:t xml:space="preserve">The calculator should integrate monitoring data to drive decision support. The following parameters should be tracked with appropriate frequency recommendations and alert thresholds.</w:t>
      </w:r>
    </w:p>
    <w:p>
      <w:pPr>
        <w:spacing w:after="80"/>
      </w:pPr>
    </w:p>
    <w:p>
      <w:pPr>
        <w:pStyle w:val="Heading2"/>
      </w:pPr>
      <w:r>
        <w:t xml:space="preserve">8.1 Urine Output (UOP)</w:t>
      </w:r>
    </w:p>
    <w:p>
      <w:pPr>
        <w:spacing w:after="120" w:line="276"/>
      </w:pPr>
      <w:r>
        <w:rPr>
          <w:rFonts w:ascii="Arial" w:cs="Arial" w:eastAsia="Arial" w:hAnsi="Arial"/>
          <w:sz w:val="22"/>
          <w:szCs w:val="22"/>
        </w:rPr>
        <w:t xml:space="preserve">Urine output is the primary real-time indicator of fluid balance adequacy:</w:t>
      </w:r>
    </w:p>
    <w:p>
      <w:pPr>
        <w:pStyle w:val="ListParagraph"/>
        <w:numPr>
          <w:ilvl w:val="0"/>
          <w:numId w:val="2"/>
        </w:numPr>
        <w:spacing w:after="60" w:line="276"/>
      </w:pPr>
      <w:r>
        <w:rPr>
          <w:rFonts w:ascii="Arial" w:cs="Arial" w:eastAsia="Arial" w:hAnsi="Arial"/>
          <w:b/>
          <w:bCs/>
          <w:sz w:val="22"/>
          <w:szCs w:val="22"/>
        </w:rPr>
        <w:t xml:space="preserve">Expected UOP DOL 0: </w:t>
      </w:r>
      <w:r>
        <w:rPr>
          <w:rFonts w:ascii="Arial" w:cs="Arial" w:eastAsia="Arial" w:hAnsi="Arial"/>
          <w:sz w:val="22"/>
          <w:szCs w:val="22"/>
        </w:rPr>
        <w:t xml:space="preserve">May be anuric or oliguric for the first 12–24 hours (especially in ELBW infants). The calculator should not alarm for low UOP in the first 12–24 hours unless other concerning signs are present.</w:t>
      </w:r>
    </w:p>
    <w:p>
      <w:pPr>
        <w:pStyle w:val="ListParagraph"/>
        <w:numPr>
          <w:ilvl w:val="0"/>
          <w:numId w:val="2"/>
        </w:numPr>
        <w:spacing w:after="60" w:line="276"/>
      </w:pPr>
      <w:r>
        <w:rPr>
          <w:rFonts w:ascii="Arial" w:cs="Arial" w:eastAsia="Arial" w:hAnsi="Arial"/>
          <w:b/>
          <w:bCs/>
          <w:sz w:val="22"/>
          <w:szCs w:val="22"/>
        </w:rPr>
        <w:t xml:space="preserve">Expected UOP DOL 1–7: </w:t>
      </w:r>
      <w:r>
        <w:rPr>
          <w:rFonts w:ascii="Arial" w:cs="Arial" w:eastAsia="Arial" w:hAnsi="Arial"/>
          <w:sz w:val="22"/>
          <w:szCs w:val="22"/>
        </w:rPr>
        <w:t xml:space="preserve">1–4 mL/kg/hr. Target range 2–3 mL/kg/hr for most infants.</w:t>
      </w:r>
    </w:p>
    <w:p>
      <w:pPr>
        <w:pStyle w:val="ListParagraph"/>
        <w:numPr>
          <w:ilvl w:val="0"/>
          <w:numId w:val="2"/>
        </w:numPr>
        <w:spacing w:after="60" w:line="276"/>
      </w:pPr>
      <w:r>
        <w:rPr>
          <w:rFonts w:ascii="Arial" w:cs="Arial" w:eastAsia="Arial" w:hAnsi="Arial"/>
          <w:b/>
          <w:bCs/>
          <w:sz w:val="22"/>
          <w:szCs w:val="22"/>
        </w:rPr>
        <w:t xml:space="preserve">Oliguria Alert: </w:t>
      </w:r>
      <w:r>
        <w:rPr>
          <w:rFonts w:ascii="Arial" w:cs="Arial" w:eastAsia="Arial" w:hAnsi="Arial"/>
          <w:sz w:val="22"/>
          <w:szCs w:val="22"/>
        </w:rPr>
        <w:t xml:space="preserve">&lt;1 mL/kg/hr for &gt;6–8 consecutive hours after DOL 0.</w:t>
      </w:r>
    </w:p>
    <w:p>
      <w:pPr>
        <w:pStyle w:val="ListParagraph"/>
        <w:numPr>
          <w:ilvl w:val="0"/>
          <w:numId w:val="2"/>
        </w:numPr>
        <w:spacing w:after="60" w:line="276"/>
      </w:pPr>
      <w:r>
        <w:rPr>
          <w:rFonts w:ascii="Arial" w:cs="Arial" w:eastAsia="Arial" w:hAnsi="Arial"/>
          <w:b/>
          <w:bCs/>
          <w:sz w:val="22"/>
          <w:szCs w:val="22"/>
        </w:rPr>
        <w:t xml:space="preserve">Polyuria Alert: </w:t>
      </w:r>
      <w:r>
        <w:rPr>
          <w:rFonts w:ascii="Arial" w:cs="Arial" w:eastAsia="Arial" w:hAnsi="Arial"/>
          <w:sz w:val="22"/>
          <w:szCs w:val="22"/>
        </w:rPr>
        <w:t xml:space="preserve">&gt;5 mL/kg/hr (may indicate osmotic diuresis from hyperglycemia, post-obstructive diuresis, post-AKI recovery, or diuretic effect).</w:t>
      </w:r>
    </w:p>
    <w:p>
      <w:pPr>
        <w:spacing w:after="80"/>
      </w:pPr>
    </w:p>
    <w:p>
      <w:pPr>
        <w:pStyle w:val="Heading2"/>
      </w:pPr>
      <w:r>
        <w:t xml:space="preserve">8.2 Weight Change</w:t>
      </w:r>
    </w:p>
    <w:p>
      <w:pPr>
        <w:spacing w:after="120" w:line="276"/>
      </w:pPr>
      <w:r>
        <w:rPr>
          <w:rFonts w:ascii="Arial" w:cs="Arial" w:eastAsia="Arial" w:hAnsi="Arial"/>
          <w:sz w:val="22"/>
          <w:szCs w:val="22"/>
        </w:rPr>
        <w:t xml:space="preserve">Daily (or more frequent) weight measurement is essential for tracking fluid balance:</w:t>
      </w:r>
    </w:p>
    <w:p>
      <w:pPr>
        <w:pStyle w:val="ListParagraph"/>
        <w:numPr>
          <w:ilvl w:val="0"/>
          <w:numId w:val="2"/>
        </w:numPr>
        <w:spacing w:after="60" w:line="276"/>
      </w:pPr>
      <w:r>
        <w:rPr>
          <w:rFonts w:ascii="Arial" w:cs="Arial" w:eastAsia="Arial" w:hAnsi="Arial"/>
          <w:b/>
          <w:bCs/>
          <w:sz w:val="22"/>
          <w:szCs w:val="22"/>
        </w:rPr>
        <w:t xml:space="preserve">Excessive Weight Loss: </w:t>
      </w:r>
      <w:r>
        <w:rPr>
          <w:rFonts w:ascii="Arial" w:cs="Arial" w:eastAsia="Arial" w:hAnsi="Arial"/>
          <w:sz w:val="22"/>
          <w:szCs w:val="22"/>
        </w:rPr>
        <w:t xml:space="preserve">Weight loss exceeding expected range for GA (see Section 2.2) should prompt increase in TFI and investigation for excessive IWL (check humidity, thermal environment).</w:t>
      </w:r>
    </w:p>
    <w:p>
      <w:pPr>
        <w:pStyle w:val="ListParagraph"/>
        <w:numPr>
          <w:ilvl w:val="0"/>
          <w:numId w:val="2"/>
        </w:numPr>
        <w:spacing w:after="60" w:line="276"/>
      </w:pPr>
      <w:r>
        <w:rPr>
          <w:rFonts w:ascii="Arial" w:cs="Arial" w:eastAsia="Arial" w:hAnsi="Arial"/>
          <w:b/>
          <w:bCs/>
          <w:sz w:val="22"/>
          <w:szCs w:val="22"/>
        </w:rPr>
        <w:t xml:space="preserve">Insufficient Weight Loss: </w:t>
      </w:r>
      <w:r>
        <w:rPr>
          <w:rFonts w:ascii="Arial" w:cs="Arial" w:eastAsia="Arial" w:hAnsi="Arial"/>
          <w:sz w:val="22"/>
          <w:szCs w:val="22"/>
        </w:rPr>
        <w:t xml:space="preserve">Less than expected weight loss, or weight gain in the first 48–72 hours, suggests fluid overload. Consider fluid restriction and check for PDA, AKI, SIADH.</w:t>
      </w:r>
    </w:p>
    <w:p>
      <w:pPr>
        <w:pStyle w:val="ListParagraph"/>
        <w:numPr>
          <w:ilvl w:val="0"/>
          <w:numId w:val="2"/>
        </w:numPr>
        <w:spacing w:after="60" w:line="276"/>
      </w:pPr>
      <w:r>
        <w:rPr>
          <w:rFonts w:ascii="Arial" w:cs="Arial" w:eastAsia="Arial" w:hAnsi="Arial"/>
          <w:b/>
          <w:bCs/>
          <w:sz w:val="22"/>
          <w:szCs w:val="22"/>
        </w:rPr>
        <w:t xml:space="preserve">Weight Frequency: </w:t>
      </w:r>
      <w:r>
        <w:rPr>
          <w:rFonts w:ascii="Arial" w:cs="Arial" w:eastAsia="Arial" w:hAnsi="Arial"/>
          <w:sz w:val="22"/>
          <w:szCs w:val="22"/>
        </w:rPr>
        <w:t xml:space="preserve">q12–24h for stable infants; q6–12h for ELBW infants &lt;72 hours old or infants with significant fluid balance concerns.</w:t>
      </w:r>
    </w:p>
    <w:p>
      <w:pPr>
        <w:spacing w:after="80"/>
      </w:pPr>
    </w:p>
    <w:p>
      <w:pPr>
        <w:pStyle w:val="Heading2"/>
      </w:pPr>
      <w:r>
        <w:t xml:space="preserve">8.3 Serum Electrolytes</w:t>
      </w:r>
    </w:p>
    <w:p>
      <w:pPr>
        <w:spacing w:after="120" w:line="276"/>
      </w:pPr>
      <w:r>
        <w:rPr>
          <w:rFonts w:ascii="Arial" w:cs="Arial" w:eastAsia="Arial" w:hAnsi="Arial"/>
          <w:sz w:val="22"/>
          <w:szCs w:val="22"/>
        </w:rPr>
        <w:t xml:space="preserve">The calculator should recommend and track electrolyte monitoring frequency based on GA, DOL, and clinical stability: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Patient Category</w:t>
            </w:r>
          </w:p>
        </w:tc>
        <w:tc>
          <w:tcPr>
            <w:tcW w:type="dxa" w:w="234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0–1</w:t>
            </w:r>
          </w:p>
        </w:tc>
        <w:tc>
          <w:tcPr>
            <w:tcW w:type="dxa" w:w="234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2–4</w:t>
            </w:r>
          </w:p>
        </w:tc>
        <w:tc>
          <w:tcPr>
            <w:tcW w:type="dxa" w:w="234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5–7</w:t>
            </w:r>
          </w:p>
        </w:tc>
      </w:tr>
      <w:tr>
        <w:tc>
          <w:tcPr>
            <w:tcW w:type="dxa" w:w="234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bCs/>
                <w:sz w:val="18"/>
                <w:szCs w:val="18"/>
              </w:rPr>
              <w:t xml:space="preserve">ELBW (&lt;1000 g)</w:t>
            </w:r>
          </w:p>
        </w:tc>
        <w:tc>
          <w:tcPr>
            <w:tcW w:type="dxa" w:w="234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q6–8h BMP + iCa</w:t>
            </w:r>
          </w:p>
        </w:tc>
        <w:tc>
          <w:tcPr>
            <w:tcW w:type="dxa" w:w="234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q8–12h BMP + iCa</w:t>
            </w:r>
          </w:p>
        </w:tc>
        <w:tc>
          <w:tcPr>
            <w:tcW w:type="dxa" w:w="234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q12–24h BMP</w:t>
            </w:r>
          </w:p>
        </w:tc>
      </w:tr>
      <w:tr>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VLBW (1000–1500 g)</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q8–12h BMP + iCa</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q12–24h BMP</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q24h BMP</w:t>
            </w:r>
          </w:p>
        </w:tc>
      </w:tr>
      <w:tr>
        <w:tc>
          <w:tcPr>
            <w:tcW w:type="dxa" w:w="234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bCs/>
                <w:sz w:val="18"/>
                <w:szCs w:val="18"/>
              </w:rPr>
              <w:t xml:space="preserve">Preterm (1500–2500 g)</w:t>
            </w:r>
          </w:p>
        </w:tc>
        <w:tc>
          <w:tcPr>
            <w:tcW w:type="dxa" w:w="234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q12–24h BMP</w:t>
            </w:r>
          </w:p>
        </w:tc>
        <w:tc>
          <w:tcPr>
            <w:tcW w:type="dxa" w:w="234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q24h BMP</w:t>
            </w:r>
          </w:p>
        </w:tc>
        <w:tc>
          <w:tcPr>
            <w:tcW w:type="dxa" w:w="234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q24–48h or PRN</w:t>
            </w:r>
          </w:p>
        </w:tc>
      </w:tr>
      <w:tr>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Term (on IVF)</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q12–24h glucose; BMP if indicated</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q24h BMP if prolonged IVF</w:t>
            </w:r>
          </w:p>
        </w:tc>
        <w:tc>
          <w:tcPr>
            <w:tcW w:type="dxa" w:w="234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PRN</w:t>
            </w:r>
          </w:p>
        </w:tc>
      </w:tr>
      <w:tr>
        <w:tc>
          <w:tcPr>
            <w:tcW w:type="dxa" w:w="234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bCs/>
                <w:sz w:val="18"/>
                <w:szCs w:val="18"/>
              </w:rPr>
              <w:t xml:space="preserve">HIE/Cooling</w:t>
            </w:r>
          </w:p>
        </w:tc>
        <w:tc>
          <w:tcPr>
            <w:tcW w:type="dxa" w:w="234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q6–8h BMP + iCa + Mg</w:t>
            </w:r>
          </w:p>
        </w:tc>
        <w:tc>
          <w:tcPr>
            <w:tcW w:type="dxa" w:w="234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q6–8h BMP + iCa + Mg</w:t>
            </w:r>
          </w:p>
        </w:tc>
        <w:tc>
          <w:tcPr>
            <w:tcW w:type="dxa" w:w="234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q8–12h BMP</w:t>
            </w:r>
          </w:p>
        </w:tc>
      </w:tr>
    </w:tbl>
    <w:p>
      <w:pPr>
        <w:spacing w:after="80"/>
      </w:pPr>
    </w:p>
    <w:p>
      <w:pPr>
        <w:pStyle w:val="Heading2"/>
      </w:pPr>
      <w:r>
        <w:t xml:space="preserve">8.4 Serum Osmolality and Specific Gravity</w:t>
      </w:r>
    </w:p>
    <w:p>
      <w:pPr>
        <w:spacing w:after="120" w:line="276"/>
      </w:pPr>
      <w:r>
        <w:rPr>
          <w:rFonts w:ascii="Arial" w:cs="Arial" w:eastAsia="Arial" w:hAnsi="Arial"/>
          <w:sz w:val="22"/>
          <w:szCs w:val="22"/>
        </w:rPr>
        <w:t xml:space="preserve">These parameters provide additional fluid balance information:</w:t>
      </w:r>
    </w:p>
    <w:p>
      <w:pPr>
        <w:pStyle w:val="ListParagraph"/>
        <w:numPr>
          <w:ilvl w:val="0"/>
          <w:numId w:val="2"/>
        </w:numPr>
        <w:spacing w:after="60" w:line="276"/>
      </w:pPr>
      <w:r>
        <w:rPr>
          <w:rFonts w:ascii="Arial" w:cs="Arial" w:eastAsia="Arial" w:hAnsi="Arial"/>
          <w:b/>
          <w:bCs/>
          <w:sz w:val="22"/>
          <w:szCs w:val="22"/>
        </w:rPr>
        <w:t xml:space="preserve">Serum Osmolality: </w:t>
      </w:r>
      <w:r>
        <w:rPr>
          <w:rFonts w:ascii="Arial" w:cs="Arial" w:eastAsia="Arial" w:hAnsi="Arial"/>
          <w:sz w:val="22"/>
          <w:szCs w:val="22"/>
        </w:rPr>
        <w:t xml:space="preserve">Normal 275–295 mOsm/kg. &gt;300 suggests dehydration; &lt;270 suggests overhydration or SIADH.</w:t>
      </w:r>
    </w:p>
    <w:p>
      <w:pPr>
        <w:pStyle w:val="ListParagraph"/>
        <w:numPr>
          <w:ilvl w:val="0"/>
          <w:numId w:val="2"/>
        </w:numPr>
        <w:spacing w:after="60" w:line="276"/>
      </w:pPr>
      <w:r>
        <w:rPr>
          <w:rFonts w:ascii="Arial" w:cs="Arial" w:eastAsia="Arial" w:hAnsi="Arial"/>
          <w:b/>
          <w:bCs/>
          <w:sz w:val="22"/>
          <w:szCs w:val="22"/>
        </w:rPr>
        <w:t xml:space="preserve">Urine Specific Gravity: </w:t>
      </w:r>
      <w:r>
        <w:rPr>
          <w:rFonts w:ascii="Arial" w:cs="Arial" w:eastAsia="Arial" w:hAnsi="Arial"/>
          <w:sz w:val="22"/>
          <w:szCs w:val="22"/>
        </w:rPr>
        <w:t xml:space="preserve">1.005–1.015 is the target range. &lt;1.005 suggests dilute urine (adequate or excess hydration); &gt;1.015 suggests concentrated urine (dehydration or limited renal concentrating exposure).</w:t>
      </w:r>
    </w:p>
    <w:p>
      <w:pPr>
        <w:pStyle w:val="ListParagraph"/>
        <w:numPr>
          <w:ilvl w:val="0"/>
          <w:numId w:val="2"/>
        </w:numPr>
        <w:spacing w:after="60" w:line="276"/>
      </w:pPr>
      <w:r>
        <w:rPr>
          <w:rFonts w:ascii="Arial" w:cs="Arial" w:eastAsia="Arial" w:hAnsi="Arial"/>
          <w:b/>
          <w:bCs/>
          <w:sz w:val="22"/>
          <w:szCs w:val="22"/>
        </w:rPr>
        <w:t xml:space="preserve">Urine Osmolality: </w:t>
      </w:r>
      <w:r>
        <w:rPr>
          <w:rFonts w:ascii="Arial" w:cs="Arial" w:eastAsia="Arial" w:hAnsi="Arial"/>
          <w:sz w:val="22"/>
          <w:szCs w:val="22"/>
        </w:rPr>
        <w:t xml:space="preserve">Neonatal kidneys have limited concentrating ability (max ~600–800 mOsm/kg in term; ~400–600 in preterm).</w:t>
      </w:r>
    </w:p>
    <w:p>
      <w:r>
        <w:br w:type="page"/>
      </w:r>
    </w:p>
    <w:p>
      <w:pPr>
        <w:pStyle w:val="Heading1"/>
      </w:pPr>
      <w:r>
        <w:t xml:space="preserve">9. Calculator Output Variables</w:t>
      </w:r>
    </w:p>
    <w:p>
      <w:pPr>
        <w:spacing w:after="80"/>
      </w:pPr>
    </w:p>
    <w:p>
      <w:pPr>
        <w:spacing w:after="120" w:line="276"/>
      </w:pPr>
      <w:r>
        <w:rPr>
          <w:rFonts w:ascii="Arial" w:cs="Arial" w:eastAsia="Arial" w:hAnsi="Arial"/>
          <w:sz w:val="22"/>
          <w:szCs w:val="22"/>
        </w:rPr>
        <w:t xml:space="preserve">The IVF calculator must generate a comprehensive set of output variables that constitute the complete fluid prescription and associated monitoring plan. Each output should be clearly labeled and include units.</w:t>
      </w:r>
    </w:p>
    <w:p>
      <w:pPr>
        <w:spacing w:after="80"/>
      </w:pPr>
    </w:p>
    <w:p>
      <w:pPr>
        <w:pStyle w:val="Heading2"/>
      </w:pPr>
      <w:r>
        <w:t xml:space="preserve">9.1 Primary Outputs</w:t>
      </w:r>
    </w:p>
    <w:p>
      <w:pPr>
        <w:pStyle w:val="ListParagraph"/>
        <w:numPr>
          <w:ilvl w:val="0"/>
          <w:numId w:val="2"/>
        </w:numPr>
        <w:spacing w:after="60" w:line="276"/>
      </w:pPr>
      <w:r>
        <w:rPr>
          <w:rFonts w:ascii="Arial" w:cs="Arial" w:eastAsia="Arial" w:hAnsi="Arial"/>
          <w:b/>
          <w:bCs/>
          <w:sz w:val="22"/>
          <w:szCs w:val="22"/>
        </w:rPr>
        <w:t xml:space="preserve">Total Fluid Intake (TFI): </w:t>
      </w:r>
      <w:r>
        <w:rPr>
          <w:rFonts w:ascii="Arial" w:cs="Arial" w:eastAsia="Arial" w:hAnsi="Arial"/>
          <w:sz w:val="22"/>
          <w:szCs w:val="22"/>
        </w:rPr>
        <w:t xml:space="preserve">mL/kg/day and mL/day (absolute volume).</w:t>
      </w:r>
    </w:p>
    <w:p>
      <w:pPr>
        <w:pStyle w:val="ListParagraph"/>
        <w:numPr>
          <w:ilvl w:val="0"/>
          <w:numId w:val="2"/>
        </w:numPr>
        <w:spacing w:after="60" w:line="276"/>
      </w:pPr>
      <w:r>
        <w:rPr>
          <w:rFonts w:ascii="Arial" w:cs="Arial" w:eastAsia="Arial" w:hAnsi="Arial"/>
          <w:b/>
          <w:bCs/>
          <w:sz w:val="22"/>
          <w:szCs w:val="22"/>
        </w:rPr>
        <w:t xml:space="preserve">IV Fluid Rate: </w:t>
      </w:r>
      <w:r>
        <w:rPr>
          <w:rFonts w:ascii="Arial" w:cs="Arial" w:eastAsia="Arial" w:hAnsi="Arial"/>
          <w:sz w:val="22"/>
          <w:szCs w:val="22"/>
        </w:rPr>
        <w:t xml:space="preserve">mL/hr (for pump programming). TFI minus enteral intake, divided by 24.</w:t>
      </w:r>
    </w:p>
    <w:p>
      <w:pPr>
        <w:pStyle w:val="ListParagraph"/>
        <w:numPr>
          <w:ilvl w:val="0"/>
          <w:numId w:val="2"/>
        </w:numPr>
        <w:spacing w:after="60" w:line="276"/>
      </w:pPr>
      <w:r>
        <w:rPr>
          <w:rFonts w:ascii="Arial" w:cs="Arial" w:eastAsia="Arial" w:hAnsi="Arial"/>
          <w:b/>
          <w:bCs/>
          <w:sz w:val="22"/>
          <w:szCs w:val="22"/>
        </w:rPr>
        <w:t xml:space="preserve">Dextrose Concentration: </w:t>
      </w:r>
      <w:r>
        <w:rPr>
          <w:rFonts w:ascii="Arial" w:cs="Arial" w:eastAsia="Arial" w:hAnsi="Arial"/>
          <w:sz w:val="22"/>
          <w:szCs w:val="22"/>
        </w:rPr>
        <w:t xml:space="preserve">% dextrose in the IV fluid.</w:t>
      </w:r>
    </w:p>
    <w:p>
      <w:pPr>
        <w:pStyle w:val="ListParagraph"/>
        <w:numPr>
          <w:ilvl w:val="0"/>
          <w:numId w:val="2"/>
        </w:numPr>
        <w:spacing w:after="60" w:line="276"/>
      </w:pPr>
      <w:r>
        <w:rPr>
          <w:rFonts w:ascii="Arial" w:cs="Arial" w:eastAsia="Arial" w:hAnsi="Arial"/>
          <w:b/>
          <w:bCs/>
          <w:sz w:val="22"/>
          <w:szCs w:val="22"/>
        </w:rPr>
        <w:t xml:space="preserve">Glucose Infusion Rate (GIR): </w:t>
      </w:r>
      <w:r>
        <w:rPr>
          <w:rFonts w:ascii="Arial" w:cs="Arial" w:eastAsia="Arial" w:hAnsi="Arial"/>
          <w:sz w:val="22"/>
          <w:szCs w:val="22"/>
        </w:rPr>
        <w:t xml:space="preserve">mg/kg/min from all glucose sources.</w:t>
      </w:r>
    </w:p>
    <w:p>
      <w:pPr>
        <w:pStyle w:val="ListParagraph"/>
        <w:numPr>
          <w:ilvl w:val="0"/>
          <w:numId w:val="2"/>
        </w:numPr>
        <w:spacing w:after="60" w:line="276"/>
      </w:pPr>
      <w:r>
        <w:rPr>
          <w:rFonts w:ascii="Arial" w:cs="Arial" w:eastAsia="Arial" w:hAnsi="Arial"/>
          <w:b/>
          <w:bCs/>
          <w:sz w:val="22"/>
          <w:szCs w:val="22"/>
        </w:rPr>
        <w:t xml:space="preserve">Sodium Delivery: </w:t>
      </w:r>
      <w:r>
        <w:rPr>
          <w:rFonts w:ascii="Arial" w:cs="Arial" w:eastAsia="Arial" w:hAnsi="Arial"/>
          <w:sz w:val="22"/>
          <w:szCs w:val="22"/>
        </w:rPr>
        <w:t xml:space="preserve">mEq/kg/day and mEq/L of the IV solution.</w:t>
      </w:r>
    </w:p>
    <w:p>
      <w:pPr>
        <w:pStyle w:val="ListParagraph"/>
        <w:numPr>
          <w:ilvl w:val="0"/>
          <w:numId w:val="2"/>
        </w:numPr>
        <w:spacing w:after="60" w:line="276"/>
      </w:pPr>
      <w:r>
        <w:rPr>
          <w:rFonts w:ascii="Arial" w:cs="Arial" w:eastAsia="Arial" w:hAnsi="Arial"/>
          <w:b/>
          <w:bCs/>
          <w:sz w:val="22"/>
          <w:szCs w:val="22"/>
        </w:rPr>
        <w:t xml:space="preserve">Potassium Delivery: </w:t>
      </w:r>
      <w:r>
        <w:rPr>
          <w:rFonts w:ascii="Arial" w:cs="Arial" w:eastAsia="Arial" w:hAnsi="Arial"/>
          <w:sz w:val="22"/>
          <w:szCs w:val="22"/>
        </w:rPr>
        <w:t xml:space="preserve">mEq/kg/day and mEq/L of the IV solution.</w:t>
      </w:r>
    </w:p>
    <w:p>
      <w:pPr>
        <w:pStyle w:val="ListParagraph"/>
        <w:numPr>
          <w:ilvl w:val="0"/>
          <w:numId w:val="2"/>
        </w:numPr>
        <w:spacing w:after="60" w:line="276"/>
      </w:pPr>
      <w:r>
        <w:rPr>
          <w:rFonts w:ascii="Arial" w:cs="Arial" w:eastAsia="Arial" w:hAnsi="Arial"/>
          <w:b/>
          <w:bCs/>
          <w:sz w:val="22"/>
          <w:szCs w:val="22"/>
        </w:rPr>
        <w:t xml:space="preserve">Calcium Delivery: </w:t>
      </w:r>
      <w:r>
        <w:rPr>
          <w:rFonts w:ascii="Arial" w:cs="Arial" w:eastAsia="Arial" w:hAnsi="Arial"/>
          <w:sz w:val="22"/>
          <w:szCs w:val="22"/>
        </w:rPr>
        <w:t xml:space="preserve">mg/kg/day of calcium gluconate and elemental calcium.</w:t>
      </w:r>
    </w:p>
    <w:p>
      <w:pPr>
        <w:spacing w:after="80"/>
      </w:pPr>
    </w:p>
    <w:p>
      <w:pPr>
        <w:pStyle w:val="Heading2"/>
      </w:pPr>
      <w:r>
        <w:t xml:space="preserve">9.2 Derived/Calculated Outputs</w:t>
      </w:r>
    </w:p>
    <w:p>
      <w:pPr>
        <w:pStyle w:val="ListParagraph"/>
        <w:numPr>
          <w:ilvl w:val="0"/>
          <w:numId w:val="2"/>
        </w:numPr>
        <w:spacing w:after="60" w:line="276"/>
      </w:pPr>
      <w:r>
        <w:rPr>
          <w:rFonts w:ascii="Arial" w:cs="Arial" w:eastAsia="Arial" w:hAnsi="Arial"/>
          <w:b/>
          <w:bCs/>
          <w:sz w:val="22"/>
          <w:szCs w:val="22"/>
        </w:rPr>
        <w:t xml:space="preserve">Percent Weight Change: </w:t>
      </w:r>
      <w:r>
        <w:rPr>
          <w:rFonts w:ascii="Arial" w:cs="Arial" w:eastAsia="Arial" w:hAnsi="Arial"/>
          <w:sz w:val="22"/>
          <w:szCs w:val="22"/>
        </w:rPr>
        <w:t xml:space="preserve">[(Current Weight – Birth Weight) / Birth Weight] × 100, with expected range displayed.</w:t>
      </w:r>
    </w:p>
    <w:p>
      <w:pPr>
        <w:pStyle w:val="ListParagraph"/>
        <w:numPr>
          <w:ilvl w:val="0"/>
          <w:numId w:val="2"/>
        </w:numPr>
        <w:spacing w:after="60" w:line="276"/>
      </w:pPr>
      <w:r>
        <w:rPr>
          <w:rFonts w:ascii="Arial" w:cs="Arial" w:eastAsia="Arial" w:hAnsi="Arial"/>
          <w:b/>
          <w:bCs/>
          <w:sz w:val="22"/>
          <w:szCs w:val="22"/>
        </w:rPr>
        <w:t xml:space="preserve">Fluid Balance (Input – Output): </w:t>
      </w:r>
      <w:r>
        <w:rPr>
          <w:rFonts w:ascii="Arial" w:cs="Arial" w:eastAsia="Arial" w:hAnsi="Arial"/>
          <w:sz w:val="22"/>
          <w:szCs w:val="22"/>
        </w:rPr>
        <w:t xml:space="preserve">Calculated per shift (8h or 12h) and per 24h. Includes all inputs (IVF, TPN, boluses, medications, enteral) and all outputs (UOP, stool, emesis, OG output, surgical drains).</w:t>
      </w:r>
    </w:p>
    <w:p>
      <w:pPr>
        <w:pStyle w:val="ListParagraph"/>
        <w:numPr>
          <w:ilvl w:val="0"/>
          <w:numId w:val="2"/>
        </w:numPr>
        <w:spacing w:after="60" w:line="276"/>
      </w:pPr>
      <w:r>
        <w:rPr>
          <w:rFonts w:ascii="Arial" w:cs="Arial" w:eastAsia="Arial" w:hAnsi="Arial"/>
          <w:b/>
          <w:bCs/>
          <w:sz w:val="22"/>
          <w:szCs w:val="22"/>
        </w:rPr>
        <w:t xml:space="preserve">Free Water Clearance: </w:t>
      </w:r>
      <w:r>
        <w:rPr>
          <w:rFonts w:ascii="Arial" w:cs="Arial" w:eastAsia="Arial" w:hAnsi="Arial"/>
          <w:sz w:val="22"/>
          <w:szCs w:val="22"/>
        </w:rPr>
        <w:t xml:space="preserve">For evaluation of renal handling of free water.</w:t>
      </w:r>
    </w:p>
    <w:p>
      <w:pPr>
        <w:pStyle w:val="ListParagraph"/>
        <w:numPr>
          <w:ilvl w:val="0"/>
          <w:numId w:val="2"/>
        </w:numPr>
        <w:spacing w:after="60" w:line="276"/>
      </w:pPr>
      <w:r>
        <w:rPr>
          <w:rFonts w:ascii="Arial" w:cs="Arial" w:eastAsia="Arial" w:hAnsi="Arial"/>
          <w:b/>
          <w:bCs/>
          <w:sz w:val="22"/>
          <w:szCs w:val="22"/>
        </w:rPr>
        <w:t xml:space="preserve">Corrected Gestational Age: </w:t>
      </w:r>
      <w:r>
        <w:rPr>
          <w:rFonts w:ascii="Arial" w:cs="Arial" w:eastAsia="Arial" w:hAnsi="Arial"/>
          <w:sz w:val="22"/>
          <w:szCs w:val="22"/>
        </w:rPr>
        <w:t xml:space="preserve">GA at birth + postnatal age.</w:t>
      </w:r>
    </w:p>
    <w:p>
      <w:pPr>
        <w:pStyle w:val="ListParagraph"/>
        <w:numPr>
          <w:ilvl w:val="0"/>
          <w:numId w:val="2"/>
        </w:numPr>
        <w:spacing w:after="60" w:line="276"/>
      </w:pPr>
      <w:r>
        <w:rPr>
          <w:rFonts w:ascii="Arial" w:cs="Arial" w:eastAsia="Arial" w:hAnsi="Arial"/>
          <w:b/>
          <w:bCs/>
          <w:sz w:val="22"/>
          <w:szCs w:val="22"/>
        </w:rPr>
        <w:t xml:space="preserve">TFI from All Sources Breakdown: </w:t>
      </w:r>
      <w:r>
        <w:rPr>
          <w:rFonts w:ascii="Arial" w:cs="Arial" w:eastAsia="Arial" w:hAnsi="Arial"/>
          <w:sz w:val="22"/>
          <w:szCs w:val="22"/>
        </w:rPr>
        <w:t xml:space="preserve">Pie chart or stacked bar showing contribution from maintenance IVF, TPN, lipids, medication drips, enteral feeds, boluses.</w:t>
      </w:r>
    </w:p>
    <w:p>
      <w:pPr>
        <w:spacing w:after="80"/>
      </w:pPr>
    </w:p>
    <w:p>
      <w:pPr>
        <w:pStyle w:val="Heading2"/>
      </w:pPr>
      <w:r>
        <w:t xml:space="preserve">9.3 Alert Outputs</w:t>
      </w:r>
    </w:p>
    <w:p>
      <w:pPr>
        <w:spacing w:after="120" w:line="276"/>
      </w:pPr>
      <w:r>
        <w:rPr>
          <w:rFonts w:ascii="Arial" w:cs="Arial" w:eastAsia="Arial" w:hAnsi="Arial"/>
          <w:sz w:val="22"/>
          <w:szCs w:val="22"/>
        </w:rPr>
        <w:t xml:space="preserve">The calculator should generate the following alert categories:</w:t>
      </w:r>
    </w:p>
    <w:p>
      <w:pPr>
        <w:pStyle w:val="ListParagraph"/>
        <w:numPr>
          <w:ilvl w:val="0"/>
          <w:numId w:val="2"/>
        </w:numPr>
        <w:spacing w:after="60" w:line="276"/>
      </w:pPr>
      <w:r>
        <w:rPr>
          <w:rFonts w:ascii="Arial" w:cs="Arial" w:eastAsia="Arial" w:hAnsi="Arial"/>
          <w:b/>
          <w:bCs/>
          <w:sz w:val="22"/>
          <w:szCs w:val="22"/>
        </w:rPr>
        <w:t xml:space="preserve">Red Alerts (Immediate Action): </w:t>
      </w:r>
      <w:r>
        <w:rPr>
          <w:rFonts w:ascii="Arial" w:cs="Arial" w:eastAsia="Arial" w:hAnsi="Arial"/>
          <w:sz w:val="22"/>
          <w:szCs w:val="22"/>
        </w:rPr>
        <w:t xml:space="preserve">Serum Na &gt;155 or &lt;125, K &gt;6.5, glucose &gt;250 or &lt;25, UOP &lt;0.5 mL/kg/hr ×12h, weight loss &gt;5% in 24h, GIR &gt;14 mg/kg/min.</w:t>
      </w:r>
    </w:p>
    <w:p>
      <w:pPr>
        <w:pStyle w:val="ListParagraph"/>
        <w:numPr>
          <w:ilvl w:val="0"/>
          <w:numId w:val="2"/>
        </w:numPr>
        <w:spacing w:after="60" w:line="276"/>
      </w:pPr>
      <w:r>
        <w:rPr>
          <w:rFonts w:ascii="Arial" w:cs="Arial" w:eastAsia="Arial" w:hAnsi="Arial"/>
          <w:b/>
          <w:bCs/>
          <w:sz w:val="22"/>
          <w:szCs w:val="22"/>
        </w:rPr>
        <w:t xml:space="preserve">Yellow Alerts (Attention/Trending): </w:t>
      </w:r>
      <w:r>
        <w:rPr>
          <w:rFonts w:ascii="Arial" w:cs="Arial" w:eastAsia="Arial" w:hAnsi="Arial"/>
          <w:sz w:val="22"/>
          <w:szCs w:val="22"/>
        </w:rPr>
        <w:t xml:space="preserve">Serum Na 146–155 or 125–130, K 5.5–6.5 or &lt;3.0, glucose 180–250 or 25–40, UOP 0.5–1.0 mL/kg/hr, weight change outside expected range.</w:t>
      </w:r>
    </w:p>
    <w:p>
      <w:pPr>
        <w:pStyle w:val="ListParagraph"/>
        <w:numPr>
          <w:ilvl w:val="0"/>
          <w:numId w:val="2"/>
        </w:numPr>
        <w:spacing w:after="60" w:line="276"/>
      </w:pPr>
      <w:r>
        <w:rPr>
          <w:rFonts w:ascii="Arial" w:cs="Arial" w:eastAsia="Arial" w:hAnsi="Arial"/>
          <w:b/>
          <w:bCs/>
          <w:sz w:val="22"/>
          <w:szCs w:val="22"/>
        </w:rPr>
        <w:t xml:space="preserve">Green Alerts (Informational): </w:t>
      </w:r>
      <w:r>
        <w:rPr>
          <w:rFonts w:ascii="Arial" w:cs="Arial" w:eastAsia="Arial" w:hAnsi="Arial"/>
          <w:sz w:val="22"/>
          <w:szCs w:val="22"/>
        </w:rPr>
        <w:t xml:space="preserve">Labs due, weight measurement due, planned rate increase due, approaching transition to enteral feeds.</w:t>
      </w:r>
    </w:p>
    <w:p>
      <w:r>
        <w:br w:type="page"/>
      </w:r>
    </w:p>
    <w:p>
      <w:pPr>
        <w:pStyle w:val="Heading1"/>
      </w:pPr>
      <w:r>
        <w:t xml:space="preserve">10. Algorithm Logic and Decision Framework</w:t>
      </w:r>
    </w:p>
    <w:p>
      <w:pPr>
        <w:spacing w:after="80"/>
      </w:pPr>
    </w:p>
    <w:p>
      <w:pPr>
        <w:spacing w:after="120" w:line="276"/>
      </w:pPr>
      <w:r>
        <w:rPr>
          <w:rFonts w:ascii="Arial" w:cs="Arial" w:eastAsia="Arial" w:hAnsi="Arial"/>
          <w:sz w:val="22"/>
          <w:szCs w:val="22"/>
        </w:rPr>
        <w:t xml:space="preserve">The IVF calculator operates through a layered decision algorithm that processes inputs sequentially to generate the fluid prescription. The following pseudocode framework describes the core logic:</w:t>
      </w:r>
    </w:p>
    <w:p>
      <w:pPr>
        <w:spacing w:after="80"/>
      </w:pPr>
    </w:p>
    <w:p>
      <w:pPr>
        <w:pStyle w:val="Heading2"/>
      </w:pPr>
      <w:r>
        <w:t xml:space="preserve">10.1 Master Algorithm Flow</w:t>
      </w:r>
    </w:p>
    <w:p>
      <w:pPr>
        <w:spacing w:after="80"/>
      </w:pPr>
    </w:p>
    <w:p>
      <w:pPr>
        <w:pStyle w:val="ListParagraph"/>
        <w:numPr>
          <w:ilvl w:val="0"/>
          <w:numId w:val="3"/>
        </w:numPr>
        <w:spacing w:after="60" w:line="276"/>
      </w:pPr>
      <w:r>
        <w:rPr>
          <w:rFonts w:ascii="Arial" w:cs="Arial" w:eastAsia="Arial" w:hAnsi="Arial"/>
          <w:sz w:val="22"/>
          <w:szCs w:val="22"/>
        </w:rPr>
        <w:t xml:space="preserve">COLLECT INPUTS: GA (weeks+days), birth weight, current weight, sex, DOL, postnatal age (hours), thermal environment, respiratory support mode, clinical diagnoses/conditions.</w:t>
      </w:r>
    </w:p>
    <w:p>
      <w:pPr>
        <w:pStyle w:val="ListParagraph"/>
        <w:numPr>
          <w:ilvl w:val="0"/>
          <w:numId w:val="3"/>
        </w:numPr>
        <w:spacing w:after="60" w:line="276"/>
      </w:pPr>
      <w:r>
        <w:rPr>
          <w:rFonts w:ascii="Arial" w:cs="Arial" w:eastAsia="Arial" w:hAnsi="Arial"/>
          <w:sz w:val="22"/>
          <w:szCs w:val="22"/>
        </w:rPr>
        <w:t xml:space="preserve">DETERMINE GA CATEGORY: Map continuous GA to categorical bin (periviable, extremely preterm, very preterm, moderate preterm, late preterm, term).</w:t>
      </w:r>
    </w:p>
    <w:p>
      <w:pPr>
        <w:pStyle w:val="ListParagraph"/>
        <w:numPr>
          <w:ilvl w:val="0"/>
          <w:numId w:val="3"/>
        </w:numPr>
        <w:spacing w:after="60" w:line="276"/>
      </w:pPr>
      <w:r>
        <w:rPr>
          <w:rFonts w:ascii="Arial" w:cs="Arial" w:eastAsia="Arial" w:hAnsi="Arial"/>
          <w:sz w:val="22"/>
          <w:szCs w:val="22"/>
        </w:rPr>
        <w:t xml:space="preserve">LOOK UP BASELINE TFI: From GA-category × DOL matrix (Section 3 tables). Returns a range [TFI_min, TFI_max].</w:t>
      </w:r>
    </w:p>
    <w:p>
      <w:pPr>
        <w:pStyle w:val="ListParagraph"/>
        <w:numPr>
          <w:ilvl w:val="0"/>
          <w:numId w:val="3"/>
        </w:numPr>
        <w:spacing w:after="60" w:line="276"/>
      </w:pPr>
      <w:r>
        <w:rPr>
          <w:rFonts w:ascii="Arial" w:cs="Arial" w:eastAsia="Arial" w:hAnsi="Arial"/>
          <w:sz w:val="22"/>
          <w:szCs w:val="22"/>
        </w:rPr>
        <w:t xml:space="preserve">APPLY CLINICAL MODIFIERS: For each active modifier, apply additive or multiplicative adjustment to TFI range. Stack modifiers (e.g., radiant warmer + phototherapy + tachypnea).</w:t>
      </w:r>
    </w:p>
    <w:p>
      <w:pPr>
        <w:pStyle w:val="ListParagraph"/>
        <w:numPr>
          <w:ilvl w:val="0"/>
          <w:numId w:val="3"/>
        </w:numPr>
        <w:spacing w:after="60" w:line="276"/>
      </w:pPr>
      <w:r>
        <w:rPr>
          <w:rFonts w:ascii="Arial" w:cs="Arial" w:eastAsia="Arial" w:hAnsi="Arial"/>
          <w:sz w:val="22"/>
          <w:szCs w:val="22"/>
        </w:rPr>
        <w:t xml:space="preserve">APPLY RESTRICTION CAPS: If PDA, CDH, or clinician-specified restriction is active, cap TFI at restriction ceiling.</w:t>
      </w:r>
    </w:p>
    <w:p>
      <w:pPr>
        <w:pStyle w:val="ListParagraph"/>
        <w:numPr>
          <w:ilvl w:val="0"/>
          <w:numId w:val="3"/>
        </w:numPr>
        <w:spacing w:after="60" w:line="276"/>
      </w:pPr>
      <w:r>
        <w:rPr>
          <w:rFonts w:ascii="Arial" w:cs="Arial" w:eastAsia="Arial" w:hAnsi="Arial"/>
          <w:sz w:val="22"/>
          <w:szCs w:val="22"/>
        </w:rPr>
        <w:t xml:space="preserve">COMPUTE GIR: From selected dextrose concentration and adjusted TFI. If GIR outside target range, suggest dextrose concentration change.</w:t>
      </w:r>
    </w:p>
    <w:p>
      <w:pPr>
        <w:pStyle w:val="ListParagraph"/>
        <w:numPr>
          <w:ilvl w:val="0"/>
          <w:numId w:val="3"/>
        </w:numPr>
        <w:spacing w:after="60" w:line="276"/>
      </w:pPr>
      <w:r>
        <w:rPr>
          <w:rFonts w:ascii="Arial" w:cs="Arial" w:eastAsia="Arial" w:hAnsi="Arial"/>
          <w:sz w:val="22"/>
          <w:szCs w:val="22"/>
        </w:rPr>
        <w:t xml:space="preserve">COMPUTE ELECTROLYTES: Based on DOL, GA, and renal status, determine Na+, K+, Ca++ targets and compute concentrations needed in the IVF.</w:t>
      </w:r>
    </w:p>
    <w:p>
      <w:pPr>
        <w:pStyle w:val="ListParagraph"/>
        <w:numPr>
          <w:ilvl w:val="0"/>
          <w:numId w:val="3"/>
        </w:numPr>
        <w:spacing w:after="60" w:line="276"/>
      </w:pPr>
      <w:r>
        <w:rPr>
          <w:rFonts w:ascii="Arial" w:cs="Arial" w:eastAsia="Arial" w:hAnsi="Arial"/>
          <w:sz w:val="22"/>
          <w:szCs w:val="22"/>
        </w:rPr>
        <w:t xml:space="preserve">SUBTRACT ENTERAL INTAKE: If enteral feeds are active, subtract enteral volume from TFI to determine IV volume.</w:t>
      </w:r>
    </w:p>
    <w:p>
      <w:pPr>
        <w:pStyle w:val="ListParagraph"/>
        <w:numPr>
          <w:ilvl w:val="0"/>
          <w:numId w:val="3"/>
        </w:numPr>
        <w:spacing w:after="60" w:line="276"/>
      </w:pPr>
      <w:r>
        <w:rPr>
          <w:rFonts w:ascii="Arial" w:cs="Arial" w:eastAsia="Arial" w:hAnsi="Arial"/>
          <w:sz w:val="22"/>
          <w:szCs w:val="22"/>
        </w:rPr>
        <w:t xml:space="preserve">COMPUTE IV RATE: (TFI – Enteral) ÷ 24 = mL/hr for pump.</w:t>
      </w:r>
    </w:p>
    <w:p>
      <w:pPr>
        <w:pStyle w:val="ListParagraph"/>
        <w:numPr>
          <w:ilvl w:val="0"/>
          <w:numId w:val="3"/>
        </w:numPr>
        <w:spacing w:after="60" w:line="276"/>
      </w:pPr>
      <w:r>
        <w:rPr>
          <w:rFonts w:ascii="Arial" w:cs="Arial" w:eastAsia="Arial" w:hAnsi="Arial"/>
          <w:sz w:val="22"/>
          <w:szCs w:val="22"/>
        </w:rPr>
        <w:t xml:space="preserve">GENERATE MONITORING PLAN: Based on GA, DOL, and clinical status, recommend lab and weight monitoring schedule.</w:t>
      </w:r>
    </w:p>
    <w:p>
      <w:pPr>
        <w:pStyle w:val="ListParagraph"/>
        <w:numPr>
          <w:ilvl w:val="0"/>
          <w:numId w:val="3"/>
        </w:numPr>
        <w:spacing w:after="60" w:line="276"/>
      </w:pPr>
      <w:r>
        <w:rPr>
          <w:rFonts w:ascii="Arial" w:cs="Arial" w:eastAsia="Arial" w:hAnsi="Arial"/>
          <w:sz w:val="22"/>
          <w:szCs w:val="22"/>
        </w:rPr>
        <w:t xml:space="preserve">DISPLAY OUTPUTS: Present complete fluid prescription with alerts.</w:t>
      </w:r>
    </w:p>
    <w:p>
      <w:pPr>
        <w:spacing w:after="80"/>
      </w:pPr>
    </w:p>
    <w:p>
      <w:pPr>
        <w:pStyle w:val="Heading2"/>
      </w:pPr>
      <w:r>
        <w:t xml:space="preserve">10.2 Rate Progression Logic</w:t>
      </w:r>
    </w:p>
    <w:p>
      <w:pPr>
        <w:spacing w:after="120" w:line="276"/>
      </w:pPr>
      <w:r>
        <w:rPr>
          <w:rFonts w:ascii="Arial" w:cs="Arial" w:eastAsia="Arial" w:hAnsi="Arial"/>
          <w:sz w:val="22"/>
          <w:szCs w:val="22"/>
        </w:rPr>
        <w:t xml:space="preserve">The calculator should support both automatic and manual rate advancement:</w:t>
      </w:r>
    </w:p>
    <w:p>
      <w:pPr>
        <w:spacing w:after="80"/>
      </w:pPr>
    </w:p>
    <w:p>
      <w:pPr>
        <w:pStyle w:val="Heading3"/>
      </w:pPr>
      <w:r>
        <w:t xml:space="preserve">10.2.1 Automatic Advancement Criteria</w:t>
      </w:r>
    </w:p>
    <w:p>
      <w:pPr>
        <w:spacing w:after="120" w:line="276"/>
      </w:pPr>
      <w:r>
        <w:rPr>
          <w:rFonts w:ascii="Arial" w:cs="Arial" w:eastAsia="Arial" w:hAnsi="Arial"/>
          <w:sz w:val="22"/>
          <w:szCs w:val="22"/>
        </w:rPr>
        <w:t xml:space="preserve">Fluids may be advanced to the next DOL step if all of the following are met:</w:t>
      </w:r>
    </w:p>
    <w:p>
      <w:pPr>
        <w:pStyle w:val="ListParagraph"/>
        <w:numPr>
          <w:ilvl w:val="0"/>
          <w:numId w:val="2"/>
        </w:numPr>
        <w:spacing w:after="60" w:line="276"/>
      </w:pPr>
      <w:r>
        <w:rPr>
          <w:rFonts w:ascii="Arial" w:cs="Arial" w:eastAsia="Arial" w:hAnsi="Arial"/>
          <w:sz w:val="22"/>
          <w:szCs w:val="22"/>
        </w:rPr>
        <w:t xml:space="preserve">Urine output ≥1 mL/kg/hr in the preceding 6–12 hours.</w:t>
      </w:r>
    </w:p>
    <w:p>
      <w:pPr>
        <w:pStyle w:val="ListParagraph"/>
        <w:numPr>
          <w:ilvl w:val="0"/>
          <w:numId w:val="2"/>
        </w:numPr>
        <w:spacing w:after="60" w:line="276"/>
      </w:pPr>
      <w:r>
        <w:rPr>
          <w:rFonts w:ascii="Arial" w:cs="Arial" w:eastAsia="Arial" w:hAnsi="Arial"/>
          <w:sz w:val="22"/>
          <w:szCs w:val="22"/>
        </w:rPr>
        <w:t xml:space="preserve">Serum sodium 135–145 mEq/L.</w:t>
      </w:r>
    </w:p>
    <w:p>
      <w:pPr>
        <w:pStyle w:val="ListParagraph"/>
        <w:numPr>
          <w:ilvl w:val="0"/>
          <w:numId w:val="2"/>
        </w:numPr>
        <w:spacing w:after="60" w:line="276"/>
      </w:pPr>
      <w:r>
        <w:rPr>
          <w:rFonts w:ascii="Arial" w:cs="Arial" w:eastAsia="Arial" w:hAnsi="Arial"/>
          <w:sz w:val="22"/>
          <w:szCs w:val="22"/>
        </w:rPr>
        <w:t xml:space="preserve">Weight change within expected range for GA and DOL.</w:t>
      </w:r>
    </w:p>
    <w:p>
      <w:pPr>
        <w:pStyle w:val="ListParagraph"/>
        <w:numPr>
          <w:ilvl w:val="0"/>
          <w:numId w:val="2"/>
        </w:numPr>
        <w:spacing w:after="60" w:line="276"/>
      </w:pPr>
      <w:r>
        <w:rPr>
          <w:rFonts w:ascii="Arial" w:cs="Arial" w:eastAsia="Arial" w:hAnsi="Arial"/>
          <w:sz w:val="22"/>
          <w:szCs w:val="22"/>
        </w:rPr>
        <w:t xml:space="preserve">No active clinical contraindication (e.g., new PDA, NEC, AKI).</w:t>
      </w:r>
    </w:p>
    <w:p>
      <w:pPr>
        <w:pStyle w:val="ListParagraph"/>
        <w:numPr>
          <w:ilvl w:val="0"/>
          <w:numId w:val="2"/>
        </w:numPr>
        <w:spacing w:after="60" w:line="276"/>
      </w:pPr>
      <w:r>
        <w:rPr>
          <w:rFonts w:ascii="Arial" w:cs="Arial" w:eastAsia="Arial" w:hAnsi="Arial"/>
          <w:sz w:val="22"/>
          <w:szCs w:val="22"/>
        </w:rPr>
        <w:t xml:space="preserve">Blood glucose within target range (45–150 mg/dL).</w:t>
      </w:r>
    </w:p>
    <w:p>
      <w:pPr>
        <w:spacing w:after="80"/>
      </w:pPr>
    </w:p>
    <w:p>
      <w:pPr>
        <w:pStyle w:val="Heading3"/>
      </w:pPr>
      <w:r>
        <w:t xml:space="preserve">10.2.2 Rate Hold/Restriction Triggers</w:t>
      </w:r>
    </w:p>
    <w:p>
      <w:pPr>
        <w:spacing w:after="120" w:line="276"/>
      </w:pPr>
      <w:r>
        <w:rPr>
          <w:rFonts w:ascii="Arial" w:cs="Arial" w:eastAsia="Arial" w:hAnsi="Arial"/>
          <w:sz w:val="22"/>
          <w:szCs w:val="22"/>
        </w:rPr>
        <w:t xml:space="preserve">The calculator should hold rate advancement or recommend restriction if:</w:t>
      </w:r>
    </w:p>
    <w:p>
      <w:pPr>
        <w:pStyle w:val="ListParagraph"/>
        <w:numPr>
          <w:ilvl w:val="0"/>
          <w:numId w:val="2"/>
        </w:numPr>
        <w:spacing w:after="60" w:line="276"/>
      </w:pPr>
      <w:r>
        <w:rPr>
          <w:rFonts w:ascii="Arial" w:cs="Arial" w:eastAsia="Arial" w:hAnsi="Arial"/>
          <w:sz w:val="22"/>
          <w:szCs w:val="22"/>
        </w:rPr>
        <w:t xml:space="preserve">Weight gain or &lt;3% weight loss by DOL 3 in a preterm infant.</w:t>
      </w:r>
    </w:p>
    <w:p>
      <w:pPr>
        <w:pStyle w:val="ListParagraph"/>
        <w:numPr>
          <w:ilvl w:val="0"/>
          <w:numId w:val="2"/>
        </w:numPr>
        <w:spacing w:after="60" w:line="276"/>
      </w:pPr>
      <w:r>
        <w:rPr>
          <w:rFonts w:ascii="Arial" w:cs="Arial" w:eastAsia="Arial" w:hAnsi="Arial"/>
          <w:sz w:val="22"/>
          <w:szCs w:val="22"/>
        </w:rPr>
        <w:t xml:space="preserve">Serum Na &lt;130 mEq/L (free water excess).</w:t>
      </w:r>
    </w:p>
    <w:p>
      <w:pPr>
        <w:pStyle w:val="ListParagraph"/>
        <w:numPr>
          <w:ilvl w:val="0"/>
          <w:numId w:val="2"/>
        </w:numPr>
        <w:spacing w:after="60" w:line="276"/>
      </w:pPr>
      <w:r>
        <w:rPr>
          <w:rFonts w:ascii="Arial" w:cs="Arial" w:eastAsia="Arial" w:hAnsi="Arial"/>
          <w:sz w:val="22"/>
          <w:szCs w:val="22"/>
        </w:rPr>
        <w:t xml:space="preserve">New PDA diagnosis.</w:t>
      </w:r>
    </w:p>
    <w:p>
      <w:pPr>
        <w:pStyle w:val="ListParagraph"/>
        <w:numPr>
          <w:ilvl w:val="0"/>
          <w:numId w:val="2"/>
        </w:numPr>
        <w:spacing w:after="60" w:line="276"/>
      </w:pPr>
      <w:r>
        <w:rPr>
          <w:rFonts w:ascii="Arial" w:cs="Arial" w:eastAsia="Arial" w:hAnsi="Arial"/>
          <w:sz w:val="22"/>
          <w:szCs w:val="22"/>
        </w:rPr>
        <w:t xml:space="preserve">Evolving pulmonary edema or worsening respiratory status.</w:t>
      </w:r>
    </w:p>
    <w:p>
      <w:pPr>
        <w:pStyle w:val="ListParagraph"/>
        <w:numPr>
          <w:ilvl w:val="0"/>
          <w:numId w:val="2"/>
        </w:numPr>
        <w:spacing w:after="60" w:line="276"/>
      </w:pPr>
      <w:r>
        <w:rPr>
          <w:rFonts w:ascii="Arial" w:cs="Arial" w:eastAsia="Arial" w:hAnsi="Arial"/>
          <w:sz w:val="22"/>
          <w:szCs w:val="22"/>
        </w:rPr>
        <w:t xml:space="preserve">Oliguria with rising creatinine.</w:t>
      </w:r>
    </w:p>
    <w:p>
      <w:pPr>
        <w:spacing w:after="80"/>
      </w:pPr>
    </w:p>
    <w:p>
      <w:pPr>
        <w:pStyle w:val="Heading2"/>
      </w:pPr>
      <w:r>
        <w:t xml:space="preserve">10.3 Transition to Enteral Feeds</w:t>
      </w:r>
    </w:p>
    <w:p>
      <w:pPr>
        <w:spacing w:after="120" w:line="276"/>
      </w:pPr>
      <w:r>
        <w:rPr>
          <w:rFonts w:ascii="Arial" w:cs="Arial" w:eastAsia="Arial" w:hAnsi="Arial"/>
          <w:sz w:val="22"/>
          <w:szCs w:val="22"/>
        </w:rPr>
        <w:t xml:space="preserve">The calculator should support the transition from parenteral to enteral nutrition:</w:t>
      </w:r>
    </w:p>
    <w:p>
      <w:pPr>
        <w:pStyle w:val="ListParagraph"/>
        <w:numPr>
          <w:ilvl w:val="0"/>
          <w:numId w:val="2"/>
        </w:numPr>
        <w:spacing w:after="60" w:line="276"/>
      </w:pPr>
      <w:r>
        <w:rPr>
          <w:rFonts w:ascii="Arial" w:cs="Arial" w:eastAsia="Arial" w:hAnsi="Arial"/>
          <w:b/>
          <w:bCs/>
          <w:sz w:val="22"/>
          <w:szCs w:val="22"/>
        </w:rPr>
        <w:t xml:space="preserve">Trophic Feeds: </w:t>
      </w:r>
      <w:r>
        <w:rPr>
          <w:rFonts w:ascii="Arial" w:cs="Arial" w:eastAsia="Arial" w:hAnsi="Arial"/>
          <w:sz w:val="22"/>
          <w:szCs w:val="22"/>
        </w:rPr>
        <w:t xml:space="preserve">10–20 mL/kg/day of breast milk or formula, not subtracted from TFI (treated as gut priming).</w:t>
      </w:r>
    </w:p>
    <w:p>
      <w:pPr>
        <w:pStyle w:val="ListParagraph"/>
        <w:numPr>
          <w:ilvl w:val="0"/>
          <w:numId w:val="2"/>
        </w:numPr>
        <w:spacing w:after="60" w:line="276"/>
      </w:pPr>
      <w:r>
        <w:rPr>
          <w:rFonts w:ascii="Arial" w:cs="Arial" w:eastAsia="Arial" w:hAnsi="Arial"/>
          <w:b/>
          <w:bCs/>
          <w:sz w:val="22"/>
          <w:szCs w:val="22"/>
        </w:rPr>
        <w:t xml:space="preserve">Advancing Feeds: </w:t>
      </w:r>
      <w:r>
        <w:rPr>
          <w:rFonts w:ascii="Arial" w:cs="Arial" w:eastAsia="Arial" w:hAnsi="Arial"/>
          <w:sz w:val="22"/>
          <w:szCs w:val="22"/>
        </w:rPr>
        <w:t xml:space="preserve">Once feeds exceed 20 mL/kg/day, subtract enteral volume from TFI to compute IV rate.</w:t>
      </w:r>
    </w:p>
    <w:p>
      <w:pPr>
        <w:pStyle w:val="ListParagraph"/>
        <w:numPr>
          <w:ilvl w:val="0"/>
          <w:numId w:val="2"/>
        </w:numPr>
        <w:spacing w:after="60" w:line="276"/>
      </w:pPr>
      <w:r>
        <w:rPr>
          <w:rFonts w:ascii="Arial" w:cs="Arial" w:eastAsia="Arial" w:hAnsi="Arial"/>
          <w:b/>
          <w:bCs/>
          <w:sz w:val="22"/>
          <w:szCs w:val="22"/>
        </w:rPr>
        <w:t xml:space="preserve">IVF Wean: </w:t>
      </w:r>
      <w:r>
        <w:rPr>
          <w:rFonts w:ascii="Arial" w:cs="Arial" w:eastAsia="Arial" w:hAnsi="Arial"/>
          <w:sz w:val="22"/>
          <w:szCs w:val="22"/>
        </w:rPr>
        <w:t xml:space="preserve">As enteral feeds advance by 10–30 mL/kg/day (GA-dependent advancement schedule), IV rate decreases proportionally.</w:t>
      </w:r>
    </w:p>
    <w:p>
      <w:pPr>
        <w:pStyle w:val="ListParagraph"/>
        <w:numPr>
          <w:ilvl w:val="0"/>
          <w:numId w:val="2"/>
        </w:numPr>
        <w:spacing w:after="60" w:line="276"/>
      </w:pPr>
      <w:r>
        <w:rPr>
          <w:rFonts w:ascii="Arial" w:cs="Arial" w:eastAsia="Arial" w:hAnsi="Arial"/>
          <w:b/>
          <w:bCs/>
          <w:sz w:val="22"/>
          <w:szCs w:val="22"/>
        </w:rPr>
        <w:t xml:space="preserve">IVF Discontinuation: </w:t>
      </w:r>
      <w:r>
        <w:rPr>
          <w:rFonts w:ascii="Arial" w:cs="Arial" w:eastAsia="Arial" w:hAnsi="Arial"/>
          <w:sz w:val="22"/>
          <w:szCs w:val="22"/>
        </w:rPr>
        <w:t xml:space="preserve">When enteral intake reaches 100–120 mL/kg/day and infant tolerating well, IVF can typically be discontinued (ensure adequate glucose and electrolyte intake enterally).</w:t>
      </w:r>
    </w:p>
    <w:p>
      <w:pPr>
        <w:pStyle w:val="ListParagraph"/>
        <w:numPr>
          <w:ilvl w:val="0"/>
          <w:numId w:val="2"/>
        </w:numPr>
        <w:spacing w:after="60" w:line="276"/>
      </w:pPr>
      <w:r>
        <w:rPr>
          <w:rFonts w:ascii="Arial" w:cs="Arial" w:eastAsia="Arial" w:hAnsi="Arial"/>
          <w:b/>
          <w:bCs/>
          <w:sz w:val="22"/>
          <w:szCs w:val="22"/>
        </w:rPr>
        <w:t xml:space="preserve">D10W Wean: </w:t>
      </w:r>
      <w:r>
        <w:rPr>
          <w:rFonts w:ascii="Arial" w:cs="Arial" w:eastAsia="Arial" w:hAnsi="Arial"/>
          <w:sz w:val="22"/>
          <w:szCs w:val="22"/>
        </w:rPr>
        <w:t xml:space="preserve">When IV rate falls below approximately 3–4 mL/hr, some centers wean to a heparin lock or saline lock rather than running D10W at very low rates to avoid glucose instability.</w:t>
      </w:r>
    </w:p>
    <w:p>
      <w:r>
        <w:br w:type="page"/>
      </w:r>
    </w:p>
    <w:p>
      <w:pPr>
        <w:pStyle w:val="Heading1"/>
      </w:pPr>
      <w:r>
        <w:t xml:space="preserve">11. Special Population Considerations</w:t>
      </w:r>
    </w:p>
    <w:p>
      <w:pPr>
        <w:spacing w:after="80"/>
      </w:pPr>
    </w:p>
    <w:p>
      <w:pPr>
        <w:pStyle w:val="Heading2"/>
      </w:pPr>
      <w:r>
        <w:t xml:space="preserve">11.1 Small for Gestational Age (SGA) and Intrauterine Growth Restriction (IUGR)</w:t>
      </w:r>
    </w:p>
    <w:p>
      <w:pPr>
        <w:spacing w:after="120" w:line="276"/>
      </w:pPr>
      <w:r>
        <w:rPr>
          <w:rFonts w:ascii="Arial" w:cs="Arial" w:eastAsia="Arial" w:hAnsi="Arial"/>
          <w:sz w:val="22"/>
          <w:szCs w:val="22"/>
        </w:rPr>
        <w:t xml:space="preserve">SGA/IUGR infants present unique fluid and metabolic challenges:</w:t>
      </w:r>
    </w:p>
    <w:p>
      <w:pPr>
        <w:pStyle w:val="ListParagraph"/>
        <w:numPr>
          <w:ilvl w:val="0"/>
          <w:numId w:val="2"/>
        </w:numPr>
        <w:spacing w:after="60" w:line="276"/>
      </w:pPr>
      <w:r>
        <w:rPr>
          <w:rFonts w:ascii="Arial" w:cs="Arial" w:eastAsia="Arial" w:hAnsi="Arial"/>
          <w:sz w:val="22"/>
          <w:szCs w:val="22"/>
        </w:rPr>
        <w:t xml:space="preserve">Higher risk of hypoglycemia due to diminished glycogen stores and increased brain-to-body weight ratio. May need higher GIR (6–10 mg/kg/min from birth).</w:t>
      </w:r>
    </w:p>
    <w:p>
      <w:pPr>
        <w:pStyle w:val="ListParagraph"/>
        <w:numPr>
          <w:ilvl w:val="0"/>
          <w:numId w:val="2"/>
        </w:numPr>
        <w:spacing w:after="60" w:line="276"/>
      </w:pPr>
      <w:r>
        <w:rPr>
          <w:rFonts w:ascii="Arial" w:cs="Arial" w:eastAsia="Arial" w:hAnsi="Arial"/>
          <w:sz w:val="22"/>
          <w:szCs w:val="22"/>
        </w:rPr>
        <w:t xml:space="preserve">Use actual birth weight for fluid rate calculations (not expected weight for GA).</w:t>
      </w:r>
    </w:p>
    <w:p>
      <w:pPr>
        <w:pStyle w:val="ListParagraph"/>
        <w:numPr>
          <w:ilvl w:val="0"/>
          <w:numId w:val="2"/>
        </w:numPr>
        <w:spacing w:after="60" w:line="276"/>
      </w:pPr>
      <w:r>
        <w:rPr>
          <w:rFonts w:ascii="Arial" w:cs="Arial" w:eastAsia="Arial" w:hAnsi="Arial"/>
          <w:sz w:val="22"/>
          <w:szCs w:val="22"/>
        </w:rPr>
        <w:t xml:space="preserve">Monitor closely for polycythemia (which can affect fluid viscosity and perfusion).</w:t>
      </w:r>
    </w:p>
    <w:p>
      <w:pPr>
        <w:pStyle w:val="ListParagraph"/>
        <w:numPr>
          <w:ilvl w:val="0"/>
          <w:numId w:val="2"/>
        </w:numPr>
        <w:spacing w:after="60" w:line="276"/>
      </w:pPr>
      <w:r>
        <w:rPr>
          <w:rFonts w:ascii="Arial" w:cs="Arial" w:eastAsia="Arial" w:hAnsi="Arial"/>
          <w:sz w:val="22"/>
          <w:szCs w:val="22"/>
        </w:rPr>
        <w:t xml:space="preserve">Refeeding syndrome risk when initiating TPN: monitor phosphorus, magnesium, and potassium closely.</w:t>
      </w:r>
    </w:p>
    <w:p>
      <w:pPr>
        <w:spacing w:after="80"/>
      </w:pPr>
    </w:p>
    <w:p>
      <w:pPr>
        <w:pStyle w:val="Heading2"/>
      </w:pPr>
      <w:r>
        <w:t xml:space="preserve">11.2 Large for Gestational Age (LGA) and Infants of Diabetic Mothers (IDM)</w:t>
      </w:r>
    </w:p>
    <w:p>
      <w:pPr>
        <w:spacing w:after="120" w:line="276"/>
      </w:pPr>
      <w:r>
        <w:rPr>
          <w:rFonts w:ascii="Arial" w:cs="Arial" w:eastAsia="Arial" w:hAnsi="Arial"/>
          <w:sz w:val="22"/>
          <w:szCs w:val="22"/>
        </w:rPr>
        <w:t xml:space="preserve">LGA/IDM infants require particular attention to glucose management:</w:t>
      </w:r>
    </w:p>
    <w:p>
      <w:pPr>
        <w:pStyle w:val="ListParagraph"/>
        <w:numPr>
          <w:ilvl w:val="0"/>
          <w:numId w:val="2"/>
        </w:numPr>
        <w:spacing w:after="60" w:line="276"/>
      </w:pPr>
      <w:r>
        <w:rPr>
          <w:rFonts w:ascii="Arial" w:cs="Arial" w:eastAsia="Arial" w:hAnsi="Arial"/>
          <w:sz w:val="22"/>
          <w:szCs w:val="22"/>
        </w:rPr>
        <w:t xml:space="preserve">Hyperinsulinemia may cause profound hypoglycemia requiring GIR 8–15+ mg/kg/min.</w:t>
      </w:r>
    </w:p>
    <w:p>
      <w:pPr>
        <w:pStyle w:val="ListParagraph"/>
        <w:numPr>
          <w:ilvl w:val="0"/>
          <w:numId w:val="2"/>
        </w:numPr>
        <w:spacing w:after="60" w:line="276"/>
      </w:pPr>
      <w:r>
        <w:rPr>
          <w:rFonts w:ascii="Arial" w:cs="Arial" w:eastAsia="Arial" w:hAnsi="Arial"/>
          <w:sz w:val="22"/>
          <w:szCs w:val="22"/>
        </w:rPr>
        <w:t xml:space="preserve">Calculator should support D12.5–D15W concentrations via peripheral or central access.</w:t>
      </w:r>
    </w:p>
    <w:p>
      <w:pPr>
        <w:pStyle w:val="ListParagraph"/>
        <w:numPr>
          <w:ilvl w:val="0"/>
          <w:numId w:val="2"/>
        </w:numPr>
        <w:spacing w:after="60" w:line="276"/>
      </w:pPr>
      <w:r>
        <w:rPr>
          <w:rFonts w:ascii="Arial" w:cs="Arial" w:eastAsia="Arial" w:hAnsi="Arial"/>
          <w:sz w:val="22"/>
          <w:szCs w:val="22"/>
        </w:rPr>
        <w:t xml:space="preserve">Higher risk of hypomagnesemia and hypocalcemia; include these in the monitoring panel.</w:t>
      </w:r>
    </w:p>
    <w:p>
      <w:pPr>
        <w:pStyle w:val="ListParagraph"/>
        <w:numPr>
          <w:ilvl w:val="0"/>
          <w:numId w:val="2"/>
        </w:numPr>
        <w:spacing w:after="60" w:line="276"/>
      </w:pPr>
      <w:r>
        <w:rPr>
          <w:rFonts w:ascii="Arial" w:cs="Arial" w:eastAsia="Arial" w:hAnsi="Arial"/>
          <w:sz w:val="22"/>
          <w:szCs w:val="22"/>
        </w:rPr>
        <w:t xml:space="preserve">May need diazoxide if persistent hypoglycemia despite maximal GIR.</w:t>
      </w:r>
    </w:p>
    <w:p>
      <w:pPr>
        <w:spacing w:after="80"/>
      </w:pPr>
    </w:p>
    <w:p>
      <w:pPr>
        <w:pStyle w:val="Heading2"/>
      </w:pPr>
      <w:r>
        <w:t xml:space="preserve">11.3 Infants Receiving Vasopressors/Inotropes</w:t>
      </w:r>
    </w:p>
    <w:p>
      <w:pPr>
        <w:spacing w:after="120" w:line="276"/>
      </w:pPr>
      <w:r>
        <w:rPr>
          <w:rFonts w:ascii="Arial" w:cs="Arial" w:eastAsia="Arial" w:hAnsi="Arial"/>
          <w:sz w:val="22"/>
          <w:szCs w:val="22"/>
        </w:rPr>
        <w:t xml:space="preserve">Neonates on vasoactive infusions have altered renal perfusion and hemodynamics:</w:t>
      </w:r>
    </w:p>
    <w:p>
      <w:pPr>
        <w:pStyle w:val="ListParagraph"/>
        <w:numPr>
          <w:ilvl w:val="0"/>
          <w:numId w:val="2"/>
        </w:numPr>
        <w:spacing w:after="60" w:line="276"/>
      </w:pPr>
      <w:r>
        <w:rPr>
          <w:rFonts w:ascii="Arial" w:cs="Arial" w:eastAsia="Arial" w:hAnsi="Arial"/>
          <w:sz w:val="22"/>
          <w:szCs w:val="22"/>
        </w:rPr>
        <w:t xml:space="preserve">Dopamine at renal dose (2–5 mcg/kg/min) may increase UOP; adjust fluid calculations accordingly.</w:t>
      </w:r>
    </w:p>
    <w:p>
      <w:pPr>
        <w:pStyle w:val="ListParagraph"/>
        <w:numPr>
          <w:ilvl w:val="0"/>
          <w:numId w:val="2"/>
        </w:numPr>
        <w:spacing w:after="60" w:line="276"/>
      </w:pPr>
      <w:r>
        <w:rPr>
          <w:rFonts w:ascii="Arial" w:cs="Arial" w:eastAsia="Arial" w:hAnsi="Arial"/>
          <w:sz w:val="22"/>
          <w:szCs w:val="22"/>
        </w:rPr>
        <w:t xml:space="preserve">High-dose vasopressors may decrease splanchnic and renal perfusion; monitor UOP and fluid balance closely.</w:t>
      </w:r>
    </w:p>
    <w:p>
      <w:pPr>
        <w:pStyle w:val="ListParagraph"/>
        <w:numPr>
          <w:ilvl w:val="0"/>
          <w:numId w:val="2"/>
        </w:numPr>
        <w:spacing w:after="60" w:line="276"/>
      </w:pPr>
      <w:r>
        <w:rPr>
          <w:rFonts w:ascii="Arial" w:cs="Arial" w:eastAsia="Arial" w:hAnsi="Arial"/>
          <w:sz w:val="22"/>
          <w:szCs w:val="22"/>
        </w:rPr>
        <w:t xml:space="preserve">The calculator should account for the volume of vasoactive drip infusions in the total fluid intake calculation (these are often significant, especially at higher concentrations).</w:t>
      </w:r>
    </w:p>
    <w:p>
      <w:pPr>
        <w:spacing w:after="80"/>
      </w:pPr>
    </w:p>
    <w:p>
      <w:pPr>
        <w:pStyle w:val="Heading2"/>
      </w:pPr>
      <w:r>
        <w:t xml:space="preserve">11.4 Infants Receiving Exchange Transfusion</w:t>
      </w:r>
    </w:p>
    <w:p>
      <w:pPr>
        <w:spacing w:after="120" w:line="276"/>
      </w:pPr>
      <w:r>
        <w:rPr>
          <w:rFonts w:ascii="Arial" w:cs="Arial" w:eastAsia="Arial" w:hAnsi="Arial"/>
          <w:sz w:val="22"/>
          <w:szCs w:val="22"/>
        </w:rPr>
        <w:t xml:space="preserve">Exchange transfusion represents a massive fluid shift requiring careful calculation:</w:t>
      </w:r>
    </w:p>
    <w:p>
      <w:pPr>
        <w:pStyle w:val="ListParagraph"/>
        <w:numPr>
          <w:ilvl w:val="0"/>
          <w:numId w:val="2"/>
        </w:numPr>
        <w:spacing w:after="60" w:line="276"/>
      </w:pPr>
      <w:r>
        <w:rPr>
          <w:rFonts w:ascii="Arial" w:cs="Arial" w:eastAsia="Arial" w:hAnsi="Arial"/>
          <w:sz w:val="22"/>
          <w:szCs w:val="22"/>
        </w:rPr>
        <w:t xml:space="preserve">Double-volume exchange = 2 × (80–85 mL/kg) = 160–170 mL/kg of blood exchanged.</w:t>
      </w:r>
    </w:p>
    <w:p>
      <w:pPr>
        <w:pStyle w:val="ListParagraph"/>
        <w:numPr>
          <w:ilvl w:val="0"/>
          <w:numId w:val="2"/>
        </w:numPr>
        <w:spacing w:after="60" w:line="276"/>
      </w:pPr>
      <w:r>
        <w:rPr>
          <w:rFonts w:ascii="Arial" w:cs="Arial" w:eastAsia="Arial" w:hAnsi="Arial"/>
          <w:sz w:val="22"/>
          <w:szCs w:val="22"/>
        </w:rPr>
        <w:t xml:space="preserve">Post-exchange: monitor electrolytes closely (citrate in stored blood chelates calcium, potassium levels fluctuate). May need supplemental calcium infusion during and after exchange.</w:t>
      </w:r>
    </w:p>
    <w:p>
      <w:pPr>
        <w:pStyle w:val="ListParagraph"/>
        <w:numPr>
          <w:ilvl w:val="0"/>
          <w:numId w:val="2"/>
        </w:numPr>
        <w:spacing w:after="60" w:line="276"/>
      </w:pPr>
      <w:r>
        <w:rPr>
          <w:rFonts w:ascii="Arial" w:cs="Arial" w:eastAsia="Arial" w:hAnsi="Arial"/>
          <w:sz w:val="22"/>
          <w:szCs w:val="22"/>
        </w:rPr>
        <w:t xml:space="preserve">Fluid balance should be tracked separately during the exchange procedure.</w:t>
      </w:r>
    </w:p>
    <w:p>
      <w:r>
        <w:br w:type="page"/>
      </w:r>
    </w:p>
    <w:p>
      <w:pPr>
        <w:pStyle w:val="Heading1"/>
      </w:pPr>
      <w:r>
        <w:t xml:space="preserve">12. Implementation Considerations for Calculator Design</w:t>
      </w:r>
    </w:p>
    <w:p>
      <w:pPr>
        <w:spacing w:after="80"/>
      </w:pPr>
    </w:p>
    <w:p>
      <w:pPr>
        <w:pStyle w:val="Heading2"/>
      </w:pPr>
      <w:r>
        <w:t xml:space="preserve">12.1 User Interface Requirements</w:t>
      </w:r>
    </w:p>
    <w:p>
      <w:pPr>
        <w:spacing w:after="120" w:line="276"/>
      </w:pPr>
      <w:r>
        <w:rPr>
          <w:rFonts w:ascii="Arial" w:cs="Arial" w:eastAsia="Arial" w:hAnsi="Arial"/>
          <w:sz w:val="22"/>
          <w:szCs w:val="22"/>
        </w:rPr>
        <w:t xml:space="preserve">The calculator interface must balance comprehensive data capture with clinical workflow efficiency:</w:t>
      </w:r>
    </w:p>
    <w:p>
      <w:pPr>
        <w:pStyle w:val="ListParagraph"/>
        <w:numPr>
          <w:ilvl w:val="0"/>
          <w:numId w:val="2"/>
        </w:numPr>
        <w:spacing w:after="60" w:line="276"/>
      </w:pPr>
      <w:r>
        <w:rPr>
          <w:rFonts w:ascii="Arial" w:cs="Arial" w:eastAsia="Arial" w:hAnsi="Arial"/>
          <w:b/>
          <w:bCs/>
          <w:sz w:val="22"/>
          <w:szCs w:val="22"/>
        </w:rPr>
        <w:t xml:space="preserve">Quick-Entry Mode: </w:t>
      </w:r>
      <w:r>
        <w:rPr>
          <w:rFonts w:ascii="Arial" w:cs="Arial" w:eastAsia="Arial" w:hAnsi="Arial"/>
          <w:sz w:val="22"/>
          <w:szCs w:val="22"/>
        </w:rPr>
        <w:t xml:space="preserve">GA, weight, DOL → generates default fluid order in &lt;30 seconds.</w:t>
      </w:r>
    </w:p>
    <w:p>
      <w:pPr>
        <w:pStyle w:val="ListParagraph"/>
        <w:numPr>
          <w:ilvl w:val="0"/>
          <w:numId w:val="2"/>
        </w:numPr>
        <w:spacing w:after="60" w:line="276"/>
      </w:pPr>
      <w:r>
        <w:rPr>
          <w:rFonts w:ascii="Arial" w:cs="Arial" w:eastAsia="Arial" w:hAnsi="Arial"/>
          <w:b/>
          <w:bCs/>
          <w:sz w:val="22"/>
          <w:szCs w:val="22"/>
        </w:rPr>
        <w:t xml:space="preserve">Advanced Mode: </w:t>
      </w:r>
      <w:r>
        <w:rPr>
          <w:rFonts w:ascii="Arial" w:cs="Arial" w:eastAsia="Arial" w:hAnsi="Arial"/>
          <w:sz w:val="22"/>
          <w:szCs w:val="22"/>
        </w:rPr>
        <w:t xml:space="preserve">Full modifier selection, custom electrolyte targets, enteral feed tracking, monitoring schedule generation.</w:t>
      </w:r>
    </w:p>
    <w:p>
      <w:pPr>
        <w:pStyle w:val="ListParagraph"/>
        <w:numPr>
          <w:ilvl w:val="0"/>
          <w:numId w:val="2"/>
        </w:numPr>
        <w:spacing w:after="60" w:line="276"/>
      </w:pPr>
      <w:r>
        <w:rPr>
          <w:rFonts w:ascii="Arial" w:cs="Arial" w:eastAsia="Arial" w:hAnsi="Arial"/>
          <w:b/>
          <w:bCs/>
          <w:sz w:val="22"/>
          <w:szCs w:val="22"/>
        </w:rPr>
        <w:t xml:space="preserve">Visual Fluid Summary: </w:t>
      </w:r>
      <w:r>
        <w:rPr>
          <w:rFonts w:ascii="Arial" w:cs="Arial" w:eastAsia="Arial" w:hAnsi="Arial"/>
          <w:sz w:val="22"/>
          <w:szCs w:val="22"/>
        </w:rPr>
        <w:t xml:space="preserve">Dashboard showing TFI breakdown, GIR, electrolyte delivery, I&amp;O trending, and weight trajectory.</w:t>
      </w:r>
    </w:p>
    <w:p>
      <w:pPr>
        <w:pStyle w:val="ListParagraph"/>
        <w:numPr>
          <w:ilvl w:val="0"/>
          <w:numId w:val="2"/>
        </w:numPr>
        <w:spacing w:after="60" w:line="276"/>
      </w:pPr>
      <w:r>
        <w:rPr>
          <w:rFonts w:ascii="Arial" w:cs="Arial" w:eastAsia="Arial" w:hAnsi="Arial"/>
          <w:b/>
          <w:bCs/>
          <w:sz w:val="22"/>
          <w:szCs w:val="22"/>
        </w:rPr>
        <w:t xml:space="preserve">Alerting: </w:t>
      </w:r>
      <w:r>
        <w:rPr>
          <w:rFonts w:ascii="Arial" w:cs="Arial" w:eastAsia="Arial" w:hAnsi="Arial"/>
          <w:sz w:val="22"/>
          <w:szCs w:val="22"/>
        </w:rPr>
        <w:t xml:space="preserve">Color-coded alerts integrated into the display with one-click access to adjustment recommendations.</w:t>
      </w:r>
    </w:p>
    <w:p>
      <w:pPr>
        <w:spacing w:after="80"/>
      </w:pPr>
    </w:p>
    <w:p>
      <w:pPr>
        <w:pStyle w:val="Heading2"/>
      </w:pPr>
      <w:r>
        <w:t xml:space="preserve">12.2 Data Validation Rules</w:t>
      </w:r>
    </w:p>
    <w:p>
      <w:pPr>
        <w:spacing w:after="120" w:line="276"/>
      </w:pPr>
      <w:r>
        <w:rPr>
          <w:rFonts w:ascii="Arial" w:cs="Arial" w:eastAsia="Arial" w:hAnsi="Arial"/>
          <w:sz w:val="22"/>
          <w:szCs w:val="22"/>
        </w:rPr>
        <w:t xml:space="preserve">Input validation is critical for patient safety:</w:t>
      </w:r>
    </w:p>
    <w:p>
      <w:pPr>
        <w:pStyle w:val="ListParagraph"/>
        <w:numPr>
          <w:ilvl w:val="0"/>
          <w:numId w:val="2"/>
        </w:numPr>
        <w:spacing w:after="60" w:line="276"/>
      </w:pPr>
      <w:r>
        <w:rPr>
          <w:rFonts w:ascii="Arial" w:cs="Arial" w:eastAsia="Arial" w:hAnsi="Arial"/>
          <w:sz w:val="22"/>
          <w:szCs w:val="22"/>
        </w:rPr>
        <w:t xml:space="preserve">GA must be between 22+0 and 42+6 weeks.</w:t>
      </w:r>
    </w:p>
    <w:p>
      <w:pPr>
        <w:pStyle w:val="ListParagraph"/>
        <w:numPr>
          <w:ilvl w:val="0"/>
          <w:numId w:val="2"/>
        </w:numPr>
        <w:spacing w:after="60" w:line="276"/>
      </w:pPr>
      <w:r>
        <w:rPr>
          <w:rFonts w:ascii="Arial" w:cs="Arial" w:eastAsia="Arial" w:hAnsi="Arial"/>
          <w:sz w:val="22"/>
          <w:szCs w:val="22"/>
        </w:rPr>
        <w:t xml:space="preserve">Birth weight must be between 300 g and 6000 g.</w:t>
      </w:r>
    </w:p>
    <w:p>
      <w:pPr>
        <w:pStyle w:val="ListParagraph"/>
        <w:numPr>
          <w:ilvl w:val="0"/>
          <w:numId w:val="2"/>
        </w:numPr>
        <w:spacing w:after="60" w:line="276"/>
      </w:pPr>
      <w:r>
        <w:rPr>
          <w:rFonts w:ascii="Arial" w:cs="Arial" w:eastAsia="Arial" w:hAnsi="Arial"/>
          <w:sz w:val="22"/>
          <w:szCs w:val="22"/>
        </w:rPr>
        <w:t xml:space="preserve">Birth weight must be plausible for stated GA (flag if outside 3rd–97th percentile on Fenton curves).</w:t>
      </w:r>
    </w:p>
    <w:p>
      <w:pPr>
        <w:pStyle w:val="ListParagraph"/>
        <w:numPr>
          <w:ilvl w:val="0"/>
          <w:numId w:val="2"/>
        </w:numPr>
        <w:spacing w:after="60" w:line="276"/>
      </w:pPr>
      <w:r>
        <w:rPr>
          <w:rFonts w:ascii="Arial" w:cs="Arial" w:eastAsia="Arial" w:hAnsi="Arial"/>
          <w:sz w:val="22"/>
          <w:szCs w:val="22"/>
        </w:rPr>
        <w:t xml:space="preserve">DOL must be consistent with stated birth date.</w:t>
      </w:r>
    </w:p>
    <w:p>
      <w:pPr>
        <w:pStyle w:val="ListParagraph"/>
        <w:numPr>
          <w:ilvl w:val="0"/>
          <w:numId w:val="2"/>
        </w:numPr>
        <w:spacing w:after="60" w:line="276"/>
      </w:pPr>
      <w:r>
        <w:rPr>
          <w:rFonts w:ascii="Arial" w:cs="Arial" w:eastAsia="Arial" w:hAnsi="Arial"/>
          <w:sz w:val="22"/>
          <w:szCs w:val="22"/>
        </w:rPr>
        <w:t xml:space="preserve">Fluid rate calculations must not produce rates &lt;0 or &gt;300 mL/kg/day without explicit override.</w:t>
      </w:r>
    </w:p>
    <w:p>
      <w:pPr>
        <w:pStyle w:val="ListParagraph"/>
        <w:numPr>
          <w:ilvl w:val="0"/>
          <w:numId w:val="2"/>
        </w:numPr>
        <w:spacing w:after="60" w:line="276"/>
      </w:pPr>
      <w:r>
        <w:rPr>
          <w:rFonts w:ascii="Arial" w:cs="Arial" w:eastAsia="Arial" w:hAnsi="Arial"/>
          <w:sz w:val="22"/>
          <w:szCs w:val="22"/>
        </w:rPr>
        <w:t xml:space="preserve">Dextrose concentration must match available preparations (5, 7.5, 10, 12.5, 15, 17.5, 20, 25%).</w:t>
      </w:r>
    </w:p>
    <w:p>
      <w:pPr>
        <w:pStyle w:val="ListParagraph"/>
        <w:numPr>
          <w:ilvl w:val="0"/>
          <w:numId w:val="2"/>
        </w:numPr>
        <w:spacing w:after="60" w:line="276"/>
      </w:pPr>
      <w:r>
        <w:rPr>
          <w:rFonts w:ascii="Arial" w:cs="Arial" w:eastAsia="Arial" w:hAnsi="Arial"/>
          <w:sz w:val="22"/>
          <w:szCs w:val="22"/>
        </w:rPr>
        <w:t xml:space="preserve">GIR must be flagged if &gt;14 mg/kg/min (suggest endocrine consultation).</w:t>
      </w:r>
    </w:p>
    <w:p>
      <w:pPr>
        <w:spacing w:after="80"/>
      </w:pPr>
    </w:p>
    <w:p>
      <w:pPr>
        <w:pStyle w:val="Heading2"/>
      </w:pPr>
      <w:r>
        <w:t xml:space="preserve">12.3 Offline Capability for Rural Settings</w:t>
      </w:r>
    </w:p>
    <w:p>
      <w:pPr>
        <w:spacing w:after="120" w:line="276"/>
      </w:pPr>
      <w:r>
        <w:rPr>
          <w:rFonts w:ascii="Arial" w:cs="Arial" w:eastAsia="Arial" w:hAnsi="Arial"/>
          <w:sz w:val="22"/>
          <w:szCs w:val="22"/>
        </w:rPr>
        <w:t xml:space="preserve">For deployment in rural and critical access hospital settings, the calculator must function entirely offline after initial load:</w:t>
      </w:r>
    </w:p>
    <w:p>
      <w:pPr>
        <w:pStyle w:val="ListParagraph"/>
        <w:numPr>
          <w:ilvl w:val="0"/>
          <w:numId w:val="2"/>
        </w:numPr>
        <w:spacing w:after="60" w:line="276"/>
      </w:pPr>
      <w:r>
        <w:rPr>
          <w:rFonts w:ascii="Arial" w:cs="Arial" w:eastAsia="Arial" w:hAnsi="Arial"/>
          <w:sz w:val="22"/>
          <w:szCs w:val="22"/>
        </w:rPr>
        <w:t xml:space="preserve">All calculation logic, lookup tables, and decision trees stored locally.</w:t>
      </w:r>
    </w:p>
    <w:p>
      <w:pPr>
        <w:pStyle w:val="ListParagraph"/>
        <w:numPr>
          <w:ilvl w:val="0"/>
          <w:numId w:val="2"/>
        </w:numPr>
        <w:spacing w:after="60" w:line="276"/>
      </w:pPr>
      <w:r>
        <w:rPr>
          <w:rFonts w:ascii="Arial" w:cs="Arial" w:eastAsia="Arial" w:hAnsi="Arial"/>
          <w:sz w:val="22"/>
          <w:szCs w:val="22"/>
        </w:rPr>
        <w:t xml:space="preserve">No dependency on network connectivity for core fluid calculations.</w:t>
      </w:r>
    </w:p>
    <w:p>
      <w:pPr>
        <w:pStyle w:val="ListParagraph"/>
        <w:numPr>
          <w:ilvl w:val="0"/>
          <w:numId w:val="2"/>
        </w:numPr>
        <w:spacing w:after="60" w:line="276"/>
      </w:pPr>
      <w:r>
        <w:rPr>
          <w:rFonts w:ascii="Arial" w:cs="Arial" w:eastAsia="Arial" w:hAnsi="Arial"/>
          <w:sz w:val="22"/>
          <w:szCs w:val="22"/>
        </w:rPr>
        <w:t xml:space="preserve">Offline data storage for patient tracking during transport or network outages.</w:t>
      </w:r>
    </w:p>
    <w:p>
      <w:pPr>
        <w:pStyle w:val="ListParagraph"/>
        <w:numPr>
          <w:ilvl w:val="0"/>
          <w:numId w:val="2"/>
        </w:numPr>
        <w:spacing w:after="60" w:line="276"/>
      </w:pPr>
      <w:r>
        <w:rPr>
          <w:rFonts w:ascii="Arial" w:cs="Arial" w:eastAsia="Arial" w:hAnsi="Arial"/>
          <w:sz w:val="22"/>
          <w:szCs w:val="22"/>
        </w:rPr>
        <w:t xml:space="preserve">Sync capability when connectivity is restored.</w:t>
      </w:r>
    </w:p>
    <w:p>
      <w:pPr>
        <w:pStyle w:val="ListParagraph"/>
        <w:numPr>
          <w:ilvl w:val="0"/>
          <w:numId w:val="2"/>
        </w:numPr>
        <w:spacing w:after="60" w:line="276"/>
      </w:pPr>
      <w:r>
        <w:rPr>
          <w:rFonts w:ascii="Arial" w:cs="Arial" w:eastAsia="Arial" w:hAnsi="Arial"/>
          <w:sz w:val="22"/>
          <w:szCs w:val="22"/>
        </w:rPr>
        <w:t xml:space="preserve">Progressive Web App (PWA) architecture recommended for cross-device compatibility.</w:t>
      </w:r>
    </w:p>
    <w:p>
      <w:pPr>
        <w:spacing w:after="80"/>
      </w:pPr>
    </w:p>
    <w:p>
      <w:pPr>
        <w:pStyle w:val="Heading2"/>
      </w:pPr>
      <w:r>
        <w:t xml:space="preserve">12.4 Integration Considerations</w:t>
      </w:r>
    </w:p>
    <w:p>
      <w:pPr>
        <w:spacing w:after="120" w:line="276"/>
      </w:pPr>
      <w:r>
        <w:rPr>
          <w:rFonts w:ascii="Arial" w:cs="Arial" w:eastAsia="Arial" w:hAnsi="Arial"/>
          <w:sz w:val="22"/>
          <w:szCs w:val="22"/>
        </w:rPr>
        <w:t xml:space="preserve">For facilities with electronic health records (EHR), the calculator should support integration pathways:</w:t>
      </w:r>
    </w:p>
    <w:p>
      <w:pPr>
        <w:pStyle w:val="ListParagraph"/>
        <w:numPr>
          <w:ilvl w:val="0"/>
          <w:numId w:val="2"/>
        </w:numPr>
        <w:spacing w:after="60" w:line="276"/>
      </w:pPr>
      <w:r>
        <w:rPr>
          <w:rFonts w:ascii="Arial" w:cs="Arial" w:eastAsia="Arial" w:hAnsi="Arial"/>
          <w:sz w:val="22"/>
          <w:szCs w:val="22"/>
        </w:rPr>
        <w:t xml:space="preserve">HL7 FHIR-compatible data exchange for patient demographics and lab results.</w:t>
      </w:r>
    </w:p>
    <w:p>
      <w:pPr>
        <w:pStyle w:val="ListParagraph"/>
        <w:numPr>
          <w:ilvl w:val="0"/>
          <w:numId w:val="2"/>
        </w:numPr>
        <w:spacing w:after="60" w:line="276"/>
      </w:pPr>
      <w:r>
        <w:rPr>
          <w:rFonts w:ascii="Arial" w:cs="Arial" w:eastAsia="Arial" w:hAnsi="Arial"/>
          <w:sz w:val="22"/>
          <w:szCs w:val="22"/>
        </w:rPr>
        <w:t xml:space="preserve">Ability to import recent lab values directly from EHR interface.</w:t>
      </w:r>
    </w:p>
    <w:p>
      <w:pPr>
        <w:pStyle w:val="ListParagraph"/>
        <w:numPr>
          <w:ilvl w:val="0"/>
          <w:numId w:val="2"/>
        </w:numPr>
        <w:spacing w:after="60" w:line="276"/>
      </w:pPr>
      <w:r>
        <w:rPr>
          <w:rFonts w:ascii="Arial" w:cs="Arial" w:eastAsia="Arial" w:hAnsi="Arial"/>
          <w:sz w:val="22"/>
          <w:szCs w:val="22"/>
        </w:rPr>
        <w:t xml:space="preserve">Export of fluid orders in a format compatible with pharmacy verification systems.</w:t>
      </w:r>
    </w:p>
    <w:p>
      <w:pPr>
        <w:pStyle w:val="ListParagraph"/>
        <w:numPr>
          <w:ilvl w:val="0"/>
          <w:numId w:val="2"/>
        </w:numPr>
        <w:spacing w:after="60" w:line="276"/>
      </w:pPr>
      <w:r>
        <w:rPr>
          <w:rFonts w:ascii="Arial" w:cs="Arial" w:eastAsia="Arial" w:hAnsi="Arial"/>
          <w:sz w:val="22"/>
          <w:szCs w:val="22"/>
        </w:rPr>
        <w:t xml:space="preserve">API endpoints for embedding within EHR clinical decision support frameworks.</w:t>
      </w:r>
    </w:p>
    <w:p>
      <w:pPr>
        <w:spacing w:after="80"/>
      </w:pPr>
    </w:p>
    <w:p>
      <w:pPr>
        <w:pStyle w:val="Heading2"/>
      </w:pPr>
      <w:r>
        <w:t xml:space="preserve">12.5 Safety Features</w:t>
      </w:r>
    </w:p>
    <w:p>
      <w:pPr>
        <w:spacing w:after="120" w:line="276"/>
      </w:pPr>
      <w:r>
        <w:rPr>
          <w:rFonts w:ascii="Arial" w:cs="Arial" w:eastAsia="Arial" w:hAnsi="Arial"/>
          <w:sz w:val="22"/>
          <w:szCs w:val="22"/>
        </w:rPr>
        <w:t xml:space="preserve">The calculator must implement multiple safety layers:</w:t>
      </w:r>
    </w:p>
    <w:p>
      <w:pPr>
        <w:pStyle w:val="ListParagraph"/>
        <w:numPr>
          <w:ilvl w:val="0"/>
          <w:numId w:val="2"/>
        </w:numPr>
        <w:spacing w:after="60" w:line="276"/>
      </w:pPr>
      <w:r>
        <w:rPr>
          <w:rFonts w:ascii="Arial" w:cs="Arial" w:eastAsia="Arial" w:hAnsi="Arial"/>
          <w:sz w:val="22"/>
          <w:szCs w:val="22"/>
        </w:rPr>
        <w:t xml:space="preserve">Maximum rate limits that cannot be overridden without attending physician authentication.</w:t>
      </w:r>
    </w:p>
    <w:p>
      <w:pPr>
        <w:pStyle w:val="ListParagraph"/>
        <w:numPr>
          <w:ilvl w:val="0"/>
          <w:numId w:val="2"/>
        </w:numPr>
        <w:spacing w:after="60" w:line="276"/>
      </w:pPr>
      <w:r>
        <w:rPr>
          <w:rFonts w:ascii="Arial" w:cs="Arial" w:eastAsia="Arial" w:hAnsi="Arial"/>
          <w:sz w:val="22"/>
          <w:szCs w:val="22"/>
        </w:rPr>
        <w:t xml:space="preserve">Potassium concentration limits enforced (40 mEq/L peripheral, 80–100 mEq/L central with confirmation).</w:t>
      </w:r>
    </w:p>
    <w:p>
      <w:pPr>
        <w:pStyle w:val="ListParagraph"/>
        <w:numPr>
          <w:ilvl w:val="0"/>
          <w:numId w:val="2"/>
        </w:numPr>
        <w:spacing w:after="60" w:line="276"/>
      </w:pPr>
      <w:r>
        <w:rPr>
          <w:rFonts w:ascii="Arial" w:cs="Arial" w:eastAsia="Arial" w:hAnsi="Arial"/>
          <w:sz w:val="22"/>
          <w:szCs w:val="22"/>
        </w:rPr>
        <w:t xml:space="preserve">Osmolality calculation for compounded solutions (flag if &gt;900 mOsm/L for peripheral administration).</w:t>
      </w:r>
    </w:p>
    <w:p>
      <w:pPr>
        <w:pStyle w:val="ListParagraph"/>
        <w:numPr>
          <w:ilvl w:val="0"/>
          <w:numId w:val="2"/>
        </w:numPr>
        <w:spacing w:after="60" w:line="276"/>
      </w:pPr>
      <w:r>
        <w:rPr>
          <w:rFonts w:ascii="Arial" w:cs="Arial" w:eastAsia="Arial" w:hAnsi="Arial"/>
          <w:sz w:val="22"/>
          <w:szCs w:val="22"/>
        </w:rPr>
        <w:t xml:space="preserve">Drug-fluid compatibility checking (e.g., calcium and bicarbonate cannot be in same line, amphotericin B incompatible with NS).</w:t>
      </w:r>
    </w:p>
    <w:p>
      <w:pPr>
        <w:pStyle w:val="ListParagraph"/>
        <w:numPr>
          <w:ilvl w:val="0"/>
          <w:numId w:val="2"/>
        </w:numPr>
        <w:spacing w:after="60" w:line="276"/>
      </w:pPr>
      <w:r>
        <w:rPr>
          <w:rFonts w:ascii="Arial" w:cs="Arial" w:eastAsia="Arial" w:hAnsi="Arial"/>
          <w:sz w:val="22"/>
          <w:szCs w:val="22"/>
        </w:rPr>
        <w:t xml:space="preserve">Duplicate order detection.</w:t>
      </w:r>
    </w:p>
    <w:p>
      <w:pPr>
        <w:pStyle w:val="ListParagraph"/>
        <w:numPr>
          <w:ilvl w:val="0"/>
          <w:numId w:val="2"/>
        </w:numPr>
        <w:spacing w:after="60" w:line="276"/>
      </w:pPr>
      <w:r>
        <w:rPr>
          <w:rFonts w:ascii="Arial" w:cs="Arial" w:eastAsia="Arial" w:hAnsi="Arial"/>
          <w:sz w:val="22"/>
          <w:szCs w:val="22"/>
        </w:rPr>
        <w:t xml:space="preserve">Audit trail for all calculation inputs and outputs.</w:t>
      </w:r>
    </w:p>
    <w:p>
      <w:r>
        <w:br w:type="page"/>
      </w:r>
    </w:p>
    <w:p>
      <w:pPr>
        <w:pStyle w:val="Heading1"/>
      </w:pPr>
      <w:r>
        <w:t xml:space="preserve">13. Summary Quick-Reference Tables</w:t>
      </w:r>
    </w:p>
    <w:p>
      <w:pPr>
        <w:spacing w:after="80"/>
      </w:pPr>
    </w:p>
    <w:p>
      <w:pPr>
        <w:pStyle w:val="Heading2"/>
      </w:pPr>
      <w:r>
        <w:t xml:space="preserve">13.1 Master Fluid Rate Summary (mL/kg/day) — Baseline in Humidified Incubator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GA Category</w:t>
            </w:r>
          </w:p>
        </w:tc>
        <w:tc>
          <w:tcPr>
            <w:tcW w:type="dxa" w:w="117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0</w:t>
            </w:r>
          </w:p>
        </w:tc>
        <w:tc>
          <w:tcPr>
            <w:tcW w:type="dxa" w:w="117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1</w:t>
            </w:r>
          </w:p>
        </w:tc>
        <w:tc>
          <w:tcPr>
            <w:tcW w:type="dxa" w:w="117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2</w:t>
            </w:r>
          </w:p>
        </w:tc>
        <w:tc>
          <w:tcPr>
            <w:tcW w:type="dxa" w:w="117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3</w:t>
            </w:r>
          </w:p>
        </w:tc>
        <w:tc>
          <w:tcPr>
            <w:tcW w:type="dxa" w:w="117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4</w:t>
            </w:r>
          </w:p>
        </w:tc>
        <w:tc>
          <w:tcPr>
            <w:tcW w:type="dxa" w:w="117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5</w:t>
            </w:r>
          </w:p>
        </w:tc>
        <w:tc>
          <w:tcPr>
            <w:tcW w:type="dxa" w:w="117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DOL 6–7</w:t>
            </w:r>
          </w:p>
        </w:tc>
      </w:tr>
      <w:tr>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bCs/>
                <w:sz w:val="18"/>
                <w:szCs w:val="18"/>
              </w:rPr>
              <w:t xml:space="preserve">22–25 wk</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80–100</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100–120</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120–140</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130–150</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140–160</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140–160</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150–170</w:t>
            </w:r>
          </w:p>
        </w:tc>
      </w:tr>
      <w:tr>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26–27 wk</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70–90</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90–110</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110–130</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120–140</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130–150</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140–160</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140–160</w:t>
            </w:r>
          </w:p>
        </w:tc>
      </w:tr>
      <w:tr>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bCs/>
                <w:sz w:val="18"/>
                <w:szCs w:val="18"/>
              </w:rPr>
              <w:t xml:space="preserve">28–31 wk</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70–90</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80–100</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100–120</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120–140</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130–150</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140–160</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140–160</w:t>
            </w:r>
          </w:p>
        </w:tc>
      </w:tr>
      <w:tr>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32–33 wk</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60–80</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80–100</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100–120</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120–140</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130–150</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140–150</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140–160</w:t>
            </w:r>
          </w:p>
        </w:tc>
      </w:tr>
      <w:tr>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bCs/>
                <w:sz w:val="18"/>
                <w:szCs w:val="18"/>
              </w:rPr>
              <w:t xml:space="preserve">34–36 wk</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60–80</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80–100</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100–120</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120–140</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130–150</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Full feeds</w:t>
            </w:r>
          </w:p>
        </w:tc>
        <w:tc>
          <w:tcPr>
            <w:tcW w:type="dxa" w:w="117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Full feeds</w:t>
            </w:r>
          </w:p>
        </w:tc>
      </w:tr>
      <w:tr>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≥37 wk</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60–80</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80–100</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100–120</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120–140</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140–150</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140–150</w:t>
            </w:r>
          </w:p>
        </w:tc>
        <w:tc>
          <w:tcPr>
            <w:tcW w:type="dxa" w:w="117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140–160</w:t>
            </w:r>
          </w:p>
        </w:tc>
      </w:tr>
    </w:tbl>
    <w:p>
      <w:pPr>
        <w:spacing w:after="80"/>
      </w:pPr>
    </w:p>
    <w:p>
      <w:pPr>
        <w:pStyle w:val="Heading2"/>
      </w:pPr>
      <w:r>
        <w:t xml:space="preserve">13.2 Clinical Modifier Quick-Reference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Modifier</w:t>
            </w:r>
          </w:p>
        </w:tc>
        <w:tc>
          <w:tcPr>
            <w:tcW w:type="dxa" w:w="312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Adjustment</w:t>
            </w:r>
          </w:p>
        </w:tc>
        <w:tc>
          <w:tcPr>
            <w:tcW w:type="dxa" w:w="312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Direction</w:t>
            </w:r>
          </w:p>
        </w:tc>
      </w:tr>
      <w:tr>
        <w:tc>
          <w:tcPr>
            <w:tcW w:type="dxa" w:w="312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Radiant warmer</w:t>
            </w:r>
          </w:p>
        </w:tc>
        <w:tc>
          <w:tcPr>
            <w:tcW w:type="dxa" w:w="312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+20–40 mL/kg/day</w:t>
            </w:r>
          </w:p>
        </w:tc>
        <w:tc>
          <w:tcPr>
            <w:tcW w:type="dxa" w:w="312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 Increase TFI</w:t>
            </w:r>
          </w:p>
        </w:tc>
      </w:tr>
      <w:tr>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Phototherapy (standard)</w:t>
            </w:r>
          </w:p>
        </w:tc>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+10–20 mL/kg/day</w:t>
            </w:r>
          </w:p>
        </w:tc>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 Increase TFI</w:t>
            </w:r>
          </w:p>
        </w:tc>
      </w:tr>
      <w:tr>
        <w:tc>
          <w:tcPr>
            <w:tcW w:type="dxa" w:w="312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Phototherapy (intensive)</w:t>
            </w:r>
          </w:p>
        </w:tc>
        <w:tc>
          <w:tcPr>
            <w:tcW w:type="dxa" w:w="312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+20–30 mL/kg/day</w:t>
            </w:r>
          </w:p>
        </w:tc>
        <w:tc>
          <w:tcPr>
            <w:tcW w:type="dxa" w:w="312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 Increase TFI</w:t>
            </w:r>
          </w:p>
        </w:tc>
      </w:tr>
      <w:tr>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High humidity (≥80%)</w:t>
            </w:r>
          </w:p>
        </w:tc>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Reduce IWL 30–50%</w:t>
            </w:r>
          </w:p>
        </w:tc>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 Decrease TFI</w:t>
            </w:r>
          </w:p>
        </w:tc>
      </w:tr>
      <w:tr>
        <w:tc>
          <w:tcPr>
            <w:tcW w:type="dxa" w:w="312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Plastic wrap/barrier</w:t>
            </w:r>
          </w:p>
        </w:tc>
        <w:tc>
          <w:tcPr>
            <w:tcW w:type="dxa" w:w="312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Reduce IWL 20–30%</w:t>
            </w:r>
          </w:p>
        </w:tc>
        <w:tc>
          <w:tcPr>
            <w:tcW w:type="dxa" w:w="312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 Decrease TFI</w:t>
            </w:r>
          </w:p>
        </w:tc>
      </w:tr>
      <w:tr>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Mechanical ventilation (humidified)</w:t>
            </w:r>
          </w:p>
        </w:tc>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Respiratory IWL →0</w:t>
            </w:r>
          </w:p>
        </w:tc>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 Slight decrease</w:t>
            </w:r>
          </w:p>
        </w:tc>
      </w:tr>
      <w:tr>
        <w:tc>
          <w:tcPr>
            <w:tcW w:type="dxa" w:w="312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Therapeutic hypothermia</w:t>
            </w:r>
          </w:p>
        </w:tc>
        <w:tc>
          <w:tcPr>
            <w:tcW w:type="dxa" w:w="312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Restrict to 50–60 mL/kg/day</w:t>
            </w:r>
          </w:p>
        </w:tc>
        <w:tc>
          <w:tcPr>
            <w:tcW w:type="dxa" w:w="312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 Significant restriction</w:t>
            </w:r>
          </w:p>
        </w:tc>
      </w:tr>
      <w:tr>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PDA (hemodynamically significant)</w:t>
            </w:r>
          </w:p>
        </w:tc>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Cap at 120–130 mL/kg/day</w:t>
            </w:r>
          </w:p>
        </w:tc>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 Restrict</w:t>
            </w:r>
          </w:p>
        </w:tc>
      </w:tr>
      <w:tr>
        <w:tc>
          <w:tcPr>
            <w:tcW w:type="dxa" w:w="312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NEC (acute)</w:t>
            </w:r>
          </w:p>
        </w:tc>
        <w:tc>
          <w:tcPr>
            <w:tcW w:type="dxa" w:w="312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May need 150–200+ mL/kg/day</w:t>
            </w:r>
          </w:p>
        </w:tc>
        <w:tc>
          <w:tcPr>
            <w:tcW w:type="dxa" w:w="312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 Significant increase</w:t>
            </w:r>
          </w:p>
        </w:tc>
      </w:tr>
      <w:tr>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Gastroschisis (preop)</w:t>
            </w:r>
          </w:p>
        </w:tc>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150–250+ mL/kg/day</w:t>
            </w:r>
          </w:p>
        </w:tc>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 Massive increase</w:t>
            </w:r>
          </w:p>
        </w:tc>
      </w:tr>
      <w:tr>
        <w:tc>
          <w:tcPr>
            <w:tcW w:type="dxa" w:w="312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CDH</w:t>
            </w:r>
          </w:p>
        </w:tc>
        <w:tc>
          <w:tcPr>
            <w:tcW w:type="dxa" w:w="312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Restrict to 60–80 mL/kg/day</w:t>
            </w:r>
          </w:p>
        </w:tc>
        <w:tc>
          <w:tcPr>
            <w:tcW w:type="dxa" w:w="312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 Significant restriction</w:t>
            </w:r>
          </w:p>
        </w:tc>
      </w:tr>
      <w:tr>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Oliguric AKI</w:t>
            </w:r>
          </w:p>
        </w:tc>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IWL + UOP only</w:t>
            </w:r>
          </w:p>
        </w:tc>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 Significant restriction</w:t>
            </w:r>
          </w:p>
        </w:tc>
      </w:tr>
      <w:tr>
        <w:tc>
          <w:tcPr>
            <w:tcW w:type="dxa" w:w="312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Post-AKI polyuria</w:t>
            </w:r>
          </w:p>
        </w:tc>
        <w:tc>
          <w:tcPr>
            <w:tcW w:type="dxa" w:w="312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Replace UOP mL for mL</w:t>
            </w:r>
          </w:p>
        </w:tc>
        <w:tc>
          <w:tcPr>
            <w:tcW w:type="dxa" w:w="312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 Match output</w:t>
            </w:r>
          </w:p>
        </w:tc>
      </w:tr>
      <w:tr>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Sepsis (acute resuscitation)</w:t>
            </w:r>
          </w:p>
        </w:tc>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Bolus 10–20 mL/kg ×1–3</w:t>
            </w:r>
          </w:p>
        </w:tc>
        <w:tc>
          <w:tcPr>
            <w:tcW w:type="dxa" w:w="312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 Acute bolus</w:t>
            </w:r>
          </w:p>
        </w:tc>
      </w:tr>
      <w:tr>
        <w:tc>
          <w:tcPr>
            <w:tcW w:type="dxa" w:w="312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Fever (per °C &gt;37.5)</w:t>
            </w:r>
          </w:p>
        </w:tc>
        <w:tc>
          <w:tcPr>
            <w:tcW w:type="dxa" w:w="312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+7 mL/kg/day per °C</w:t>
            </w:r>
          </w:p>
        </w:tc>
        <w:tc>
          <w:tcPr>
            <w:tcW w:type="dxa" w:w="312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 Increase TFI</w:t>
            </w:r>
          </w:p>
        </w:tc>
      </w:tr>
    </w:tbl>
    <w:p>
      <w:pPr>
        <w:spacing w:after="80"/>
      </w:pPr>
    </w:p>
    <w:p>
      <w:pPr>
        <w:pStyle w:val="Heading2"/>
      </w:pPr>
      <w:r>
        <w:t xml:space="preserve">13.3 Electrolyte Reference Summary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Electrolyte</w:t>
            </w:r>
          </w:p>
        </w:tc>
        <w:tc>
          <w:tcPr>
            <w:tcW w:type="dxa" w:w="1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Start DOL</w:t>
            </w:r>
          </w:p>
        </w:tc>
        <w:tc>
          <w:tcPr>
            <w:tcW w:type="dxa" w:w="1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Maintenance</w:t>
            </w:r>
          </w:p>
        </w:tc>
        <w:tc>
          <w:tcPr>
            <w:tcW w:type="dxa" w:w="1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 Alert</w:t>
            </w:r>
          </w:p>
        </w:tc>
        <w:tc>
          <w:tcPr>
            <w:tcW w:type="dxa" w:w="1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 Alert</w:t>
            </w:r>
          </w:p>
        </w:tc>
        <w:tc>
          <w:tcPr>
            <w:tcW w:type="dxa" w:w="1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Critical</w:t>
            </w:r>
          </w:p>
        </w:tc>
      </w:tr>
      <w:tr>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bCs/>
                <w:sz w:val="18"/>
                <w:szCs w:val="18"/>
              </w:rPr>
              <w:t xml:space="preserve">Na+</w:t>
            </w:r>
          </w:p>
        </w:tc>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DOL 1–2</w:t>
            </w:r>
          </w:p>
        </w:tc>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2–5 mEq/kg/d</w:t>
            </w:r>
          </w:p>
        </w:tc>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&lt;130</w:t>
            </w:r>
          </w:p>
        </w:tc>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&gt;150</w:t>
            </w:r>
          </w:p>
        </w:tc>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&lt;125 or &gt;155</w:t>
            </w:r>
          </w:p>
        </w:tc>
      </w:tr>
      <w:tr>
        <w:tc>
          <w:tcPr>
            <w:tcW w:type="dxa" w:w="1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K+</w:t>
            </w:r>
          </w:p>
        </w:tc>
        <w:tc>
          <w:tcPr>
            <w:tcW w:type="dxa" w:w="1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DOL 2–3*</w:t>
            </w:r>
          </w:p>
        </w:tc>
        <w:tc>
          <w:tcPr>
            <w:tcW w:type="dxa" w:w="1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1–3 mEq/kg/d</w:t>
            </w:r>
          </w:p>
        </w:tc>
        <w:tc>
          <w:tcPr>
            <w:tcW w:type="dxa" w:w="1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&lt;3.0</w:t>
            </w:r>
          </w:p>
        </w:tc>
        <w:tc>
          <w:tcPr>
            <w:tcW w:type="dxa" w:w="1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&gt;5.5</w:t>
            </w:r>
          </w:p>
        </w:tc>
        <w:tc>
          <w:tcPr>
            <w:tcW w:type="dxa" w:w="1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&lt;2.5 or &gt;6.5</w:t>
            </w:r>
          </w:p>
        </w:tc>
      </w:tr>
      <w:tr>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bCs/>
                <w:sz w:val="18"/>
                <w:szCs w:val="18"/>
              </w:rPr>
              <w:t xml:space="preserve">Ca++ (iCa)</w:t>
            </w:r>
          </w:p>
        </w:tc>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DOL 0</w:t>
            </w:r>
          </w:p>
        </w:tc>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200–400 mg/kg/d CaGluc</w:t>
            </w:r>
          </w:p>
        </w:tc>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&lt;1.0 mmol/L</w:t>
            </w:r>
          </w:p>
        </w:tc>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&gt;1.5 mmol/L</w:t>
            </w:r>
          </w:p>
        </w:tc>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&lt;0.8 mmol/L</w:t>
            </w:r>
          </w:p>
        </w:tc>
      </w:tr>
      <w:tr>
        <w:tc>
          <w:tcPr>
            <w:tcW w:type="dxa" w:w="1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Phos</w:t>
            </w:r>
          </w:p>
        </w:tc>
        <w:tc>
          <w:tcPr>
            <w:tcW w:type="dxa" w:w="1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DOL 2–3</w:t>
            </w:r>
          </w:p>
        </w:tc>
        <w:tc>
          <w:tcPr>
            <w:tcW w:type="dxa" w:w="1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1–2 mmol/kg/d</w:t>
            </w:r>
          </w:p>
        </w:tc>
        <w:tc>
          <w:tcPr>
            <w:tcW w:type="dxa" w:w="1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&lt;4.0 mg/dL</w:t>
            </w:r>
          </w:p>
        </w:tc>
        <w:tc>
          <w:tcPr>
            <w:tcW w:type="dxa" w:w="1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&gt;8.0 mg/dL</w:t>
            </w:r>
          </w:p>
        </w:tc>
        <w:tc>
          <w:tcPr>
            <w:tcW w:type="dxa" w:w="1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&lt;2.5 mg/dL</w:t>
            </w:r>
          </w:p>
        </w:tc>
      </w:tr>
      <w:tr>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bCs/>
                <w:sz w:val="18"/>
                <w:szCs w:val="18"/>
              </w:rPr>
              <w:t xml:space="preserve">Mg++</w:t>
            </w:r>
          </w:p>
        </w:tc>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DOL 2–3</w:t>
            </w:r>
          </w:p>
        </w:tc>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0.25–0.5 mEq/kg/d</w:t>
            </w:r>
          </w:p>
        </w:tc>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&lt;1.5 mg/dL</w:t>
            </w:r>
          </w:p>
        </w:tc>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&gt;3.0 mg/dL</w:t>
            </w:r>
          </w:p>
        </w:tc>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&lt;1.0 mg/dL</w:t>
            </w:r>
          </w:p>
        </w:tc>
      </w:tr>
    </w:tbl>
    <w:p>
      <w:pPr>
        <w:spacing w:after="120" w:line="276"/>
      </w:pPr>
      <w:r>
        <w:rPr>
          <w:rFonts w:ascii="Arial" w:cs="Arial" w:eastAsia="Arial" w:hAnsi="Arial"/>
          <w:sz w:val="22"/>
          <w:szCs w:val="22"/>
        </w:rPr>
        <w:t xml:space="preserve">* K+ initiation requires confirmed urine output and serum K+ &lt;5.5 mEq/L.</w:t>
      </w:r>
    </w:p>
    <w:p>
      <w:pPr>
        <w:spacing w:after="80"/>
      </w:pPr>
    </w:p>
    <w:p>
      <w:pPr>
        <w:pStyle w:val="Heading2"/>
      </w:pPr>
      <w:r>
        <w:t xml:space="preserve">13.4 GIR Quick-Reference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Dextrose %</w:t>
            </w:r>
          </w:p>
        </w:tc>
        <w:tc>
          <w:tcPr>
            <w:tcW w:type="dxa" w:w="1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60 mL/kg/d</w:t>
            </w:r>
          </w:p>
        </w:tc>
        <w:tc>
          <w:tcPr>
            <w:tcW w:type="dxa" w:w="1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80 mL/kg/d</w:t>
            </w:r>
          </w:p>
        </w:tc>
        <w:tc>
          <w:tcPr>
            <w:tcW w:type="dxa" w:w="1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100 mL/kg/d</w:t>
            </w:r>
          </w:p>
        </w:tc>
        <w:tc>
          <w:tcPr>
            <w:tcW w:type="dxa" w:w="1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120 mL/kg/d</w:t>
            </w:r>
          </w:p>
        </w:tc>
        <w:tc>
          <w:tcPr>
            <w:tcW w:type="dxa" w:w="1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150 mL/kg/d</w:t>
            </w:r>
          </w:p>
        </w:tc>
      </w:tr>
      <w:tr>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bCs/>
                <w:sz w:val="18"/>
                <w:szCs w:val="18"/>
              </w:rPr>
              <w:t xml:space="preserve">D5W</w:t>
            </w:r>
          </w:p>
        </w:tc>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2.1</w:t>
            </w:r>
          </w:p>
        </w:tc>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2.8</w:t>
            </w:r>
          </w:p>
        </w:tc>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3.5</w:t>
            </w:r>
          </w:p>
        </w:tc>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4.2</w:t>
            </w:r>
          </w:p>
        </w:tc>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5.2</w:t>
            </w:r>
          </w:p>
        </w:tc>
      </w:tr>
      <w:tr>
        <w:tc>
          <w:tcPr>
            <w:tcW w:type="dxa" w:w="1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D7.5W</w:t>
            </w:r>
          </w:p>
        </w:tc>
        <w:tc>
          <w:tcPr>
            <w:tcW w:type="dxa" w:w="1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3.1</w:t>
            </w:r>
          </w:p>
        </w:tc>
        <w:tc>
          <w:tcPr>
            <w:tcW w:type="dxa" w:w="1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4.2</w:t>
            </w:r>
          </w:p>
        </w:tc>
        <w:tc>
          <w:tcPr>
            <w:tcW w:type="dxa" w:w="1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5.2</w:t>
            </w:r>
          </w:p>
        </w:tc>
        <w:tc>
          <w:tcPr>
            <w:tcW w:type="dxa" w:w="1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6.3</w:t>
            </w:r>
          </w:p>
        </w:tc>
        <w:tc>
          <w:tcPr>
            <w:tcW w:type="dxa" w:w="1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7.8</w:t>
            </w:r>
          </w:p>
        </w:tc>
      </w:tr>
      <w:tr>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bCs/>
                <w:sz w:val="18"/>
                <w:szCs w:val="18"/>
              </w:rPr>
              <w:t xml:space="preserve">D10W</w:t>
            </w:r>
          </w:p>
        </w:tc>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4.2</w:t>
            </w:r>
          </w:p>
        </w:tc>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5.6</w:t>
            </w:r>
          </w:p>
        </w:tc>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6.9</w:t>
            </w:r>
          </w:p>
        </w:tc>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8.3</w:t>
            </w:r>
          </w:p>
        </w:tc>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10.4</w:t>
            </w:r>
          </w:p>
        </w:tc>
      </w:tr>
      <w:tr>
        <w:tc>
          <w:tcPr>
            <w:tcW w:type="dxa" w:w="1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D12.5W</w:t>
            </w:r>
          </w:p>
        </w:tc>
        <w:tc>
          <w:tcPr>
            <w:tcW w:type="dxa" w:w="1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5.2</w:t>
            </w:r>
          </w:p>
        </w:tc>
        <w:tc>
          <w:tcPr>
            <w:tcW w:type="dxa" w:w="1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6.9</w:t>
            </w:r>
          </w:p>
        </w:tc>
        <w:tc>
          <w:tcPr>
            <w:tcW w:type="dxa" w:w="1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8.7</w:t>
            </w:r>
          </w:p>
        </w:tc>
        <w:tc>
          <w:tcPr>
            <w:tcW w:type="dxa" w:w="1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10.4</w:t>
            </w:r>
          </w:p>
        </w:tc>
        <w:tc>
          <w:tcPr>
            <w:tcW w:type="dxa" w:w="1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13.0</w:t>
            </w:r>
          </w:p>
        </w:tc>
      </w:tr>
      <w:tr>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left"/>
            </w:pPr>
            <w:r>
              <w:rPr>
                <w:rFonts w:ascii="Arial" w:cs="Arial" w:eastAsia="Arial" w:hAnsi="Arial"/>
                <w:b/>
                <w:bCs/>
                <w:sz w:val="18"/>
                <w:szCs w:val="18"/>
              </w:rPr>
              <w:t xml:space="preserve">D15W</w:t>
            </w:r>
          </w:p>
        </w:tc>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6.3</w:t>
            </w:r>
          </w:p>
        </w:tc>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8.3</w:t>
            </w:r>
          </w:p>
        </w:tc>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10.4</w:t>
            </w:r>
          </w:p>
        </w:tc>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12.5</w:t>
            </w:r>
          </w:p>
        </w:tc>
        <w:tc>
          <w:tcPr>
            <w:tcW w:type="dxa" w:w="1560"/>
            <w:tcBorders>
              <w:top w:val="single" w:color="999999" w:sz="1"/>
              <w:left w:val="single" w:color="999999" w:sz="1"/>
              <w:bottom w:val="single" w:color="999999" w:sz="1"/>
              <w:right w:val="single" w:color="999999" w:sz="1"/>
            </w:tcBorders>
            <w:shd w:fill="E8F0FE"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15.6</w:t>
            </w:r>
          </w:p>
        </w:tc>
      </w:tr>
      <w:tr>
        <w:tc>
          <w:tcPr>
            <w:tcW w:type="dxa" w:w="1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D20W</w:t>
            </w:r>
          </w:p>
        </w:tc>
        <w:tc>
          <w:tcPr>
            <w:tcW w:type="dxa" w:w="1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8.3</w:t>
            </w:r>
          </w:p>
        </w:tc>
        <w:tc>
          <w:tcPr>
            <w:tcW w:type="dxa" w:w="1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11.1</w:t>
            </w:r>
          </w:p>
        </w:tc>
        <w:tc>
          <w:tcPr>
            <w:tcW w:type="dxa" w:w="1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13.9</w:t>
            </w:r>
          </w:p>
        </w:tc>
        <w:tc>
          <w:tcPr>
            <w:tcW w:type="dxa" w:w="1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16.7</w:t>
            </w:r>
          </w:p>
        </w:tc>
        <w:tc>
          <w:tcPr>
            <w:tcW w:type="dxa" w:w="1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20.8</w:t>
            </w:r>
          </w:p>
        </w:tc>
      </w:tr>
    </w:tbl>
    <w:p>
      <w:pPr>
        <w:spacing w:after="120" w:line="276"/>
      </w:pPr>
      <w:r>
        <w:rPr>
          <w:rFonts w:ascii="Arial" w:cs="Arial" w:eastAsia="Arial" w:hAnsi="Arial"/>
          <w:sz w:val="22"/>
          <w:szCs w:val="22"/>
        </w:rPr>
        <w:t xml:space="preserve">Values in mg/kg/min. Formula: GIR = (Dextrose% × Rate mL/kg/day) / 144. Shaded cells represent commonly used combinations.</w:t>
      </w:r>
    </w:p>
    <w:p>
      <w:r>
        <w:br w:type="page"/>
      </w:r>
    </w:p>
    <w:p>
      <w:pPr>
        <w:pStyle w:val="Heading1"/>
      </w:pPr>
      <w:r>
        <w:t xml:space="preserve">14. References and Evidence Base</w:t>
      </w:r>
    </w:p>
    <w:p>
      <w:pPr>
        <w:spacing w:after="80"/>
      </w:pPr>
    </w:p>
    <w:p>
      <w:pPr>
        <w:spacing w:after="120" w:line="276"/>
      </w:pPr>
      <w:r>
        <w:rPr>
          <w:rFonts w:ascii="Arial" w:cs="Arial" w:eastAsia="Arial" w:hAnsi="Arial"/>
          <w:sz w:val="22"/>
          <w:szCs w:val="22"/>
        </w:rPr>
        <w:t xml:space="preserve">This analysis draws from the following key references in neonatal fluid management. All references are USA-based sources:</w:t>
      </w:r>
    </w:p>
    <w:p>
      <w:pPr>
        <w:spacing w:after="80"/>
      </w:pPr>
    </w:p>
    <w:p>
      <w:pPr>
        <w:pStyle w:val="ListParagraph"/>
        <w:numPr>
          <w:ilvl w:val="0"/>
          <w:numId w:val="3"/>
        </w:numPr>
        <w:spacing w:after="60" w:line="276"/>
      </w:pPr>
      <w:r>
        <w:rPr>
          <w:rFonts w:ascii="Arial" w:cs="Arial" w:eastAsia="Arial" w:hAnsi="Arial"/>
          <w:sz w:val="22"/>
          <w:szCs w:val="22"/>
        </w:rPr>
        <w:t xml:space="preserve">Fanaroff and Martin’s Neonatal-Perinatal Medicine: Diseases of the Fetus and Infant. 12th Edition. Elsevier, 2024.</w:t>
      </w:r>
    </w:p>
    <w:p>
      <w:pPr>
        <w:pStyle w:val="ListParagraph"/>
        <w:numPr>
          <w:ilvl w:val="0"/>
          <w:numId w:val="3"/>
        </w:numPr>
        <w:spacing w:after="60" w:line="276"/>
      </w:pPr>
      <w:r>
        <w:rPr>
          <w:rFonts w:ascii="Arial" w:cs="Arial" w:eastAsia="Arial" w:hAnsi="Arial"/>
          <w:sz w:val="22"/>
          <w:szCs w:val="22"/>
        </w:rPr>
        <w:t xml:space="preserve">Cloherty and Stark’s Manual of Neonatal Care. 9th Edition. Wolters Kluwer, 2023.</w:t>
      </w:r>
    </w:p>
    <w:p>
      <w:pPr>
        <w:pStyle w:val="ListParagraph"/>
        <w:numPr>
          <w:ilvl w:val="0"/>
          <w:numId w:val="3"/>
        </w:numPr>
        <w:spacing w:after="60" w:line="276"/>
      </w:pPr>
      <w:r>
        <w:rPr>
          <w:rFonts w:ascii="Arial" w:cs="Arial" w:eastAsia="Arial" w:hAnsi="Arial"/>
          <w:sz w:val="22"/>
          <w:szCs w:val="22"/>
        </w:rPr>
        <w:t xml:space="preserve">Gomella TL, et al. Gomella’s Neonatology: Management, Procedures, On-Call Problems, Diseases, and Drugs. 8th Edition. McGraw-Hill, 2020.</w:t>
      </w:r>
    </w:p>
    <w:p>
      <w:pPr>
        <w:pStyle w:val="ListParagraph"/>
        <w:numPr>
          <w:ilvl w:val="0"/>
          <w:numId w:val="3"/>
        </w:numPr>
        <w:spacing w:after="60" w:line="276"/>
      </w:pPr>
      <w:r>
        <w:rPr>
          <w:rFonts w:ascii="Arial" w:cs="Arial" w:eastAsia="Arial" w:hAnsi="Arial"/>
          <w:sz w:val="22"/>
          <w:szCs w:val="22"/>
        </w:rPr>
        <w:t xml:space="preserve">American Academy of Pediatrics (AAP). Guidelines for Perinatal Care. 8th Edition. AAP/ACOG, 2017.</w:t>
      </w:r>
    </w:p>
    <w:p>
      <w:pPr>
        <w:pStyle w:val="ListParagraph"/>
        <w:numPr>
          <w:ilvl w:val="0"/>
          <w:numId w:val="3"/>
        </w:numPr>
        <w:spacing w:after="60" w:line="276"/>
      </w:pPr>
      <w:r>
        <w:rPr>
          <w:rFonts w:ascii="Arial" w:cs="Arial" w:eastAsia="Arial" w:hAnsi="Arial"/>
          <w:sz w:val="22"/>
          <w:szCs w:val="22"/>
        </w:rPr>
        <w:t xml:space="preserve">AAP Committee on Fetus and Newborn. Postnatal Glucose Homeostasis in Late-Preterm and Term Infants. Pediatrics. 2011;127(3):575–579.</w:t>
      </w:r>
    </w:p>
    <w:p>
      <w:pPr>
        <w:pStyle w:val="ListParagraph"/>
        <w:numPr>
          <w:ilvl w:val="0"/>
          <w:numId w:val="3"/>
        </w:numPr>
        <w:spacing w:after="60" w:line="276"/>
      </w:pPr>
      <w:r>
        <w:rPr>
          <w:rFonts w:ascii="Arial" w:cs="Arial" w:eastAsia="Arial" w:hAnsi="Arial"/>
          <w:sz w:val="22"/>
          <w:szCs w:val="22"/>
        </w:rPr>
        <w:t xml:space="preserve">Bell EF, Acarregui MJ. Restricted versus liberal water intake for preventing morbidity and mortality in preterm infants. Cochrane Database Syst Rev. 2014;(12):CD000503.</w:t>
      </w:r>
    </w:p>
    <w:p>
      <w:pPr>
        <w:pStyle w:val="ListParagraph"/>
        <w:numPr>
          <w:ilvl w:val="0"/>
          <w:numId w:val="3"/>
        </w:numPr>
        <w:spacing w:after="60" w:line="276"/>
      </w:pPr>
      <w:r>
        <w:rPr>
          <w:rFonts w:ascii="Arial" w:cs="Arial" w:eastAsia="Arial" w:hAnsi="Arial"/>
          <w:sz w:val="22"/>
          <w:szCs w:val="22"/>
        </w:rPr>
        <w:t xml:space="preserve">Oh W, Poindexter BB, Perritt R, et al. Association between fluid intake and weight loss during the first ten days of life and risk of bronchopulmonary dysplasia in extremely low birth weight infants. J Pediatr. 2005;147(6):786–790.</w:t>
      </w:r>
    </w:p>
    <w:p>
      <w:pPr>
        <w:pStyle w:val="ListParagraph"/>
        <w:numPr>
          <w:ilvl w:val="0"/>
          <w:numId w:val="3"/>
        </w:numPr>
        <w:spacing w:after="60" w:line="276"/>
      </w:pPr>
      <w:r>
        <w:rPr>
          <w:rFonts w:ascii="Arial" w:cs="Arial" w:eastAsia="Arial" w:hAnsi="Arial"/>
          <w:sz w:val="22"/>
          <w:szCs w:val="22"/>
        </w:rPr>
        <w:t xml:space="preserve">Bhatia J. Fluid and electrolyte management in the very low birth weight neonate. J Perinatol. 2006;26 Suppl 1:S19–S21.</w:t>
      </w:r>
    </w:p>
    <w:p>
      <w:pPr>
        <w:pStyle w:val="ListParagraph"/>
        <w:numPr>
          <w:ilvl w:val="0"/>
          <w:numId w:val="3"/>
        </w:numPr>
        <w:spacing w:after="60" w:line="276"/>
      </w:pPr>
      <w:r>
        <w:rPr>
          <w:rFonts w:ascii="Arial" w:cs="Arial" w:eastAsia="Arial" w:hAnsi="Arial"/>
          <w:sz w:val="22"/>
          <w:szCs w:val="22"/>
        </w:rPr>
        <w:t xml:space="preserve">Fenton TR, Kim JH. A systematic review and meta-analysis to revise the Fenton growth chart for preterm infants. BMC Pediatr. 2013;13:59.</w:t>
      </w:r>
    </w:p>
    <w:p>
      <w:pPr>
        <w:pStyle w:val="ListParagraph"/>
        <w:numPr>
          <w:ilvl w:val="0"/>
          <w:numId w:val="3"/>
        </w:numPr>
        <w:spacing w:after="60" w:line="276"/>
      </w:pPr>
      <w:r>
        <w:rPr>
          <w:rFonts w:ascii="Arial" w:cs="Arial" w:eastAsia="Arial" w:hAnsi="Arial"/>
          <w:sz w:val="22"/>
          <w:szCs w:val="22"/>
        </w:rPr>
        <w:t xml:space="preserve">Sarkar S, Barks JD. Systemic complications and hypothermia therapy of neonatal encephalopathy. Semin Fetal Neonatal Med. 2021;26(4):101267.</w:t>
      </w:r>
    </w:p>
    <w:p>
      <w:pPr>
        <w:spacing w:after="80"/>
      </w:pPr>
    </w:p>
    <w:p>
      <w:pPr>
        <w:spacing w:after="120" w:line="276"/>
      </w:pPr>
      <w:r>
        <w:rPr>
          <w:rFonts w:ascii="Arial" w:cs="Arial" w:eastAsia="Arial" w:hAnsi="Arial"/>
          <w:sz w:val="22"/>
          <w:szCs w:val="22"/>
        </w:rPr>
        <w:t xml:space="preserve">This document represents a synthesis of published evidence, institutional protocols, and expert consensus for the design of a neonatal IVF calculator. Individual institutional protocols may vary, and clinical judgment should always supersede calculator recommendations.</w:t>
      </w:r>
    </w:p>
    <w:sectPr>
      <w:headerReference w:type="default" r:id="rId7"/>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Neonatal IVF Calculator — Component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2026-03-06T04:46:21.288Z</dcterms:created>
  <dcterms:modified xsi:type="dcterms:W3CDTF">2026-03-06T04:46:21.290Z</dcterms:modified>
</cp:coreProperties>
</file>

<file path=docProps/custom.xml><?xml version="1.0" encoding="utf-8"?>
<Properties xmlns="http://schemas.openxmlformats.org/officeDocument/2006/custom-properties" xmlns:vt="http://schemas.openxmlformats.org/officeDocument/2006/docPropsVTypes"/>
</file>