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E79"/>
          <w:sz w:val="48"/>
          <w:szCs w:val="48"/>
        </w:rPr>
        <w:t xml:space="preserve">SYSTEMATIC ANALYSIS</w:t>
      </w:r>
    </w:p>
    <w:p>
      <w:pPr>
        <w:spacing w:after="200"/>
        <w:jc w:val="center"/>
      </w:pPr>
      <w:r>
        <w:rPr>
          <w:rFonts w:ascii="Arial" w:cs="Arial" w:eastAsia="Arial" w:hAnsi="Arial"/>
          <w:color w:val="2E75B6"/>
          <w:sz w:val="40"/>
          <w:szCs w:val="40"/>
        </w:rPr>
        <w:t xml:space="preserve">Neonatal &amp; Pediatric Growth Charts</w:t>
      </w:r>
    </w:p>
    <w:p>
      <w:pPr>
        <w:spacing w:after="200"/>
        <w:jc w:val="center"/>
      </w:pPr>
      <w:r>
        <w:rPr>
          <w:rFonts w:ascii="Arial" w:cs="Arial" w:eastAsia="Arial" w:hAnsi="Arial"/>
          <w:color w:val="555555"/>
          <w:sz w:val="24"/>
          <w:szCs w:val="24"/>
        </w:rPr>
        <w:t xml:space="preserve">General Population Standards, Condition-Specific Charts,</w:t>
      </w:r>
    </w:p>
    <w:p>
      <w:pPr>
        <w:spacing w:after="400"/>
        <w:jc w:val="center"/>
      </w:pPr>
      <w:r>
        <w:rPr>
          <w:rFonts w:ascii="Arial" w:cs="Arial" w:eastAsia="Arial" w:hAnsi="Arial"/>
          <w:color w:val="555555"/>
          <w:sz w:val="24"/>
          <w:szCs w:val="24"/>
        </w:rPr>
        <w:t xml:space="preserve">&amp; Statistical Methods for Chart Construction</w:t>
      </w:r>
    </w:p>
    <w:p>
      <w:pPr>
        <w:spacing w:after="200"/>
        <w:jc w:val="center"/>
      </w:pPr>
      <w:r>
        <w:rPr>
          <w:rFonts w:ascii="Arial" w:cs="Arial" w:eastAsia="Arial" w:hAnsi="Arial"/>
          <w:i/>
          <w:iCs/>
          <w:color w:val="777777"/>
          <w:sz w:val="22"/>
          <w:szCs w:val="22"/>
        </w:rPr>
        <w:t xml:space="preserve">PubMed Literature Review &amp; Methodological Guide</w:t>
      </w:r>
    </w:p>
    <w:p>
      <w:pPr>
        <w:spacing w:after="100"/>
        <w:jc w:val="center"/>
      </w:pPr>
      <w:r>
        <w:rPr>
          <w:rFonts w:ascii="Arial" w:cs="Arial" w:eastAsia="Arial" w:hAnsi="Arial"/>
          <w:color w:val="777777"/>
          <w:sz w:val="22"/>
          <w:szCs w:val="22"/>
        </w:rPr>
        <w:t xml:space="preserve">March 2026</w:t>
      </w:r>
    </w:p>
    <w:p>
      <w:r>
        <w:br w:type="page"/>
      </w:r>
    </w:p>
    <w:p>
      <w:pPr>
        <w:pStyle w:val="Heading1"/>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4E79"/>
          <w:sz w:val="32"/>
          <w:szCs w:val="32"/>
        </w:rPr>
        <w:t xml:space="preserve">1. Introduction &amp; Scope</w:t>
      </w:r>
    </w:p>
    <w:p>
      <w:pPr>
        <w:spacing w:after="120"/>
      </w:pPr>
      <w:r>
        <w:rPr>
          <w:rFonts w:ascii="Arial" w:cs="Arial" w:eastAsia="Arial" w:hAnsi="Arial"/>
          <w:sz w:val="22"/>
          <w:szCs w:val="22"/>
        </w:rPr>
        <w:t xml:space="preserve">Growth monitoring is a foundational practice in neonatal and pediatric medicine. Growth charts serve as clinical decision-support tools that translate anthropometric measurements into age- and sex-specific percentiles or z-scores, enabling clinicians to identify growth disorders, nutritional deficiencies, and disease progression. This document provides a systematic analysis of all major neonatal and pediatric growth chart systems currently in use, catalogues condition-specific growth charts for genetic syndromes and chronic diseases, and provides a detailed technical guide for reconstructing growth charts using modern statistical methods.</w:t>
      </w:r>
    </w:p>
    <w:p>
      <w:pPr>
        <w:spacing w:after="120"/>
      </w:pPr>
      <w:r>
        <w:rPr>
          <w:rFonts w:ascii="Arial" w:cs="Arial" w:eastAsia="Arial" w:hAnsi="Arial"/>
          <w:sz w:val="22"/>
          <w:szCs w:val="22"/>
        </w:rPr>
        <w:t xml:space="preserve">The scope of this analysis encompasses three broad domains. First, general population growth standards and references, including the WHO Child Growth Standards (2006), the CDC 2000 Growth Charts, the Fenton Preterm Growth Charts (2003, revised 2013), the INTERGROWTH-21st Project standards, and various national/regional growth references. Second, condition-specific growth charts designed for populations with genetic syndromes (Down syndrome, Turner syndrome, Noonan syndrome, achondroplasia, Prader-Willi syndrome, Williams-Beuren syndrome, Cornelia de Lange syndrome) and chronic diseases (cerebral palsy, sickle cell disease, congenital heart disease). Third, statistical methodology for growth chart construction, including the Lambda-Mu-Sigma (LMS) method, Generalized Additive Models for Location, Scale, and Shape (GAMLSS), quantile regression approaches, and practical software implementation guides.</w:t>
      </w:r>
    </w:p>
    <w:p>
      <w:pPr>
        <w:spacing w:after="120"/>
      </w:pPr>
      <w:r>
        <w:rPr>
          <w:rFonts w:ascii="Arial" w:cs="Arial" w:eastAsia="Arial" w:hAnsi="Arial"/>
          <w:sz w:val="22"/>
          <w:szCs w:val="22"/>
        </w:rPr>
        <w:t xml:space="preserve">All references in this document are drawn from PubMed-indexed literature and supplemented with technical documentation from the R statistical computing environment. This analysis prioritizes U.S.-based sources for clinical application guidance while providing international context for methodological comparison.</w:t>
      </w:r>
    </w:p>
    <w:p>
      <w:r>
        <w:br w:type="page"/>
      </w:r>
    </w:p>
    <w:p>
      <w:pPr>
        <w:pStyle w:val="Heading1"/>
      </w:pPr>
      <w:r>
        <w:rPr>
          <w:rFonts w:ascii="Arial" w:cs="Arial" w:eastAsia="Arial" w:hAnsi="Arial"/>
          <w:b/>
          <w:bCs/>
          <w:color w:val="1F4E79"/>
          <w:sz w:val="32"/>
          <w:szCs w:val="32"/>
        </w:rPr>
        <w:t xml:space="preserve">2. General Population Growth Standards &amp; References</w:t>
      </w:r>
    </w:p>
    <w:p>
      <w:pPr>
        <w:pStyle w:val="Heading2"/>
      </w:pPr>
      <w:r>
        <w:rPr>
          <w:rFonts w:ascii="Arial" w:cs="Arial" w:eastAsia="Arial" w:hAnsi="Arial"/>
          <w:b/>
          <w:bCs/>
          <w:color w:val="2E75B6"/>
          <w:sz w:val="26"/>
          <w:szCs w:val="26"/>
        </w:rPr>
        <w:t xml:space="preserve">2.1 WHO Child Growth Standards (2006)</w:t>
      </w:r>
    </w:p>
    <w:p>
      <w:pPr>
        <w:spacing w:after="120"/>
      </w:pPr>
      <w:r>
        <w:rPr>
          <w:rFonts w:ascii="Arial" w:cs="Arial" w:eastAsia="Arial" w:hAnsi="Arial"/>
          <w:sz w:val="22"/>
          <w:szCs w:val="22"/>
        </w:rPr>
        <w:t xml:space="preserve">The World Health Organization Child Growth Standards, released in 2006, represent a prescriptive standard describing how children should grow under optimal environmental conditions, rather than merely describing how they do grow. The standards were derived from the WHO Multicentre Growth Reference Study (MGRS), which collected data from healthy breastfed infants and young children in six countries (Brazil, Ghana, India, Norway, Oman, and the United States) between 1997 and 2003.</w:t>
      </w:r>
    </w:p>
    <w:p>
      <w:pPr>
        <w:spacing w:after="120"/>
      </w:pPr>
      <w:r>
        <w:rPr>
          <w:rFonts w:ascii="Arial" w:cs="Arial" w:eastAsia="Arial" w:hAnsi="Arial"/>
          <w:b/>
          <w:bCs/>
          <w:sz w:val="22"/>
          <w:szCs w:val="22"/>
        </w:rPr>
        <w:t xml:space="preserve">Study Design: </w:t>
      </w:r>
      <w:r>
        <w:rPr>
          <w:rFonts w:ascii="Arial" w:cs="Arial" w:eastAsia="Arial" w:hAnsi="Arial"/>
          <w:sz w:val="22"/>
          <w:szCs w:val="22"/>
        </w:rPr>
        <w:t xml:space="preserve">The MGRS enrolled children from populations where socioeconomic conditions were favorable to growth, mothers followed WHO feeding recommendations (exclusive breastfeeding for 4 months with continued breastfeeding through 12 months), and environmental constraints on growth were minimal. The longitudinal component followed 882 children from birth to 24 months, while a cross-sectional component enrolled approximately 6,669 children aged 18–71 months.</w:t>
      </w:r>
    </w:p>
    <w:p>
      <w:pPr>
        <w:spacing w:after="120"/>
      </w:pPr>
      <w:r>
        <w:rPr>
          <w:rFonts w:ascii="Arial" w:cs="Arial" w:eastAsia="Arial" w:hAnsi="Arial"/>
          <w:b/>
          <w:bCs/>
          <w:sz w:val="22"/>
          <w:szCs w:val="22"/>
        </w:rPr>
        <w:t xml:space="preserve">Statistical Methodology: </w:t>
      </w:r>
      <w:r>
        <w:rPr>
          <w:rFonts w:ascii="Arial" w:cs="Arial" w:eastAsia="Arial" w:hAnsi="Arial"/>
          <w:sz w:val="22"/>
          <w:szCs w:val="22"/>
        </w:rPr>
        <w:t xml:space="preserve">Construction of the WHO standards employed the Box-Cox Power Exponential (BCPE) distribution method with curve smoothing by cubic splines, as described by Borghi et al. (2006). The BCPE accommodates various distribution shapes including normal, skewed, and kurtotic distributions. For each indicator, the group systematically evaluated five candidate distributions (Normal, Box-Cox Cole-Green [BCCG], Box-Cox power exponential [BCPE], Box-Cox t [BCT], and Johnson SU) combined with two smoothing techniques (cubic splines and fractional polynomials). The selection process involved a two-stage methodology: first eliminating distributions with poor goodness-of-fit, then fully testing remaining candidates.</w:t>
      </w:r>
    </w:p>
    <w:p>
      <w:pPr>
        <w:spacing w:after="120"/>
      </w:pPr>
      <w:r>
        <w:rPr>
          <w:rFonts w:ascii="Arial" w:cs="Arial" w:eastAsia="Arial" w:hAnsi="Arial"/>
          <w:b/>
          <w:bCs/>
          <w:sz w:val="22"/>
          <w:szCs w:val="22"/>
        </w:rPr>
        <w:t xml:space="preserve">Available Charts: </w:t>
      </w:r>
      <w:r>
        <w:rPr>
          <w:rFonts w:ascii="Arial" w:cs="Arial" w:eastAsia="Arial" w:hAnsi="Arial"/>
          <w:sz w:val="22"/>
          <w:szCs w:val="22"/>
        </w:rPr>
        <w:t xml:space="preserve">The WHO standards provide percentile curves and z-score tables for weight-for-age, length/height-for-age, weight-for-length/height, and BMI-for-age for boys and girls aged 0–60 months. The 3rd, 15th, 50th, 85th, and 97th percentiles are provided in chart format, with extended z-score tables at the −3, −2, −1, 0, +1, +2, and +3 levels.</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WHO Multicentre Growth Reference Study Group. WHO Child Growth Standards based on length/height, weight and age. Acta Paediatr Suppl. 2006;450:76-85. DOI: 10.1111/j.1651-2227.2006.tb02378.x</w:t>
      </w:r>
    </w:p>
    <w:p>
      <w:pPr>
        <w:spacing w:after="120"/>
      </w:pPr>
      <w:r>
        <w:rPr>
          <w:rFonts w:ascii="Arial" w:cs="Arial" w:eastAsia="Arial" w:hAnsi="Arial"/>
          <w:i/>
          <w:iCs/>
          <w:color w:val="555555"/>
          <w:sz w:val="20"/>
          <w:szCs w:val="20"/>
        </w:rPr>
        <w:t xml:space="preserve">Also: Borghi E, et al. Construction of the World Health Organization child growth standards: selection of methods for attained growth curves. Stat Med. 2006;25(2):247-265. DOI: 10.1002/sim.2227</w:t>
      </w:r>
    </w:p>
    <w:p>
      <w:pPr>
        <w:pStyle w:val="Heading2"/>
      </w:pPr>
      <w:r>
        <w:rPr>
          <w:rFonts w:ascii="Arial" w:cs="Arial" w:eastAsia="Arial" w:hAnsi="Arial"/>
          <w:b/>
          <w:bCs/>
          <w:color w:val="2E75B6"/>
          <w:sz w:val="26"/>
          <w:szCs w:val="26"/>
        </w:rPr>
        <w:t xml:space="preserve">2.2 CDC 2000 Growth Charts</w:t>
      </w:r>
    </w:p>
    <w:p>
      <w:pPr>
        <w:spacing w:after="120"/>
      </w:pPr>
      <w:r>
        <w:rPr>
          <w:rFonts w:ascii="Arial" w:cs="Arial" w:eastAsia="Arial" w:hAnsi="Arial"/>
          <w:sz w:val="22"/>
          <w:szCs w:val="22"/>
        </w:rPr>
        <w:t xml:space="preserve">The Centers for Disease Control and Prevention (CDC) released revised growth charts in 2000, replacing the 1977 National Center for Health Statistics (NCHS) growth curves. These charts are descriptive references rather than prescriptive standards, meaning they reflect how children in the United States actually grew during specific survey periods.</w:t>
      </w:r>
    </w:p>
    <w:p>
      <w:pPr>
        <w:spacing w:after="120"/>
      </w:pPr>
      <w:r>
        <w:rPr>
          <w:rFonts w:ascii="Arial" w:cs="Arial" w:eastAsia="Arial" w:hAnsi="Arial"/>
          <w:b/>
          <w:bCs/>
          <w:sz w:val="22"/>
          <w:szCs w:val="22"/>
        </w:rPr>
        <w:t xml:space="preserve">Data Sources: </w:t>
      </w:r>
      <w:r>
        <w:rPr>
          <w:rFonts w:ascii="Arial" w:cs="Arial" w:eastAsia="Arial" w:hAnsi="Arial"/>
          <w:sz w:val="22"/>
          <w:szCs w:val="22"/>
        </w:rPr>
        <w:t xml:space="preserve">The CDC 2000 charts were constructed from five national health examination surveys conducted between 1963 and 1994: the National Health Examination Surveys (NHES) II and III, and the National Health and Nutrition Examination Surveys (NHANES) I, II, and III. Data from approximately 45,000 children were used. A critical methodological decision was the exclusion of NHANES III weight data for children older than 6 years to avoid representing the secular trend toward increasing body weight/BMI.</w:t>
      </w:r>
    </w:p>
    <w:p>
      <w:pPr>
        <w:spacing w:after="120"/>
      </w:pPr>
      <w:r>
        <w:rPr>
          <w:rFonts w:ascii="Arial" w:cs="Arial" w:eastAsia="Arial" w:hAnsi="Arial"/>
          <w:b/>
          <w:bCs/>
          <w:sz w:val="22"/>
          <w:szCs w:val="22"/>
        </w:rPr>
        <w:t xml:space="preserve">Statistical Methodology: </w:t>
      </w:r>
      <w:r>
        <w:rPr>
          <w:rFonts w:ascii="Arial" w:cs="Arial" w:eastAsia="Arial" w:hAnsi="Arial"/>
          <w:sz w:val="22"/>
          <w:szCs w:val="22"/>
        </w:rPr>
        <w:t xml:space="preserve">The CDC charts employed a modified LMS (Lambda-Mu-Sigma) procedure with smoothing by weighted regression using a LOESS-type approach. The LMS parameters (L for Box-Cox power transformation, M for median, S for coefficient of variation) were calculated and smoothed across age using cubic splines with degrees of freedom selected to optimize the balance between fit and smoothness.</w:t>
      </w:r>
    </w:p>
    <w:p>
      <w:pPr>
        <w:spacing w:after="120"/>
      </w:pPr>
      <w:r>
        <w:rPr>
          <w:rFonts w:ascii="Arial" w:cs="Arial" w:eastAsia="Arial" w:hAnsi="Arial"/>
          <w:b/>
          <w:bCs/>
          <w:sz w:val="22"/>
          <w:szCs w:val="22"/>
        </w:rPr>
        <w:t xml:space="preserve">Available Charts: </w:t>
      </w:r>
      <w:r>
        <w:rPr>
          <w:rFonts w:ascii="Arial" w:cs="Arial" w:eastAsia="Arial" w:hAnsi="Arial"/>
          <w:sz w:val="22"/>
          <w:szCs w:val="22"/>
        </w:rPr>
        <w:t xml:space="preserve">The CDC provides 16 growth charts covering birth to 36 months (weight-for-age, length-for-age, weight-for-length, head circumference-for-age) and 2 to 20 years (weight-for-age, stature-for-age, weight-for-stature, BMI-for-age), with sex-specific charts for each. Percentile levels include the 3rd, 5th, 10th, 25th, 50th, 75th, 90th, 95th, and 97th.</w:t>
      </w:r>
    </w:p>
    <w:p>
      <w:pPr>
        <w:spacing w:after="120"/>
      </w:pPr>
      <w:r>
        <w:rPr>
          <w:rFonts w:ascii="Arial" w:cs="Arial" w:eastAsia="Arial" w:hAnsi="Arial"/>
          <w:b/>
          <w:bCs/>
          <w:sz w:val="22"/>
          <w:szCs w:val="22"/>
        </w:rPr>
        <w:t xml:space="preserve">Clinical Recommendation: </w:t>
      </w:r>
      <w:r>
        <w:rPr>
          <w:rFonts w:ascii="Arial" w:cs="Arial" w:eastAsia="Arial" w:hAnsi="Arial"/>
          <w:sz w:val="22"/>
          <w:szCs w:val="22"/>
        </w:rPr>
        <w:t xml:space="preserve">The American Academy of Pediatrics recommends using the WHO growth standards for children under 2 years of age and the CDC growth charts for children aged 2–19 years. This hybrid approach recognizes that the WHO standards better represent optimal growth in infancy, while the CDC charts provide the best available reference for older U.S. children.</w:t>
      </w:r>
    </w:p>
    <w:p>
      <w:pPr>
        <w:pStyle w:val="Heading2"/>
      </w:pPr>
      <w:r>
        <w:rPr>
          <w:rFonts w:ascii="Arial" w:cs="Arial" w:eastAsia="Arial" w:hAnsi="Arial"/>
          <w:b/>
          <w:bCs/>
          <w:color w:val="2E75B6"/>
          <w:sz w:val="26"/>
          <w:szCs w:val="26"/>
        </w:rPr>
        <w:t xml:space="preserve">2.3 Fenton Preterm Growth Charts</w:t>
      </w:r>
    </w:p>
    <w:p>
      <w:pPr>
        <w:spacing w:after="120"/>
      </w:pPr>
      <w:r>
        <w:rPr>
          <w:rFonts w:ascii="Arial" w:cs="Arial" w:eastAsia="Arial" w:hAnsi="Arial"/>
          <w:sz w:val="22"/>
          <w:szCs w:val="22"/>
        </w:rPr>
        <w:t xml:space="preserve">The Fenton preterm growth charts are specifically designed for monitoring growth in premature infants, bridging the gap between intrauterine growth references and postnatal term infant standards. Two major versions exist: the original 2003 chart and the substantially revised 2013 version.</w:t>
      </w:r>
    </w:p>
    <w:p>
      <w:pPr>
        <w:pStyle w:val="Heading3"/>
      </w:pPr>
      <w:r>
        <w:rPr>
          <w:rFonts w:ascii="Arial" w:cs="Arial" w:eastAsia="Arial" w:hAnsi="Arial"/>
          <w:b/>
          <w:bCs/>
          <w:color w:val="375F8C"/>
          <w:sz w:val="22"/>
          <w:szCs w:val="22"/>
        </w:rPr>
        <w:t xml:space="preserve">2.3.1 Fenton 2003 Chart</w:t>
      </w:r>
    </w:p>
    <w:p>
      <w:pPr>
        <w:spacing w:after="120"/>
      </w:pPr>
      <w:r>
        <w:rPr>
          <w:rFonts w:ascii="Arial" w:cs="Arial" w:eastAsia="Arial" w:hAnsi="Arial"/>
          <w:sz w:val="22"/>
          <w:szCs w:val="22"/>
        </w:rPr>
        <w:t xml:space="preserve">The original Fenton chart updated the classic Babson and Benda (1976) fetal-infant growth graph. Fenton (2003) conducted a meta-analysis of published reference studies to extend the chart from 22 weeks gestational age and improved the format with 100-gram increments. The chart was validated against growth data from the NICHD Neonatal Research Network, which demonstrated that preterm infants deviate from the reference curves in the first weeks after birth but show catch-up patterns in head circumference before weight and length.</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Fenton TR. A new growth chart for preterm babies: Babson and Benda’s chart updated with recent data and a new format. BMC Pediatr. 2003;3:13. DOI: 10.1186/1471-2431-3-13</w:t>
      </w:r>
    </w:p>
    <w:p>
      <w:pPr>
        <w:pStyle w:val="Heading3"/>
      </w:pPr>
      <w:r>
        <w:rPr>
          <w:rFonts w:ascii="Arial" w:cs="Arial" w:eastAsia="Arial" w:hAnsi="Arial"/>
          <w:b/>
          <w:bCs/>
          <w:color w:val="375F8C"/>
          <w:sz w:val="22"/>
          <w:szCs w:val="22"/>
        </w:rPr>
        <w:t xml:space="preserve">2.3.2 Fenton 2013 Revised Chart</w:t>
      </w:r>
    </w:p>
    <w:p>
      <w:pPr>
        <w:spacing w:after="120"/>
      </w:pPr>
      <w:r>
        <w:rPr>
          <w:rFonts w:ascii="Arial" w:cs="Arial" w:eastAsia="Arial" w:hAnsi="Arial"/>
          <w:sz w:val="22"/>
          <w:szCs w:val="22"/>
        </w:rPr>
        <w:t xml:space="preserve">The 2013 revision represented a major update through a systematic review and meta-analysis combining six large population-based surveys of size at preterm birth, representing 3,986,456 births (34,639 births under 30 weeks) from Germany, the United States, Italy, Australia, Scotland, and Canada. Key innovations included harmonization with the WHO Growth Standards at 50 weeks post-menstrual age, smoothing between preterm and WHO estimates informed by the Preterm Multicentre Growth (PreM Growth) study, rescaling the x-axis to actual age rather than completed weeks, and provision of sex-specific curves. LMS parameters (L for skew, M for median, S for standard deviation) were calculated, and cubic splines were used to produce smooth growth curves to 50 weeks post-menstrual age.</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Fenton TR, Kim JH. A systematic review and meta-analysis to revise the Fenton growth chart for preterm infants. BMC Pediatr. 2013;13:59. DOI: 10.1186/1471-2431-13-59</w:t>
      </w:r>
    </w:p>
    <w:p>
      <w:pPr>
        <w:pStyle w:val="Heading2"/>
      </w:pPr>
      <w:r>
        <w:rPr>
          <w:rFonts w:ascii="Arial" w:cs="Arial" w:eastAsia="Arial" w:hAnsi="Arial"/>
          <w:b/>
          <w:bCs/>
          <w:color w:val="2E75B6"/>
          <w:sz w:val="26"/>
          <w:szCs w:val="26"/>
        </w:rPr>
        <w:t xml:space="preserve">2.4 INTERGROWTH-21st Project</w:t>
      </w:r>
    </w:p>
    <w:p>
      <w:pPr>
        <w:spacing w:after="120"/>
      </w:pPr>
      <w:r>
        <w:rPr>
          <w:rFonts w:ascii="Arial" w:cs="Arial" w:eastAsia="Arial" w:hAnsi="Arial"/>
          <w:sz w:val="22"/>
          <w:szCs w:val="22"/>
        </w:rPr>
        <w:t xml:space="preserve">The INTERGROWTH-21st Project is a landmark international, multi-center, population-based project designed to complement the 2006 WHO Child Growth Standards by developing international standards for fetuses, newborn infants, and the postnatal growth of preterm infants. The project adopted the same conceptual framework as the WHO MGRS, treating growth as a universal biological phenomenon when environmental constraints are removed.</w:t>
      </w:r>
    </w:p>
    <w:p>
      <w:pPr>
        <w:pStyle w:val="Heading3"/>
      </w:pPr>
      <w:r>
        <w:rPr>
          <w:rFonts w:ascii="Arial" w:cs="Arial" w:eastAsia="Arial" w:hAnsi="Arial"/>
          <w:b/>
          <w:bCs/>
          <w:color w:val="375F8C"/>
          <w:sz w:val="22"/>
          <w:szCs w:val="22"/>
        </w:rPr>
        <w:t xml:space="preserve">2.4.1 Newborn Cross-Sectional Study (NCSS)</w:t>
      </w:r>
    </w:p>
    <w:p>
      <w:pPr>
        <w:spacing w:after="120"/>
      </w:pPr>
      <w:r>
        <w:rPr>
          <w:rFonts w:ascii="Arial" w:cs="Arial" w:eastAsia="Arial" w:hAnsi="Arial"/>
          <w:sz w:val="22"/>
          <w:szCs w:val="22"/>
        </w:rPr>
        <w:t xml:space="preserve">The NCSS measured weight, length, and head circumference in all newborn infants within 12 hours of birth across eight geographically defined urban populations. From 59,137 pregnant women enrolled between May 2009 and August 2013, 20,486 (35%) met strict individual eligibility criteria representing a population at low risk of impaired fetal growth. All women had reliable ultrasound estimates of gestational age. Newborn anthropometric measures were obtained by identically trained teams using standardized equipment across all sites. Fractional polynomials assuming a skewed t distribution were used to estimate fitted centiles. The observed and smoothed centiles showed excellent concordance.</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Villar J, et al. International standards for newborn weight, length, and head circumference by gestational age and sex: the Newborn Cross-Sectional Study of the INTERGROWTH-21st Project. Lancet. 2014;384(9946):857-868. DOI: 10.1016/S0140-6736(14)60932-6</w:t>
      </w:r>
    </w:p>
    <w:p>
      <w:pPr>
        <w:pStyle w:val="Heading3"/>
      </w:pPr>
      <w:r>
        <w:rPr>
          <w:rFonts w:ascii="Arial" w:cs="Arial" w:eastAsia="Arial" w:hAnsi="Arial"/>
          <w:b/>
          <w:bCs/>
          <w:color w:val="375F8C"/>
          <w:sz w:val="22"/>
          <w:szCs w:val="22"/>
        </w:rPr>
        <w:t xml:space="preserve">2.4.2 Fetal Growth Longitudinal Study (FGLS)</w:t>
      </w:r>
    </w:p>
    <w:p>
      <w:pPr>
        <w:spacing w:after="120"/>
      </w:pPr>
      <w:r>
        <w:rPr>
          <w:rFonts w:ascii="Arial" w:cs="Arial" w:eastAsia="Arial" w:hAnsi="Arial"/>
          <w:sz w:val="22"/>
          <w:szCs w:val="22"/>
        </w:rPr>
        <w:t xml:space="preserve">The FGLS assessed fetal growth prospectively from 14 weeks of gestation until birth in a carefully selected cohort. From 13,108 women screened, 4,607 (35%) were eligible, with 4,321 having pregnancies without major complications that delivered live singletons without congenital malformations. Five primary ultrasound measures (head circumference, biparietal diameter, occipitofrontal diameter, abdominal circumference, femur length) were obtained every 5 weeks. Second-degree fractional polynomials modeled in a multilevel framework were used to construct the standards.</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Papageorghiou AT, et al. International standards for fetal growth based on serial ultrasound measurements: the Fetal Growth Longitudinal Study of the INTERGROWTH-21st Project. Lancet. 2014;384(9946):869-879. DOI: 10.1016/S0140-6736(14)61490-2</w:t>
      </w:r>
    </w:p>
    <w:p>
      <w:pPr>
        <w:pStyle w:val="Heading2"/>
      </w:pPr>
      <w:r>
        <w:rPr>
          <w:rFonts w:ascii="Arial" w:cs="Arial" w:eastAsia="Arial" w:hAnsi="Arial"/>
          <w:b/>
          <w:bCs/>
          <w:color w:val="2E75B6"/>
          <w:sz w:val="26"/>
          <w:szCs w:val="26"/>
        </w:rPr>
        <w:t xml:space="preserve">2.5 Comparison: Fenton vs. INTERGROWTH-21st</w:t>
      </w:r>
    </w:p>
    <w:p>
      <w:pPr>
        <w:spacing w:after="120"/>
      </w:pPr>
      <w:r>
        <w:rPr>
          <w:rFonts w:ascii="Arial" w:cs="Arial" w:eastAsia="Arial" w:hAnsi="Arial"/>
          <w:sz w:val="22"/>
          <w:szCs w:val="22"/>
        </w:rPr>
        <w:t xml:space="preserve">Direct comparisons between the Fenton and INTERGROWTH-21st charts reveal clinically significant differences in classification of small-for-gestational-age (SGA) neonates and extrauterine growth retardation (EUGR). A comparative study by Turktan et al. (2025) found that INTERGROWTH-21st classified a significantly higher proportion of neonates as SGA compared to Fenton (p &lt; 0.001). However, the Fenton chart identified a higher rate of EUGR at discharge (66.3%), with the highest rates in infants with birth weight under 1,000 grams (78.8%). Weight and height z-scores at birth and discharge were significantly lower on INTERGROWTH-21st, while head circumference z-scores were higher on Fenton.</w:t>
      </w:r>
    </w:p>
    <w:p>
      <w:pPr>
        <w:spacing w:after="120"/>
      </w:pPr>
      <w:r>
        <w:rPr>
          <w:rFonts w:ascii="Arial" w:cs="Arial" w:eastAsia="Arial" w:hAnsi="Arial"/>
          <w:sz w:val="22"/>
          <w:szCs w:val="22"/>
        </w:rPr>
        <w:t xml:space="preserve">Anne et al. (2022) studying 1,067 neonates of 26–31 weeks demonstrated that INTERGROWTH-21st charts were more sensitive in identifying neonates developing complications (hypoglycemia, mortality, BPD), while population-based charts were more specific and accurate in differentiating those who did and did not develop complications.</w:t>
      </w:r>
    </w:p>
    <w:p>
      <w:pPr>
        <w:spacing w:after="120"/>
      </w:pPr>
      <w:r>
        <w:rPr>
          <w:rFonts w:ascii="Arial" w:cs="Arial" w:eastAsia="Arial" w:hAnsi="Arial"/>
          <w:b/>
          <w:bCs/>
          <w:sz w:val="22"/>
          <w:szCs w:val="22"/>
        </w:rPr>
        <w:t xml:space="preserve">Clinical Implication: </w:t>
      </w:r>
      <w:r>
        <w:rPr>
          <w:rFonts w:ascii="Arial" w:cs="Arial" w:eastAsia="Arial" w:hAnsi="Arial"/>
          <w:sz w:val="22"/>
          <w:szCs w:val="22"/>
        </w:rPr>
        <w:t xml:space="preserve">The choice of growth reference for preterm infants has direct implications for clinical decision-making regarding nutritional interventions and identification of at-risk neonates. Clinicians should be aware of which reference they are using and its inherent biases.</w:t>
      </w:r>
    </w:p>
    <w:p>
      <w:r>
        <w:br w:type="page"/>
      </w:r>
    </w:p>
    <w:p>
      <w:pPr>
        <w:pStyle w:val="Heading1"/>
      </w:pPr>
      <w:r>
        <w:rPr>
          <w:rFonts w:ascii="Arial" w:cs="Arial" w:eastAsia="Arial" w:hAnsi="Arial"/>
          <w:b/>
          <w:bCs/>
          <w:color w:val="1F4E79"/>
          <w:sz w:val="32"/>
          <w:szCs w:val="32"/>
        </w:rPr>
        <w:t xml:space="preserve">3. Condition-Specific Growth Charts</w:t>
      </w:r>
    </w:p>
    <w:p>
      <w:pPr>
        <w:spacing w:after="120"/>
      </w:pPr>
      <w:r>
        <w:rPr>
          <w:rFonts w:ascii="Arial" w:cs="Arial" w:eastAsia="Arial" w:hAnsi="Arial"/>
          <w:sz w:val="22"/>
          <w:szCs w:val="22"/>
        </w:rPr>
        <w:t xml:space="preserve">Children with genetic syndromes and chronic diseases exhibit growth patterns that differ substantially from the general population. Standard growth charts (WHO or CDC) often systematically misclassify these children as growth-failure cases, leading to unnecessary investigations and inappropriate interventions. Condition-specific growth charts provide a more appropriate framework for monitoring growth and identifying additional pathology superimposed on the underlying condition.</w:t>
      </w:r>
    </w:p>
    <w:p>
      <w:pPr>
        <w:pStyle w:val="Heading2"/>
      </w:pPr>
      <w:r>
        <w:rPr>
          <w:rFonts w:ascii="Arial" w:cs="Arial" w:eastAsia="Arial" w:hAnsi="Arial"/>
          <w:b/>
          <w:bCs/>
          <w:color w:val="2E75B6"/>
          <w:sz w:val="26"/>
          <w:szCs w:val="26"/>
        </w:rPr>
        <w:t xml:space="preserve">3.1 Down Syndrome (Trisomy 21)</w:t>
      </w:r>
    </w:p>
    <w:p>
      <w:pPr>
        <w:spacing w:after="120"/>
      </w:pPr>
      <w:r>
        <w:rPr>
          <w:rFonts w:ascii="Arial" w:cs="Arial" w:eastAsia="Arial" w:hAnsi="Arial"/>
          <w:sz w:val="22"/>
          <w:szCs w:val="22"/>
        </w:rPr>
        <w:t xml:space="preserve">Children with Down syndrome characteristically exhibit lower birth weights, shorter stature, and distinct growth velocity patterns compared to unaffected peers. Multiple country-specific growth charts have been developed over recent decades.</w:t>
      </w:r>
    </w:p>
    <w:p>
      <w:pPr>
        <w:pStyle w:val="Heading3"/>
      </w:pPr>
      <w:r>
        <w:rPr>
          <w:rFonts w:ascii="Arial" w:cs="Arial" w:eastAsia="Arial" w:hAnsi="Arial"/>
          <w:b/>
          <w:bCs/>
          <w:color w:val="375F8C"/>
          <w:sz w:val="22"/>
          <w:szCs w:val="22"/>
        </w:rPr>
        <w:t xml:space="preserve">3.1.1 United States: Zemel et al. (2015)</w:t>
      </w:r>
    </w:p>
    <w:p>
      <w:pPr>
        <w:spacing w:after="120"/>
      </w:pPr>
      <w:r>
        <w:rPr>
          <w:rFonts w:ascii="Arial" w:cs="Arial" w:eastAsia="Arial" w:hAnsi="Arial"/>
          <w:sz w:val="22"/>
          <w:szCs w:val="22"/>
        </w:rPr>
        <w:t xml:space="preserve">The Down Syndrome Growing Up Study (DSGS) enrolled a convenience sample of 637 participants with DS up to 20 years of age and collected 1,520 measurements longitudinally. Sex-specific growth charts were generated for birth to 36 months and 2 to 20 years using the LMS method. The updated DSGS charts showed marked improvements in weight compared to older U.S. charts for children under 36 months, and contemporary males were taller than previous charts indicated. The DSGS charts were generally similar to contemporary UK charts, suggesting improvements in medical care and early intervention have positively impacted growth.</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Zemel BS, et al. Growth Charts for Children With Down Syndrome in the United States. Pediatrics. 2015;136(5):e1204-11. DOI: 10.1542/peds.2015-1652</w:t>
      </w:r>
    </w:p>
    <w:p>
      <w:pPr>
        <w:pStyle w:val="Heading3"/>
      </w:pPr>
      <w:r>
        <w:rPr>
          <w:rFonts w:ascii="Arial" w:cs="Arial" w:eastAsia="Arial" w:hAnsi="Arial"/>
          <w:b/>
          <w:bCs/>
          <w:color w:val="375F8C"/>
          <w:sz w:val="22"/>
          <w:szCs w:val="22"/>
        </w:rPr>
        <w:t xml:space="preserve">3.1.2 Brazil: Bertapelli et al. (2017)</w:t>
      </w:r>
    </w:p>
    <w:p>
      <w:pPr>
        <w:spacing w:after="120"/>
      </w:pPr>
      <w:r>
        <w:rPr>
          <w:rFonts w:ascii="Arial" w:cs="Arial" w:eastAsia="Arial" w:hAnsi="Arial"/>
          <w:sz w:val="22"/>
          <w:szCs w:val="22"/>
        </w:rPr>
        <w:t xml:space="preserve">Using mixed longitudinal and cross-sectional data from 938 youths with DS (53.7% boys) providing 10,516 growth measurements from birth to 20 years, Bertapelli et al. constructed Brazilian DS growth charts using the Lambda Mu Sigma method with GAMLSS modeling. Differences from WHO standards ranged from −0.8 to −3.2 z-scores, and differences from other DS studies ranged from −1.9 to +1.3 z-scores, highlighting the importance of population-specific references.</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Bertapelli F, et al. Growth charts for Brazilian children with Down syndrome: Birth to 20 years of age. J Epidemiol. 2017;27(6):265-273. DOI: 10.1016/j.je.2016.06.009</w:t>
      </w:r>
    </w:p>
    <w:p>
      <w:pPr>
        <w:pStyle w:val="Heading3"/>
      </w:pPr>
      <w:r>
        <w:rPr>
          <w:rFonts w:ascii="Arial" w:cs="Arial" w:eastAsia="Arial" w:hAnsi="Arial"/>
          <w:b/>
          <w:bCs/>
          <w:color w:val="375F8C"/>
          <w:sz w:val="22"/>
          <w:szCs w:val="22"/>
        </w:rPr>
        <w:t xml:space="preserve">3.1.3 Mexico: Flores Arizmendi et al. (2022)</w:t>
      </w:r>
    </w:p>
    <w:p>
      <w:pPr>
        <w:spacing w:after="120"/>
      </w:pPr>
      <w:r>
        <w:rPr>
          <w:rFonts w:ascii="Arial" w:cs="Arial" w:eastAsia="Arial" w:hAnsi="Arial"/>
          <w:sz w:val="22"/>
          <w:szCs w:val="22"/>
        </w:rPr>
        <w:t xml:space="preserve">A prospective cross-sectional study of 1,867 Mexican children with DS aged 0–18 years yielded 9,968 measurements. Growth curves were constructed using Cole’s LMS method. The mean final height at 18 years was 149.6 cm for boys and 141.2 cm for girls, lower than U.S. DS charts, representing the first charts for the Mexican DS population.</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Flores Arizmendi KA, et al. Growth charts for Mexican children with Down syndrome. Am J Med Genet A. 2022;188(4):1170-1183. DOI: 10.1002/ajmg.a.62637</w:t>
      </w:r>
    </w:p>
    <w:p>
      <w:pPr>
        <w:pStyle w:val="Heading3"/>
      </w:pPr>
      <w:r>
        <w:rPr>
          <w:rFonts w:ascii="Arial" w:cs="Arial" w:eastAsia="Arial" w:hAnsi="Arial"/>
          <w:b/>
          <w:bCs/>
          <w:color w:val="375F8C"/>
          <w:sz w:val="22"/>
          <w:szCs w:val="22"/>
        </w:rPr>
        <w:t xml:space="preserve">3.1.4 India: Bhalla et al. (2024)</w:t>
      </w:r>
    </w:p>
    <w:p>
      <w:pPr>
        <w:spacing w:after="120"/>
      </w:pPr>
      <w:r>
        <w:rPr>
          <w:rFonts w:ascii="Arial" w:cs="Arial" w:eastAsia="Arial" w:hAnsi="Arial"/>
          <w:sz w:val="22"/>
          <w:szCs w:val="22"/>
        </w:rPr>
        <w:t xml:space="preserve">Data from 1,125 children with DS (752 males, 373 females) from northwestern India were collected over 24 years (1994–2018) with 2,089 observations. Using the LMS method, age- and sex-specific percentile growth charts for weight and length/height were generated from birth to 10 years. Indian children with DS showed compromised growth compared to both normal MGRS and Indian Academy of Pediatrics (IAP) counterparts, with short stature from 1 year and underweight beyond 5 years.</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Bhalla AK, et al. Growth charts for weight and height of Indian children with Down syndrome. Am J Med Genet A. 2024;194(7):e63571. DOI: 10.1002/ajmg.a.63571</w:t>
      </w:r>
    </w:p>
    <w:p>
      <w:pPr>
        <w:pStyle w:val="Heading2"/>
      </w:pPr>
      <w:r>
        <w:rPr>
          <w:rFonts w:ascii="Arial" w:cs="Arial" w:eastAsia="Arial" w:hAnsi="Arial"/>
          <w:b/>
          <w:bCs/>
          <w:color w:val="2E75B6"/>
          <w:sz w:val="26"/>
          <w:szCs w:val="26"/>
        </w:rPr>
        <w:t xml:space="preserve">3.2 Turner Syndrome</w:t>
      </w:r>
    </w:p>
    <w:p>
      <w:pPr>
        <w:spacing w:after="120"/>
      </w:pPr>
      <w:r>
        <w:rPr>
          <w:rFonts w:ascii="Arial" w:cs="Arial" w:eastAsia="Arial" w:hAnsi="Arial"/>
          <w:sz w:val="22"/>
          <w:szCs w:val="22"/>
        </w:rPr>
        <w:t xml:space="preserve">Turner syndrome (45,X and variants) affects approximately 1 in 2,000–2,500 live female births and is characterized by short stature, ovarian insufficiency, and variable phenotypic features. Disease-specific growth charts are critical for differentiating Turner-related growth patterns from additional pathology.</w:t>
      </w:r>
    </w:p>
    <w:p>
      <w:pPr>
        <w:pStyle w:val="Heading3"/>
      </w:pPr>
      <w:r>
        <w:rPr>
          <w:rFonts w:ascii="Arial" w:cs="Arial" w:eastAsia="Arial" w:hAnsi="Arial"/>
          <w:b/>
          <w:bCs/>
          <w:color w:val="375F8C"/>
          <w:sz w:val="22"/>
          <w:szCs w:val="22"/>
        </w:rPr>
        <w:t xml:space="preserve">3.2.1 Japanese Turner Syndrome Charts</w:t>
      </w:r>
    </w:p>
    <w:p>
      <w:pPr>
        <w:spacing w:after="120"/>
      </w:pPr>
      <w:r>
        <w:rPr>
          <w:rFonts w:ascii="Arial" w:cs="Arial" w:eastAsia="Arial" w:hAnsi="Arial"/>
          <w:sz w:val="22"/>
          <w:szCs w:val="22"/>
        </w:rPr>
        <w:t xml:space="preserve">Isojima and Yokoya (2017) published a comprehensive review of disease-specific growth chart development for Japanese patients with Turner syndrome and Noonan syndrome. Their work emphasized critical factors affecting chart reliability: precise disease definition, selection bias minimization, accounting for secular trends, adequate sample sizes across age ranges, and appropriate statistical methods. These were the first disease-specific charts for Turner and Noonan syndromes for Asian populations.</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Isojima T, Yokoya S. Development of disease-specific growth charts in Turner syndrome and Noonan syndrome. Ann Pediatr Endocrinol Metab. 2017;22(4):240-246. DOI: 10.6065/apem.2017.22.4.240</w:t>
      </w:r>
    </w:p>
    <w:p>
      <w:pPr>
        <w:pStyle w:val="Heading3"/>
      </w:pPr>
      <w:r>
        <w:rPr>
          <w:rFonts w:ascii="Arial" w:cs="Arial" w:eastAsia="Arial" w:hAnsi="Arial"/>
          <w:b/>
          <w:bCs/>
          <w:color w:val="375F8C"/>
          <w:sz w:val="22"/>
          <w:szCs w:val="22"/>
        </w:rPr>
        <w:t xml:space="preserve">3.2.2 Western India Turner Syndrome Charts</w:t>
      </w:r>
    </w:p>
    <w:p>
      <w:pPr>
        <w:spacing w:after="120"/>
      </w:pPr>
      <w:r>
        <w:rPr>
          <w:rFonts w:ascii="Arial" w:cs="Arial" w:eastAsia="Arial" w:hAnsi="Arial"/>
          <w:sz w:val="22"/>
          <w:szCs w:val="22"/>
        </w:rPr>
        <w:t xml:space="preserve">Khadilkar et al. (2020) collected 348 height and weight readings from 113 genetically confirmed girls with Turner syndrome from 5 centers in western India over 2 decades. The method described by Lyon et al. was used to compute smoothed standard deviations and percentiles. Mean adult height was 140.1 cm, with height velocity notably low at all ages and a marked difference beyond age 10 where the normal pubertal growth spurt is absent. The midparental height z-score correlated positively with height z-score.</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Khadilkar VV, et al. Turner Syndrome Growth Charts: A Western India Experience. Indian J Endocrinol Metab. 2020;24(4):333-337. DOI: 10.4103/ijem.IJEM_123_20</w:t>
      </w:r>
    </w:p>
    <w:p>
      <w:pPr>
        <w:pStyle w:val="Heading2"/>
      </w:pPr>
      <w:r>
        <w:rPr>
          <w:rFonts w:ascii="Arial" w:cs="Arial" w:eastAsia="Arial" w:hAnsi="Arial"/>
          <w:b/>
          <w:bCs/>
          <w:color w:val="2E75B6"/>
          <w:sz w:val="26"/>
          <w:szCs w:val="26"/>
        </w:rPr>
        <w:t xml:space="preserve">3.3 Noonan Syndrome</w:t>
      </w:r>
    </w:p>
    <w:p>
      <w:pPr>
        <w:spacing w:after="120"/>
      </w:pPr>
      <w:r>
        <w:rPr>
          <w:rFonts w:ascii="Arial" w:cs="Arial" w:eastAsia="Arial" w:hAnsi="Arial"/>
          <w:sz w:val="22"/>
          <w:szCs w:val="22"/>
        </w:rPr>
        <w:t xml:space="preserve">Noonan syndrome is an autosomal dominant RASopathy with an estimated prevalence of 1:1,000–1:2,500 live births, characterized by short stature, congenital heart disease, and distinctive facial features.</w:t>
      </w:r>
    </w:p>
    <w:p>
      <w:pPr>
        <w:spacing w:after="120"/>
      </w:pPr>
      <w:r>
        <w:rPr>
          <w:rFonts w:ascii="Arial" w:cs="Arial" w:eastAsia="Arial" w:hAnsi="Arial"/>
          <w:sz w:val="22"/>
          <w:szCs w:val="22"/>
        </w:rPr>
        <w:t xml:space="preserve">Cappa et al. (2024) published the results of a 15-year longitudinal single-center study from Bambino Gesù Children’s Hospital in Italy, encompassing 190 eligible participants (55.8% male) with NS. The most frequently detected mutations were in PTPN11 (66.3%) and SOS1 (13.9%). Sex-specific centile curves for height, weight, BMI, and height velocity were produced. For both sexes, the 50th percentile of height and weight for NS participants overlapped with the 3rd percentile for the general Italian population. Both sexes with PTPN11 mutations had significantly lower height and weight at 5 years compared to those with other mutations.</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Cappa M, et al. Noonan Syndrome Growth Charts and Genotypes: 15-Year Longitudinal Single-Centre Study. Horm Res Paediatr. 2024;98(6):655-667. DOI: 10.1159/000540092</w:t>
      </w:r>
    </w:p>
    <w:p>
      <w:pPr>
        <w:pStyle w:val="Heading2"/>
      </w:pPr>
      <w:r>
        <w:rPr>
          <w:rFonts w:ascii="Arial" w:cs="Arial" w:eastAsia="Arial" w:hAnsi="Arial"/>
          <w:b/>
          <w:bCs/>
          <w:color w:val="2E75B6"/>
          <w:sz w:val="26"/>
          <w:szCs w:val="26"/>
        </w:rPr>
        <w:t xml:space="preserve">3.4 Achondroplasia</w:t>
      </w:r>
    </w:p>
    <w:p>
      <w:pPr>
        <w:spacing w:after="120"/>
      </w:pPr>
      <w:r>
        <w:rPr>
          <w:rFonts w:ascii="Arial" w:cs="Arial" w:eastAsia="Arial" w:hAnsi="Arial"/>
          <w:sz w:val="22"/>
          <w:szCs w:val="22"/>
        </w:rPr>
        <w:t xml:space="preserve">Achondroplasia is the most common genetic cause of disproportionate short stature, with an incidence of approximately 1 in 15,000–40,000 live births.</w:t>
      </w:r>
    </w:p>
    <w:p>
      <w:pPr>
        <w:pStyle w:val="Heading3"/>
      </w:pPr>
      <w:r>
        <w:rPr>
          <w:rFonts w:ascii="Arial" w:cs="Arial" w:eastAsia="Arial" w:hAnsi="Arial"/>
          <w:b/>
          <w:bCs/>
          <w:color w:val="375F8C"/>
          <w:sz w:val="22"/>
          <w:szCs w:val="22"/>
        </w:rPr>
        <w:t xml:space="preserve">3.4.1 CLARITY Study – United States</w:t>
      </w:r>
    </w:p>
    <w:p>
      <w:pPr>
        <w:spacing w:after="120"/>
      </w:pPr>
      <w:r>
        <w:rPr>
          <w:rFonts w:ascii="Arial" w:cs="Arial" w:eastAsia="Arial" w:hAnsi="Arial"/>
          <w:sz w:val="22"/>
          <w:szCs w:val="22"/>
        </w:rPr>
        <w:t xml:space="preserve">The CLARITY (achondroplasia natural history study) multi-center study compiled over 37,000 anthropometric measurements from 1,374 patients from birth through 75 years at 4 U.S. skeletal dysplasia centers (Johns Hopkins, AI DuPont, McGovern Medical School/UT Health, University of Wisconsin). Growth curves for length/height-for-age, weight-for-age, head circumference-for-age, and weight-for-height were generated. Notably, the weight curves excluded extreme values (beyond 3 SD above mean) to create prescriptive rather than purely descriptive references for weight assessment.</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Hoover-Fong JE, et al. Growth in achondroplasia including stature, weight, weight-for-height and head circumference – CLARITY. Orphanet J Rare Dis. 2021;16(1):522. DOI: 10.1186/s13023-021-02141-4</w:t>
      </w:r>
    </w:p>
    <w:p>
      <w:pPr>
        <w:pStyle w:val="Heading3"/>
      </w:pPr>
      <w:r>
        <w:rPr>
          <w:rFonts w:ascii="Arial" w:cs="Arial" w:eastAsia="Arial" w:hAnsi="Arial"/>
          <w:b/>
          <w:bCs/>
          <w:color w:val="375F8C"/>
          <w:sz w:val="22"/>
          <w:szCs w:val="22"/>
        </w:rPr>
        <w:t xml:space="preserve">3.4.2 Australian Achondroplasia Charts</w:t>
      </w:r>
    </w:p>
    <w:p>
      <w:pPr>
        <w:spacing w:after="120"/>
      </w:pPr>
      <w:r>
        <w:rPr>
          <w:rFonts w:ascii="Arial" w:cs="Arial" w:eastAsia="Arial" w:hAnsi="Arial"/>
          <w:sz w:val="22"/>
          <w:szCs w:val="22"/>
        </w:rPr>
        <w:t xml:space="preserve">Tofts et al. (2017) produced head circumference, height, weight, and BMI reference percentile curves for Australian children with achondroplasia using 3,352 data points from 138 individuals (69 males, 69 females) measured between 1970 and 2015. The LMS method was used with estimated 10th, 25th, 50th, 75th, and 90th centiles. For females, adult height was 125 cm (50th percentile); for males, 134 cm. The curves were similar to previously published U.S. reference data.</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Tofts L, et al. Growth charts for Australian children with achondroplasia. Am J Med Genet A. 2017;173(8):2189-2200. DOI: 10.1002/ajmg.a.38312</w:t>
      </w:r>
    </w:p>
    <w:p>
      <w:pPr>
        <w:pStyle w:val="Heading2"/>
      </w:pPr>
      <w:r>
        <w:rPr>
          <w:rFonts w:ascii="Arial" w:cs="Arial" w:eastAsia="Arial" w:hAnsi="Arial"/>
          <w:b/>
          <w:bCs/>
          <w:color w:val="2E75B6"/>
          <w:sz w:val="26"/>
          <w:szCs w:val="26"/>
        </w:rPr>
        <w:t xml:space="preserve">3.5 Prader-Willi Syndrome</w:t>
      </w:r>
    </w:p>
    <w:p>
      <w:pPr>
        <w:spacing w:after="120"/>
      </w:pPr>
      <w:r>
        <w:rPr>
          <w:rFonts w:ascii="Arial" w:cs="Arial" w:eastAsia="Arial" w:hAnsi="Arial"/>
          <w:sz w:val="22"/>
          <w:szCs w:val="22"/>
        </w:rPr>
        <w:t xml:space="preserve">Prader-Willi syndrome (PWS) is a complex genetic disorder characterized by infantile hypotonia, early-onset obesity, intellectual disability, short stature, and hypogonadism.</w:t>
      </w:r>
    </w:p>
    <w:p>
      <w:pPr>
        <w:pStyle w:val="Heading3"/>
      </w:pPr>
      <w:r>
        <w:rPr>
          <w:rFonts w:ascii="Arial" w:cs="Arial" w:eastAsia="Arial" w:hAnsi="Arial"/>
          <w:b/>
          <w:bCs/>
          <w:color w:val="375F8C"/>
          <w:sz w:val="22"/>
          <w:szCs w:val="22"/>
        </w:rPr>
        <w:t xml:space="preserve">3.5.1 Korean PWS Charts</w:t>
      </w:r>
    </w:p>
    <w:p>
      <w:pPr>
        <w:spacing w:after="120"/>
      </w:pPr>
      <w:r>
        <w:rPr>
          <w:rFonts w:ascii="Arial" w:cs="Arial" w:eastAsia="Arial" w:hAnsi="Arial"/>
          <w:sz w:val="22"/>
          <w:szCs w:val="22"/>
        </w:rPr>
        <w:t xml:space="preserve">Lee et al. (2014) conducted a retrospective review of 122 infants with genetically confirmed PWS and generated disease-specific growth charts for height and weight for non-growth-hormone-treated infants aged 0–36 months. The LMS smoothing procedure calculated the 3rd, 10th, 25th, 50th, 75th, 90th, and 97th centiles.</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Lee J, et al. Disease-specific growth charts for Korean infants with Prader-Willi syndrome. Am J Med Genet A. 2014;167A(1):86-94. DOI: 10.1002/ajmg.a.36816</w:t>
      </w:r>
    </w:p>
    <w:p>
      <w:pPr>
        <w:pStyle w:val="Heading3"/>
      </w:pPr>
      <w:r>
        <w:rPr>
          <w:rFonts w:ascii="Arial" w:cs="Arial" w:eastAsia="Arial" w:hAnsi="Arial"/>
          <w:b/>
          <w:bCs/>
          <w:color w:val="375F8C"/>
          <w:sz w:val="22"/>
          <w:szCs w:val="22"/>
        </w:rPr>
        <w:t xml:space="preserve">3.5.2 Argentine PWS Charts</w:t>
      </w:r>
    </w:p>
    <w:p>
      <w:pPr>
        <w:spacing w:after="120"/>
      </w:pPr>
      <w:r>
        <w:rPr>
          <w:rFonts w:ascii="Arial" w:cs="Arial" w:eastAsia="Arial" w:hAnsi="Arial"/>
          <w:sz w:val="22"/>
          <w:szCs w:val="22"/>
        </w:rPr>
        <w:t xml:space="preserve">Caino et al. (2025) developed growth curves for 167 Argentine children with PWS (82 boys) aged 0–19 years without growth hormone treatment, using 1,174 anthropometric measures collected at Hospital Garrahan between 1992 and 2019. The LMS method was used, with charts generated for height, sitting height, hand length, and foot length. Mean adult height was 145.3 cm for females and 153.2 cm for males—15.4 and 19.6 cm below the Argentine general population 50th percentile respectively.</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Caino S, et al. Development of disease-specific growth charts for Argentine Prader-Willi syndrome without growth hormone treatment. Ann Hum Biol. 2025;52(1):2534345. DOI: 10.1080/03014460.2025.2534345</w:t>
      </w:r>
    </w:p>
    <w:p>
      <w:pPr>
        <w:pStyle w:val="Heading2"/>
      </w:pPr>
      <w:r>
        <w:rPr>
          <w:rFonts w:ascii="Arial" w:cs="Arial" w:eastAsia="Arial" w:hAnsi="Arial"/>
          <w:b/>
          <w:bCs/>
          <w:color w:val="2E75B6"/>
          <w:sz w:val="26"/>
          <w:szCs w:val="26"/>
        </w:rPr>
        <w:t xml:space="preserve">3.6 Williams-Beuren Syndrome</w:t>
      </w:r>
    </w:p>
    <w:p>
      <w:pPr>
        <w:spacing w:after="120"/>
      </w:pPr>
      <w:r>
        <w:rPr>
          <w:rFonts w:ascii="Arial" w:cs="Arial" w:eastAsia="Arial" w:hAnsi="Arial"/>
          <w:sz w:val="22"/>
          <w:szCs w:val="22"/>
        </w:rPr>
        <w:t xml:space="preserve">Williams-Beuren syndrome (WBS) is a rare genetic disease caused by a heterozygous microdeletion at 7q11.23, characterized by distinctive facial appearance, cardiovascular disease (particularly supravalvular aortic stenosis), short stature, and intellectual disability.</w:t>
      </w:r>
    </w:p>
    <w:p>
      <w:pPr>
        <w:spacing w:after="120"/>
      </w:pPr>
      <w:r>
        <w:rPr>
          <w:rFonts w:ascii="Arial" w:cs="Arial" w:eastAsia="Arial" w:hAnsi="Arial"/>
          <w:sz w:val="22"/>
          <w:szCs w:val="22"/>
        </w:rPr>
        <w:t xml:space="preserve">De Sousa Lima Strafacci et al. (2020) conducted a systematic review demonstrating that WBS patients exhibit a specific growth pattern characterized by intrauterine growth restriction, low weight, length, and head circumference at birth, with persistent global growth delay through childhood and adolescence. BMI was not different from the reference population, and childhood obesity was not observed. The authors concluded that reference charts for the normal population should not be used for WBS patients.</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de Sousa Lima Strafacci A, et al. Growth assessment in children with Williams-Beuren syndrome: a systematic review. J Appl Genet. 2020;61(2):205-212. DOI: 10.1007/s13353-020-00551-x</w:t>
      </w:r>
    </w:p>
    <w:p>
      <w:pPr>
        <w:spacing w:after="120"/>
      </w:pPr>
      <w:r>
        <w:rPr>
          <w:rFonts w:ascii="Arial" w:cs="Arial" w:eastAsia="Arial" w:hAnsi="Arial"/>
          <w:sz w:val="22"/>
          <w:szCs w:val="22"/>
        </w:rPr>
        <w:t xml:space="preserve">Strafacci et al. (2024) subsequently published the first Brazilian growth charts for WBS patients aged 2–18 years. This multicenter, retrospective longitudinal study collected data from three university centers in São Paulo. Weight-for-age, height-for-age, and BMI-for-age charts were developed using LMSchartmaker Pro software with the LMS method. Quality was assessed using worm plots.</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Strafacci ASL, et al. Brazilian growth charts for Williams-Beuren Syndrome at ages 2 to 18 years. J Pediatr (Rio J). 2024;100(3):277-282. DOI: 10.1016/j.jped.2023.11.009</w:t>
      </w:r>
    </w:p>
    <w:p>
      <w:pPr>
        <w:pStyle w:val="Heading2"/>
      </w:pPr>
      <w:r>
        <w:rPr>
          <w:rFonts w:ascii="Arial" w:cs="Arial" w:eastAsia="Arial" w:hAnsi="Arial"/>
          <w:b/>
          <w:bCs/>
          <w:color w:val="2E75B6"/>
          <w:sz w:val="26"/>
          <w:szCs w:val="26"/>
        </w:rPr>
        <w:t xml:space="preserve">3.7 Cerebral Palsy</w:t>
      </w:r>
    </w:p>
    <w:p>
      <w:pPr>
        <w:spacing w:after="120"/>
      </w:pPr>
      <w:r>
        <w:rPr>
          <w:rFonts w:ascii="Arial" w:cs="Arial" w:eastAsia="Arial" w:hAnsi="Arial"/>
          <w:sz w:val="22"/>
          <w:szCs w:val="22"/>
        </w:rPr>
        <w:t xml:space="preserve">Children with cerebral palsy (CP) exhibit significantly impaired growth that varies by severity of motor impairment (GMFCS level).</w:t>
      </w:r>
    </w:p>
    <w:p>
      <w:pPr>
        <w:pStyle w:val="Heading3"/>
      </w:pPr>
      <w:r>
        <w:rPr>
          <w:rFonts w:ascii="Arial" w:cs="Arial" w:eastAsia="Arial" w:hAnsi="Arial"/>
          <w:b/>
          <w:bCs/>
          <w:color w:val="375F8C"/>
          <w:sz w:val="22"/>
          <w:szCs w:val="22"/>
        </w:rPr>
        <w:t xml:space="preserve">3.7.1 U.S. Quadriplegic CP Charts: Krick et al. (1996)</w:t>
      </w:r>
    </w:p>
    <w:p>
      <w:pPr>
        <w:spacing w:after="120"/>
      </w:pPr>
      <w:r>
        <w:rPr>
          <w:rFonts w:ascii="Arial" w:cs="Arial" w:eastAsia="Arial" w:hAnsi="Arial"/>
          <w:sz w:val="22"/>
          <w:szCs w:val="22"/>
        </w:rPr>
        <w:t xml:space="preserve">Krick et al. developed the first growth reference for children with quadriplegic cerebral palsy using 1,630 observations from 360 children aged 0–120 months. Growth curves representing the 10th, 50th, and 90th percentiles were estimated using smoothing splines. Children with QCP fell progressively behind their NCHS counterparts: 5% shorter at 2 years and over 10% shorter by 8 years, with average z-score differences of −2.3 for length and −2.4 for weight in boys.</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Krick J, et al. Pattern of growth in children with cerebral palsy. J Am Diet Assoc. 1996;96(7):680-685. DOI: 10.1016/s0002-8223(96)00188-5</w:t>
      </w:r>
    </w:p>
    <w:p>
      <w:pPr>
        <w:pStyle w:val="Heading3"/>
      </w:pPr>
      <w:r>
        <w:rPr>
          <w:rFonts w:ascii="Arial" w:cs="Arial" w:eastAsia="Arial" w:hAnsi="Arial"/>
          <w:b/>
          <w:bCs/>
          <w:color w:val="375F8C"/>
          <w:sz w:val="22"/>
          <w:szCs w:val="22"/>
        </w:rPr>
        <w:t xml:space="preserve">3.7.2 European CP Charts: Egenolf et al. (2019)</w:t>
      </w:r>
    </w:p>
    <w:p>
      <w:pPr>
        <w:spacing w:after="120"/>
      </w:pPr>
      <w:r>
        <w:rPr>
          <w:rFonts w:ascii="Arial" w:cs="Arial" w:eastAsia="Arial" w:hAnsi="Arial"/>
          <w:sz w:val="22"/>
          <w:szCs w:val="22"/>
        </w:rPr>
        <w:t xml:space="preserve">Egenolf et al. created disorder-specific height percentiles for Caucasian children with CP stratified by sex and GMFCS mobility level (walking: GMFCS I–III vs. non-walking: GMFCS IV–V). Using 2,363 measurements from patients aged 0–18 years, the 50th percentile for ambulatory CP children fell slightly above the 3rd KiGGS (German reference) percentile, while the 50th percentile for non-ambulatory children fell mostly below the 3rd KiGGS centile. These charts enable clinicians to differentiate growth disorders specific to CP from additional pathology.</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Egenolf P, et al. Development of disorder-specific normative data for growth in children with cerebral palsy. Eur J Pediatr. 2019;178(6):811-822. DOI: 10.1007/s00431-019-03360-5</w:t>
      </w:r>
    </w:p>
    <w:p>
      <w:pPr>
        <w:pStyle w:val="Heading3"/>
      </w:pPr>
      <w:r>
        <w:rPr>
          <w:rFonts w:ascii="Arial" w:cs="Arial" w:eastAsia="Arial" w:hAnsi="Arial"/>
          <w:b/>
          <w:bCs/>
          <w:color w:val="375F8C"/>
          <w:sz w:val="22"/>
          <w:szCs w:val="22"/>
        </w:rPr>
        <w:t xml:space="preserve">3.7.3 Clinical Validation: Viñals-Labañino et al. (2019)</w:t>
      </w:r>
    </w:p>
    <w:p>
      <w:pPr>
        <w:spacing w:after="120"/>
      </w:pPr>
      <w:r>
        <w:rPr>
          <w:rFonts w:ascii="Arial" w:cs="Arial" w:eastAsia="Arial" w:hAnsi="Arial"/>
          <w:sz w:val="22"/>
          <w:szCs w:val="22"/>
        </w:rPr>
        <w:t xml:space="preserve">A cross-sectional study of 452 Mexican children with CP demonstrated that CDC charts classified 40.71% of patients below the 5th percentile, compared to only 5.5% when CP-specific charts were used. Functional classification systems (EDACS, CFCS, GMFCS) showed negative correlations with BMI, supporting the clinical utility of condition-specific charts for this population.</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Viñals-Labañino CP, et al. Usefulness of Cerebral Palsy Curves in Mexican Patients. J Child Neurol. 2019;34(6):332-338. DOI: 10.1177/0883073819830560</w:t>
      </w:r>
    </w:p>
    <w:p>
      <w:r>
        <w:br w:type="page"/>
      </w:r>
    </w:p>
    <w:p>
      <w:pPr>
        <w:pStyle w:val="Heading1"/>
      </w:pPr>
      <w:r>
        <w:rPr>
          <w:rFonts w:ascii="Arial" w:cs="Arial" w:eastAsia="Arial" w:hAnsi="Arial"/>
          <w:b/>
          <w:bCs/>
          <w:color w:val="1F4E79"/>
          <w:sz w:val="32"/>
          <w:szCs w:val="32"/>
        </w:rPr>
        <w:t xml:space="preserve">4. Comprehensive Catalogue of Growth Charts</w:t>
      </w:r>
    </w:p>
    <w:p>
      <w:pPr>
        <w:spacing w:after="120"/>
      </w:pPr>
      <w:r>
        <w:rPr>
          <w:rFonts w:ascii="Arial" w:cs="Arial" w:eastAsia="Arial" w:hAnsi="Arial"/>
          <w:sz w:val="22"/>
          <w:szCs w:val="22"/>
        </w:rPr>
        <w:t xml:space="preserve">The following table provides a consolidated reference of all major growth chart systems discussed in this analysis, organized by target population, geographic origin, key parameters, and statistical methods employed.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300"/>
        <w:gridCol w:w="1200"/>
        <w:gridCol w:w="1200"/>
        <w:gridCol w:w="1200"/>
        <w:gridCol w:w="14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Chart / Standard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Population</w:t>
            </w:r>
          </w:p>
        </w:tc>
        <w:tc>
          <w:tcPr>
            <w:tcW w:type="dxa" w:w="13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Age Range</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Parameters</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Sample Size</w:t>
            </w:r>
          </w:p>
        </w:tc>
        <w:tc>
          <w:tcPr>
            <w:tcW w:type="dxa" w:w="14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Key DOI</w:t>
            </w:r>
          </w:p>
        </w:tc>
      </w:tr>
      <w:tr>
        <w:tc>
          <w:tcPr>
            <w:tcW w:type="dxa" w:w="18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WHO CGS (2006)</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International</w:t>
            </w:r>
          </w:p>
        </w:tc>
        <w:tc>
          <w:tcPr>
            <w:tcW w:type="dxa" w:w="13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0–60 mo</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Wt, Ht, HC, BMI</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BCPE + Splines</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~7,551</w:t>
            </w:r>
          </w:p>
        </w:tc>
        <w:tc>
          <w:tcPr>
            <w:tcW w:type="dxa" w:w="146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10.1111/j.1651-2227.2006.tb02378.x</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CDC 2000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U.S.</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0–20 yr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Wt, Ht, HC, BMI</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LMS + LOESS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~45,000</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CDC Advance Data #314</w:t>
            </w:r>
          </w:p>
        </w:tc>
      </w:tr>
      <w:tr>
        <w:tc>
          <w:tcPr>
            <w:tcW w:type="dxa" w:w="18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Fenton 2013</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International</w:t>
            </w:r>
          </w:p>
        </w:tc>
        <w:tc>
          <w:tcPr>
            <w:tcW w:type="dxa" w:w="13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22–50 wk PMA</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Wt, Ht, HC</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LMS + Cubic Splines</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3,986,456</w:t>
            </w:r>
          </w:p>
        </w:tc>
        <w:tc>
          <w:tcPr>
            <w:tcW w:type="dxa" w:w="146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10.1186/1471-2431-13-59</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INTERGROWTH-21st NCSS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International</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GA at birth</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Wt, Ht, HC</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Fractional Polynomials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20,486</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10.1016/S0140-6736(14)60932-6</w:t>
            </w:r>
          </w:p>
        </w:tc>
      </w:tr>
      <w:tr>
        <w:tc>
          <w:tcPr>
            <w:tcW w:type="dxa" w:w="18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INTERGROWTH-21st FGLS</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International</w:t>
            </w:r>
          </w:p>
        </w:tc>
        <w:tc>
          <w:tcPr>
            <w:tcW w:type="dxa" w:w="13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14–42 wk GA</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HC, BPD, AC, FL</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Multilevel Frac. Poly.</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4,321</w:t>
            </w:r>
          </w:p>
        </w:tc>
        <w:tc>
          <w:tcPr>
            <w:tcW w:type="dxa" w:w="146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10.1016/S0140-6736(14)61490-2</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DS – U.S. (Zemel)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U.S.</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0–20 yr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Wt, Ht, HC, BMI</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LMS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637</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10.1542/peds.2015-1652</w:t>
            </w:r>
          </w:p>
        </w:tc>
      </w:tr>
      <w:tr>
        <w:tc>
          <w:tcPr>
            <w:tcW w:type="dxa" w:w="18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DS – Brazil (Bertapelli)</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Brazil</w:t>
            </w:r>
          </w:p>
        </w:tc>
        <w:tc>
          <w:tcPr>
            <w:tcW w:type="dxa" w:w="13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0–20 yr</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Wt, Ht, HC</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LMS + GAMLSS</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938</w:t>
            </w:r>
          </w:p>
        </w:tc>
        <w:tc>
          <w:tcPr>
            <w:tcW w:type="dxa" w:w="146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10.1016/j.je.2016.06.009</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DS – Mexico</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Mexico</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0–18 yr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Wt, Ht, HC, BMI</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LMS (Cole)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1,867</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10.1002/ajmg.a.62637</w:t>
            </w:r>
          </w:p>
        </w:tc>
      </w:tr>
      <w:tr>
        <w:tc>
          <w:tcPr>
            <w:tcW w:type="dxa" w:w="18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DS – India (Bhalla)</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India</w:t>
            </w:r>
          </w:p>
        </w:tc>
        <w:tc>
          <w:tcPr>
            <w:tcW w:type="dxa" w:w="13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0–10 yr</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Wt, Ht</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LMS</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1,125</w:t>
            </w:r>
          </w:p>
        </w:tc>
        <w:tc>
          <w:tcPr>
            <w:tcW w:type="dxa" w:w="146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10.1002/ajmg.a.63571</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Turner – Japan (Isojima)</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Japan</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0–18 yr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LMS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Varies</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10.6065/apem.2017.22.4.240</w:t>
            </w:r>
          </w:p>
        </w:tc>
      </w:tr>
      <w:tr>
        <w:tc>
          <w:tcPr>
            <w:tcW w:type="dxa" w:w="18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Turner – India</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India</w:t>
            </w:r>
          </w:p>
        </w:tc>
        <w:tc>
          <w:tcPr>
            <w:tcW w:type="dxa" w:w="13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0–adult</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Ht, Wt</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Lyon method</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113</w:t>
            </w:r>
          </w:p>
        </w:tc>
        <w:tc>
          <w:tcPr>
            <w:tcW w:type="dxa" w:w="146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10.4103/ijem.IJEM_123_20</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Noonan – Italy (Cappa)</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Italy</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0–adult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Ht, Wt, BMI, HV</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Centile curves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190</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10.1159/000540092</w:t>
            </w:r>
          </w:p>
        </w:tc>
      </w:tr>
      <w:tr>
        <w:tc>
          <w:tcPr>
            <w:tcW w:type="dxa" w:w="18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Achond. – U.S. (CLARITY)</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U.S.</w:t>
            </w:r>
          </w:p>
        </w:tc>
        <w:tc>
          <w:tcPr>
            <w:tcW w:type="dxa" w:w="13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0–18 yr</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Wt, Ht, HC, WfH</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Custom methods</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1,374</w:t>
            </w:r>
          </w:p>
        </w:tc>
        <w:tc>
          <w:tcPr>
            <w:tcW w:type="dxa" w:w="146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10.1186/s13023-021-02141-4</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Achond. – Australia</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Australia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0–adult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Wt, Ht, HC, BMI</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LMS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138</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10.1002/ajmg.a.38312</w:t>
            </w:r>
          </w:p>
        </w:tc>
      </w:tr>
      <w:tr>
        <w:tc>
          <w:tcPr>
            <w:tcW w:type="dxa" w:w="18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PWS – Korea (Lee)</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Korea</w:t>
            </w:r>
          </w:p>
        </w:tc>
        <w:tc>
          <w:tcPr>
            <w:tcW w:type="dxa" w:w="13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0–36 mo</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Wt, Ht</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LMS</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122</w:t>
            </w:r>
          </w:p>
        </w:tc>
        <w:tc>
          <w:tcPr>
            <w:tcW w:type="dxa" w:w="146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10.1002/ajmg.a.36816</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PWS – Argentina</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Argentina</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0–19 yr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Ht, Sit Ht</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LMS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167</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10.1080/03014460.2025.2534345</w:t>
            </w:r>
          </w:p>
        </w:tc>
      </w:tr>
      <w:tr>
        <w:tc>
          <w:tcPr>
            <w:tcW w:type="dxa" w:w="18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WBS – Brazil</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Brazil</w:t>
            </w:r>
          </w:p>
        </w:tc>
        <w:tc>
          <w:tcPr>
            <w:tcW w:type="dxa" w:w="13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2–18 yr</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Wt, Ht, BMI</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LMS</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Multicenter</w:t>
            </w:r>
          </w:p>
        </w:tc>
        <w:tc>
          <w:tcPr>
            <w:tcW w:type="dxa" w:w="146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10.1016/j.jped.2023.11.009</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CP – U.S. (Krick)</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U.S.</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0–10 yr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Wt, Ht, WfL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Smoothing Splines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360</w:t>
            </w:r>
          </w:p>
        </w:tc>
        <w:tc>
          <w:tcPr>
            <w:tcW w:type="dxa" w:w="14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8"/>
                <w:szCs w:val="18"/>
              </w:rPr>
              <w:t xml:space="preserve">10.1016/s0002-8223(96)00188-5</w:t>
            </w:r>
          </w:p>
        </w:tc>
      </w:tr>
      <w:tr>
        <w:tc>
          <w:tcPr>
            <w:tcW w:type="dxa" w:w="18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CP – Europe (Egenolf)</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Germany</w:t>
            </w:r>
          </w:p>
        </w:tc>
        <w:tc>
          <w:tcPr>
            <w:tcW w:type="dxa" w:w="13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0–18 yr</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Ht by GMFCS</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Percentile curves</w:t>
            </w:r>
          </w:p>
        </w:tc>
        <w:tc>
          <w:tcPr>
            <w:tcW w:type="dxa" w:w="120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~800</w:t>
            </w:r>
          </w:p>
        </w:tc>
        <w:tc>
          <w:tcPr>
            <w:tcW w:type="dxa" w:w="1460"/>
            <w:tcBorders>
              <w:top w:val="single" w:color="AAAAAA" w:sz="1"/>
              <w:left w:val="single" w:color="AAAAAA" w:sz="1"/>
              <w:bottom w:val="single" w:color="AAAAAA" w:sz="1"/>
              <w:right w:val="single" w:color="AAAAAA" w:sz="1"/>
            </w:tcBorders>
            <w:shd w:fill="EDF2F9" w:val="clear"/>
            <w:tcMar>
              <w:top w:type="dxa" w:w="60"/>
              <w:left w:type="dxa" w:w="100"/>
              <w:bottom w:type="dxa" w:w="60"/>
              <w:right w:type="dxa" w:w="100"/>
            </w:tcMar>
          </w:tcPr>
          <w:p>
            <w:r>
              <w:rPr>
                <w:rFonts w:ascii="Arial" w:cs="Arial" w:eastAsia="Arial" w:hAnsi="Arial"/>
                <w:sz w:val="18"/>
                <w:szCs w:val="18"/>
              </w:rPr>
              <w:t xml:space="preserve">10.1007/s00431-019-03360-5</w:t>
            </w:r>
          </w:p>
        </w:tc>
      </w:tr>
    </w:tbl>
    <w:p>
      <w:pPr>
        <w:spacing w:after="200"/>
      </w:pPr>
    </w:p>
    <w:p>
      <w:pPr>
        <w:spacing w:after="120"/>
      </w:pPr>
      <w:r>
        <w:rPr>
          <w:rFonts w:ascii="Arial" w:cs="Arial" w:eastAsia="Arial" w:hAnsi="Arial"/>
          <w:i/>
          <w:iCs/>
          <w:color w:val="555555"/>
          <w:sz w:val="20"/>
          <w:szCs w:val="20"/>
        </w:rPr>
        <w:t xml:space="preserve">Abbreviations: Wt = weight, Ht = height/length, HC = head circumference, BMI = body mass index, HV = height velocity, WfH = weight-for-height, WfL = weight-for-length, BPD = biparietal diameter, AC = abdominal circumference, FL = femur length, GA = gestational age, PMA = post-menstrual age, DS = Down syndrome, Achond. = achondroplasia, PWS = Prader-Willi syndrome, WBS = Williams-Beuren syndrome, CP = cerebral palsy, GMFCS = Gross Motor Function Classification System.</w:t>
      </w:r>
    </w:p>
    <w:p>
      <w:r>
        <w:br w:type="page"/>
      </w:r>
    </w:p>
    <w:p>
      <w:pPr>
        <w:pStyle w:val="Heading1"/>
      </w:pPr>
      <w:r>
        <w:rPr>
          <w:rFonts w:ascii="Arial" w:cs="Arial" w:eastAsia="Arial" w:hAnsi="Arial"/>
          <w:b/>
          <w:bCs/>
          <w:color w:val="1F4E79"/>
          <w:sz w:val="32"/>
          <w:szCs w:val="32"/>
        </w:rPr>
        <w:t xml:space="preserve">5. Statistical Methods for Growth Chart Construction</w:t>
      </w:r>
    </w:p>
    <w:p>
      <w:pPr>
        <w:spacing w:after="120"/>
      </w:pPr>
      <w:r>
        <w:rPr>
          <w:rFonts w:ascii="Arial" w:cs="Arial" w:eastAsia="Arial" w:hAnsi="Arial"/>
          <w:sz w:val="22"/>
          <w:szCs w:val="22"/>
        </w:rPr>
        <w:t xml:space="preserve">This section provides a detailed technical guide to the statistical methodologies used in constructing growth charts, with practical guidance for recreating these charts using modern software tools.</w:t>
      </w:r>
    </w:p>
    <w:p>
      <w:pPr>
        <w:pStyle w:val="Heading2"/>
      </w:pPr>
      <w:r>
        <w:rPr>
          <w:rFonts w:ascii="Arial" w:cs="Arial" w:eastAsia="Arial" w:hAnsi="Arial"/>
          <w:b/>
          <w:bCs/>
          <w:color w:val="2E75B6"/>
          <w:sz w:val="26"/>
          <w:szCs w:val="26"/>
        </w:rPr>
        <w:t xml:space="preserve">5.1 The LMS Method (Cole &amp; Green, 1992)</w:t>
      </w:r>
    </w:p>
    <w:p>
      <w:pPr>
        <w:spacing w:after="120"/>
      </w:pPr>
      <w:r>
        <w:rPr>
          <w:rFonts w:ascii="Arial" w:cs="Arial" w:eastAsia="Arial" w:hAnsi="Arial"/>
          <w:sz w:val="22"/>
          <w:szCs w:val="22"/>
        </w:rPr>
        <w:t xml:space="preserve">The Lambda-Mu-Sigma (LMS) method, introduced by Cole and Green in 1992, has become the standard approach for constructing growth reference centile curves. The method is based on the principle that the distribution of a measurement at each age can be summarized by three parameters: Lambda (L, the Box-Cox power transformation parameter accounting for skewness), Mu (M, the median), and Sigma (S, the coefficient of variation). The method assumes that after an appropriate Box-Cox power transformation, the data at each age follow a normal distribution.</w:t>
      </w:r>
    </w:p>
    <w:p>
      <w:pPr>
        <w:spacing w:after="120"/>
      </w:pPr>
      <w:r>
        <w:rPr>
          <w:rFonts w:ascii="Arial" w:cs="Arial" w:eastAsia="Arial" w:hAnsi="Arial"/>
          <w:b/>
          <w:bCs/>
          <w:sz w:val="22"/>
          <w:szCs w:val="22"/>
        </w:rPr>
        <w:t xml:space="preserve">Mathematical Foundation: </w:t>
      </w:r>
      <w:r>
        <w:rPr>
          <w:rFonts w:ascii="Arial" w:cs="Arial" w:eastAsia="Arial" w:hAnsi="Arial"/>
          <w:sz w:val="22"/>
          <w:szCs w:val="22"/>
        </w:rPr>
        <w:t xml:space="preserve">Given a measurement Y at age t, the LMS method models the distribution as Y ~ BCCG(μ(t), σ(t), ν(t)), where the Box-Cox Cole-Green (BCCG) distribution has parameters μ (median), σ (coefficient of variation), and ν (Box-Cox power). The z-score for a given measurement y at age t is calculated as: z = [((y/M(t))^L(t)) − 1] / (L(t) × S(t)) when L(t) ≠ 0, and z = ln(y/M(t)) / S(t) when L(t) = 0. Conversely, the centile value C at percentile 100α is: C = M(t) × [1 + L(t) × S(t) × zα]^(1/L(t)), where zα is the α-quantile of the standard normal distribution.</w:t>
      </w:r>
    </w:p>
    <w:p>
      <w:pPr>
        <w:spacing w:after="120"/>
      </w:pPr>
      <w:r>
        <w:rPr>
          <w:rFonts w:ascii="Arial" w:cs="Arial" w:eastAsia="Arial" w:hAnsi="Arial"/>
          <w:b/>
          <w:bCs/>
          <w:sz w:val="22"/>
          <w:szCs w:val="22"/>
        </w:rPr>
        <w:t xml:space="preserve">Smoothing: </w:t>
      </w:r>
      <w:r>
        <w:rPr>
          <w:rFonts w:ascii="Arial" w:cs="Arial" w:eastAsia="Arial" w:hAnsi="Arial"/>
          <w:sz w:val="22"/>
          <w:szCs w:val="22"/>
        </w:rPr>
        <w:t xml:space="preserve">The L, M, and S parameters are smoothed across age using penalized likelihood estimation with cubic splines. The degree of smoothness is controlled by the effective degrees of freedom (edf) of the spline for each parameter curve. Selection of the optimal edf values is a critical decision that balances fidelity to the data against overfitting. Common approaches include minimizing the Akaike Information Criterion (AIC) or the Bayesian Information Criterion (BIC).</w:t>
      </w:r>
    </w:p>
    <w:p>
      <w:pPr>
        <w:spacing w:after="120"/>
      </w:pPr>
      <w:r>
        <w:rPr>
          <w:rFonts w:ascii="Arial" w:cs="Arial" w:eastAsia="Arial" w:hAnsi="Arial"/>
          <w:b/>
          <w:bCs/>
          <w:sz w:val="22"/>
          <w:szCs w:val="22"/>
        </w:rPr>
        <w:t xml:space="preserve">Key Reference: </w:t>
      </w:r>
      <w:r>
        <w:rPr>
          <w:rFonts w:ascii="Arial" w:cs="Arial" w:eastAsia="Arial" w:hAnsi="Arial"/>
          <w:sz w:val="22"/>
          <w:szCs w:val="22"/>
        </w:rPr>
        <w:t xml:space="preserve">Cole TJ, Green PJ. Smoothing reference centile curves: the LMS method and penalized likelihood. Stat Med. 1992;11:1305–1319.</w:t>
      </w:r>
    </w:p>
    <w:p>
      <w:pPr>
        <w:pStyle w:val="Heading2"/>
      </w:pPr>
      <w:r>
        <w:rPr>
          <w:rFonts w:ascii="Arial" w:cs="Arial" w:eastAsia="Arial" w:hAnsi="Arial"/>
          <w:b/>
          <w:bCs/>
          <w:color w:val="2E75B6"/>
          <w:sz w:val="26"/>
          <w:szCs w:val="26"/>
        </w:rPr>
        <w:t xml:space="preserve">5.2 GAMLSS Framework</w:t>
      </w:r>
    </w:p>
    <w:p>
      <w:pPr>
        <w:spacing w:after="120"/>
      </w:pPr>
      <w:r>
        <w:rPr>
          <w:rFonts w:ascii="Arial" w:cs="Arial" w:eastAsia="Arial" w:hAnsi="Arial"/>
          <w:sz w:val="22"/>
          <w:szCs w:val="22"/>
        </w:rPr>
        <w:t xml:space="preserve">Generalized Additive Models for Location, Scale, and Shape (GAMLSS) extend the LMS method to a broader class of distributions and smoothing approaches. Introduced by Rigby and Stasinopoulos (2005), GAMLSS models assume the response variable follows a flexible parametric distribution with up to four parameters (μ, σ, ν, τ) that can each be modeled as smooth functions of covariates.</w:t>
      </w:r>
    </w:p>
    <w:p>
      <w:pPr>
        <w:spacing w:after="120"/>
      </w:pPr>
      <w:r>
        <w:rPr>
          <w:rFonts w:ascii="Arial" w:cs="Arial" w:eastAsia="Arial" w:hAnsi="Arial"/>
          <w:b/>
          <w:bCs/>
          <w:sz w:val="22"/>
          <w:szCs w:val="22"/>
        </w:rPr>
        <w:t xml:space="preserve">Distributions: </w:t>
      </w:r>
      <w:r>
        <w:rPr>
          <w:rFonts w:ascii="Arial" w:cs="Arial" w:eastAsia="Arial" w:hAnsi="Arial"/>
          <w:sz w:val="22"/>
          <w:szCs w:val="22"/>
        </w:rPr>
        <w:t xml:space="preserve">GAMLSS supports a wide range of distributions appropriate for growth data. The three key distributions in the “LMS class” are BCCG (Box-Cox Cole-Green, equivalent to classical LMS, handles skewness), BCPE (Box-Cox Power Exponential, extends LMS to handle kurtosis via the τ parameter, called the LMSP method), and BCT (Box-Cox t distribution, also handles kurtosis using a t-distribution assumption, called the LMST method). The choice among these distributions depends on whether the data exhibit kurtosis in addition to skewness. For many growth measurements, the BCCG (classical LMS) is sufficient, but head circumference and BMI may require BCPE or BCT.</w:t>
      </w:r>
    </w:p>
    <w:p>
      <w:pPr>
        <w:spacing w:after="120"/>
      </w:pPr>
      <w:r>
        <w:rPr>
          <w:rFonts w:ascii="Arial" w:cs="Arial" w:eastAsia="Arial" w:hAnsi="Arial"/>
          <w:b/>
          <w:bCs/>
          <w:sz w:val="22"/>
          <w:szCs w:val="22"/>
        </w:rPr>
        <w:t xml:space="preserve">Smoothing Functions: </w:t>
      </w:r>
      <w:r>
        <w:rPr>
          <w:rFonts w:ascii="Arial" w:cs="Arial" w:eastAsia="Arial" w:hAnsi="Arial"/>
          <w:sz w:val="22"/>
          <w:szCs w:val="22"/>
        </w:rPr>
        <w:t xml:space="preserve">GAMLSS employs P-splines (penalized B-splines, implemented as pb() in R) as the default smoothing technique, though other options include cubic splines (cs()), thin plate splines, and LOESS. The P-spline approach uses a B-spline basis with a difference penalty on the coefficients to control smoothness. The penalty parameter can be estimated by local maximum likelihood (ML) or by minimizing GAIC (generalized AIC).</w:t>
      </w:r>
    </w:p>
    <w:p>
      <w:pPr>
        <w:spacing w:after="120"/>
      </w:pPr>
      <w:r>
        <w:rPr>
          <w:rFonts w:ascii="Arial" w:cs="Arial" w:eastAsia="Arial" w:hAnsi="Arial"/>
          <w:b/>
          <w:bCs/>
          <w:sz w:val="22"/>
          <w:szCs w:val="22"/>
        </w:rPr>
        <w:t xml:space="preserve">Key References: </w:t>
      </w:r>
      <w:r>
        <w:rPr>
          <w:rFonts w:ascii="Arial" w:cs="Arial" w:eastAsia="Arial" w:hAnsi="Arial"/>
          <w:sz w:val="22"/>
          <w:szCs w:val="22"/>
        </w:rPr>
        <w:t xml:space="preserve">Rigby RA, Stasinopoulos DM. Generalized additive models for location, scale and shape. Appl Stat. 2005;54(3):507-554. Stasinopoulos DM, Rigby RA. Generalized additive models for location scale and shape (GAMLSS) in R. J Stat Softw. 2007;23(7).</w:t>
      </w:r>
    </w:p>
    <w:p>
      <w:pPr>
        <w:pStyle w:val="Heading2"/>
      </w:pPr>
      <w:r>
        <w:rPr>
          <w:rFonts w:ascii="Arial" w:cs="Arial" w:eastAsia="Arial" w:hAnsi="Arial"/>
          <w:b/>
          <w:bCs/>
          <w:color w:val="2E75B6"/>
          <w:sz w:val="26"/>
          <w:szCs w:val="26"/>
        </w:rPr>
        <w:t xml:space="preserve">5.3 Quantile Regression</w:t>
      </w:r>
    </w:p>
    <w:p>
      <w:pPr>
        <w:spacing w:after="120"/>
      </w:pPr>
      <w:r>
        <w:rPr>
          <w:rFonts w:ascii="Arial" w:cs="Arial" w:eastAsia="Arial" w:hAnsi="Arial"/>
          <w:sz w:val="22"/>
          <w:szCs w:val="22"/>
        </w:rPr>
        <w:t xml:space="preserve">Quantile regression offers a non-parametric alternative to the LMS approach. Rather than assuming a parametric distribution at each age, quantile regression directly estimates conditional quantiles (percentiles) of the response variable as functions of the covariates. This approach makes fewer distributional assumptions and can be more robust when the data do not conform to the Box-Cox Normal or related distributions.</w:t>
      </w:r>
    </w:p>
    <w:p>
      <w:pPr>
        <w:spacing w:after="120"/>
      </w:pPr>
      <w:r>
        <w:rPr>
          <w:rFonts w:ascii="Arial" w:cs="Arial" w:eastAsia="Arial" w:hAnsi="Arial"/>
          <w:sz w:val="22"/>
          <w:szCs w:val="22"/>
        </w:rPr>
        <w:t xml:space="preserve">The primary limitation of quantile regression for growth chart construction is that estimated quantile curves can cross, producing biologically implausible results. Specialized non-crossing quantile regression methods have been developed to address this, but the approach generally requires larger sample sizes than the LMS method to achieve comparable smoothness.</w:t>
      </w:r>
    </w:p>
    <w:p>
      <w:pPr>
        <w:pStyle w:val="Heading2"/>
      </w:pPr>
      <w:r>
        <w:rPr>
          <w:rFonts w:ascii="Arial" w:cs="Arial" w:eastAsia="Arial" w:hAnsi="Arial"/>
          <w:b/>
          <w:bCs/>
          <w:color w:val="2E75B6"/>
          <w:sz w:val="26"/>
          <w:szCs w:val="26"/>
        </w:rPr>
        <w:t xml:space="preserve">5.4 Fractional Polynomials</w:t>
      </w:r>
    </w:p>
    <w:p>
      <w:pPr>
        <w:spacing w:after="120"/>
      </w:pPr>
      <w:r>
        <w:rPr>
          <w:rFonts w:ascii="Arial" w:cs="Arial" w:eastAsia="Arial" w:hAnsi="Arial"/>
          <w:sz w:val="22"/>
          <w:szCs w:val="22"/>
        </w:rPr>
        <w:t xml:space="preserve">Fractional polynomials, used prominently in the INTERGROWTH-21st Project, offer a flexible parametric approach to modeling the relationship between measurements and gestational age or postnatal age. Unlike conventional polynomials, fractional polynomials allow non-integer and negative powers (e.g., x^(-2), x^(-1), x^(0.5), x^1, x^2, x^3, ln(x)). The INTERGROWTH-21st Fetal Growth Longitudinal Study used second-degree fractional polynomials modeled in a multilevel framework to account for the longitudinal study design.</w:t>
      </w:r>
    </w:p>
    <w:p>
      <w:pPr>
        <w:pStyle w:val="Heading2"/>
      </w:pPr>
      <w:r>
        <w:rPr>
          <w:rFonts w:ascii="Arial" w:cs="Arial" w:eastAsia="Arial" w:hAnsi="Arial"/>
          <w:b/>
          <w:bCs/>
          <w:color w:val="2E75B6"/>
          <w:sz w:val="26"/>
          <w:szCs w:val="26"/>
        </w:rPr>
        <w:t xml:space="preserve">5.5 Practical Guide to Recreating Growth Charts</w:t>
      </w:r>
    </w:p>
    <w:p>
      <w:pPr>
        <w:spacing w:after="120"/>
      </w:pPr>
      <w:r>
        <w:rPr>
          <w:rFonts w:ascii="Arial" w:cs="Arial" w:eastAsia="Arial" w:hAnsi="Arial"/>
          <w:sz w:val="22"/>
          <w:szCs w:val="22"/>
        </w:rPr>
        <w:t xml:space="preserve">This section provides step-by-step guidance for constructing growth charts from raw anthropometric data using the GAMLSS package in R, which is the most widely used and WHO-recommended software framework.</w:t>
      </w:r>
    </w:p>
    <w:p>
      <w:pPr>
        <w:pStyle w:val="Heading3"/>
      </w:pPr>
      <w:r>
        <w:rPr>
          <w:rFonts w:ascii="Arial" w:cs="Arial" w:eastAsia="Arial" w:hAnsi="Arial"/>
          <w:b/>
          <w:bCs/>
          <w:color w:val="375F8C"/>
          <w:sz w:val="22"/>
          <w:szCs w:val="22"/>
        </w:rPr>
        <w:t xml:space="preserve">5.5.1 Software Requirements</w:t>
      </w:r>
    </w:p>
    <w:p>
      <w:pPr>
        <w:spacing w:after="120"/>
      </w:pPr>
      <w:r>
        <w:rPr>
          <w:rFonts w:ascii="Arial" w:cs="Arial" w:eastAsia="Arial" w:hAnsi="Arial"/>
          <w:sz w:val="22"/>
          <w:szCs w:val="22"/>
        </w:rPr>
        <w:t xml:space="preserve">The primary software environment is R (version 4.0 or higher) with the following packages: gamlss (core GAMLSS modeling framework, contains the lms() function and all distribution families), gamlss.dist (distribution families for GAMLSS), gamlss.data (example datasets including the WHO reference data), and ggplot2 (for visualization). Additionally, the standalone application LMSchartmaker Pro (developed by Tim Cole) provides a graphical interface for LMS curve fitting without requiring R programming, and RefCurv provides a Python/R hybrid GUI for reference curve construction using GAMLSS.</w:t>
      </w:r>
    </w:p>
    <w:p>
      <w:pPr>
        <w:pStyle w:val="Heading3"/>
      </w:pPr>
      <w:r>
        <w:rPr>
          <w:rFonts w:ascii="Arial" w:cs="Arial" w:eastAsia="Arial" w:hAnsi="Arial"/>
          <w:b/>
          <w:bCs/>
          <w:color w:val="375F8C"/>
          <w:sz w:val="22"/>
          <w:szCs w:val="22"/>
        </w:rPr>
        <w:t xml:space="preserve">5.5.2 Step-by-Step Process</w:t>
      </w:r>
    </w:p>
    <w:p>
      <w:pPr>
        <w:spacing w:after="120"/>
      </w:pPr>
      <w:r>
        <w:rPr>
          <w:rFonts w:ascii="Arial" w:cs="Arial" w:eastAsia="Arial" w:hAnsi="Arial"/>
          <w:b/>
          <w:bCs/>
          <w:sz w:val="22"/>
          <w:szCs w:val="22"/>
        </w:rPr>
        <w:t xml:space="preserve">Step 1 – Data Preparation: </w:t>
      </w:r>
      <w:r>
        <w:rPr>
          <w:rFonts w:ascii="Arial" w:cs="Arial" w:eastAsia="Arial" w:hAnsi="Arial"/>
          <w:sz w:val="22"/>
          <w:szCs w:val="22"/>
        </w:rPr>
        <w:t xml:space="preserve">Compile cross-sectional or longitudinal anthropometric measurements (weight, length/height, head circumference) with accurate age and sex data. Exclude data from children with known pathological conditions (unless constructing condition-specific charts). Convert length to height at the WHO-recommended transition age (24 months) with the standard 0.7 cm adjustment. Handle extreme outliers using clinical judgment and statistical flagging (e.g., values beyond ±5 SD from initial estimates).</w:t>
      </w:r>
    </w:p>
    <w:p>
      <w:pPr>
        <w:spacing w:after="120"/>
      </w:pPr>
      <w:r>
        <w:rPr>
          <w:rFonts w:ascii="Arial" w:cs="Arial" w:eastAsia="Arial" w:hAnsi="Arial"/>
          <w:b/>
          <w:bCs/>
          <w:sz w:val="22"/>
          <w:szCs w:val="22"/>
        </w:rPr>
        <w:t xml:space="preserve">Step 2 – Exploratory Analysis: </w:t>
      </w:r>
      <w:r>
        <w:rPr>
          <w:rFonts w:ascii="Arial" w:cs="Arial" w:eastAsia="Arial" w:hAnsi="Arial"/>
          <w:sz w:val="22"/>
          <w:szCs w:val="22"/>
        </w:rPr>
        <w:t xml:space="preserve">Plot scatter diagrams of each measurement against age, separately by sex. Examine the data for heteroscedasticity, skewness, kurtosis, and any systematic patterns that will inform distribution selection.</w:t>
      </w:r>
    </w:p>
    <w:p>
      <w:pPr>
        <w:spacing w:after="120"/>
      </w:pPr>
      <w:r>
        <w:rPr>
          <w:rFonts w:ascii="Arial" w:cs="Arial" w:eastAsia="Arial" w:hAnsi="Arial"/>
          <w:b/>
          <w:bCs/>
          <w:sz w:val="22"/>
          <w:szCs w:val="22"/>
        </w:rPr>
        <w:t xml:space="preserve">Step 3 – Distribution Selection: </w:t>
      </w:r>
      <w:r>
        <w:rPr>
          <w:rFonts w:ascii="Arial" w:cs="Arial" w:eastAsia="Arial" w:hAnsi="Arial"/>
          <w:sz w:val="22"/>
          <w:szCs w:val="22"/>
        </w:rPr>
        <w:t xml:space="preserve">Fit candidate distributions (BCCG, BCPE, BCT) to the data and compare using GAIC or BIC. The lms() function in the gamlss package automates this comparison. For measurements that are approximately normally distributed (e.g., length/height-for-age), the Normal distribution may suffice. For positively skewed measurements (e.g., weight, BMI), the BCCG is typically needed. For measurements with both skewness and kurtosis, BCPE or BCT should be evaluated.</w:t>
      </w:r>
    </w:p>
    <w:p>
      <w:pPr>
        <w:spacing w:after="120"/>
      </w:pPr>
      <w:r>
        <w:rPr>
          <w:rFonts w:ascii="Arial" w:cs="Arial" w:eastAsia="Arial" w:hAnsi="Arial"/>
          <w:b/>
          <w:bCs/>
          <w:sz w:val="22"/>
          <w:szCs w:val="22"/>
        </w:rPr>
        <w:t xml:space="preserve">Step 4 – Model Fitting: </w:t>
      </w:r>
      <w:r>
        <w:rPr>
          <w:rFonts w:ascii="Arial" w:cs="Arial" w:eastAsia="Arial" w:hAnsi="Arial"/>
          <w:sz w:val="22"/>
          <w:szCs w:val="22"/>
        </w:rPr>
        <w:t xml:space="preserve">Using the selected distribution, fit the GAMLSS model with P-spline smoothers for each distributional parameter. The model is: y ~ D(μ = pb(age), σ = pb(age), ν = pb(age), τ = pb(age)), where pb() denotes penalized B-splines and the number of parameters depends on the chosen distribution. Optimize smoothing by adjusting the degrees of freedom (edf) for each parameter. Start with automatic selection (the default in lms()), then refine if needed.</w:t>
      </w:r>
    </w:p>
    <w:p>
      <w:pPr>
        <w:spacing w:after="120"/>
      </w:pPr>
      <w:r>
        <w:rPr>
          <w:rFonts w:ascii="Arial" w:cs="Arial" w:eastAsia="Arial" w:hAnsi="Arial"/>
          <w:b/>
          <w:bCs/>
          <w:sz w:val="22"/>
          <w:szCs w:val="22"/>
        </w:rPr>
        <w:t xml:space="preserve">Step 5 – Model Diagnostics: </w:t>
      </w:r>
      <w:r>
        <w:rPr>
          <w:rFonts w:ascii="Arial" w:cs="Arial" w:eastAsia="Arial" w:hAnsi="Arial"/>
          <w:sz w:val="22"/>
          <w:szCs w:val="22"/>
        </w:rPr>
        <w:t xml:space="preserve">Evaluate the fitted model using: (a) Worm plots (detrended Q-Q plots) at different age groups to check for local departures from the assumed distribution. Ideally, residuals should fall randomly within the 95% confidence interval without systematic patterns. (b) Comparison of smoothed centiles with empirical centiles to ensure they agree within expected sampling variation. (c) Q-statistics testing for residual departures from the assumed distribution. (d) Calibration checks (percentage of observations below each fitted centile should match the nominal percentage).</w:t>
      </w:r>
    </w:p>
    <w:p>
      <w:pPr>
        <w:spacing w:after="120"/>
      </w:pPr>
      <w:r>
        <w:rPr>
          <w:rFonts w:ascii="Arial" w:cs="Arial" w:eastAsia="Arial" w:hAnsi="Arial"/>
          <w:b/>
          <w:bCs/>
          <w:sz w:val="22"/>
          <w:szCs w:val="22"/>
        </w:rPr>
        <w:t xml:space="preserve">Step 6 – Centile Extraction: </w:t>
      </w:r>
      <w:r>
        <w:rPr>
          <w:rFonts w:ascii="Arial" w:cs="Arial" w:eastAsia="Arial" w:hAnsi="Arial"/>
          <w:sz w:val="22"/>
          <w:szCs w:val="22"/>
        </w:rPr>
        <w:t xml:space="preserve">Extract the L, M, S (and optionally T) parameter values at each age point. Calculate the desired centile curves (e.g., 3rd, 10th, 25th, 50th, 75th, 90th, 97th) using the inverse centile formula. Generate z-score conversion tables for clinical use.</w:t>
      </w:r>
    </w:p>
    <w:p>
      <w:pPr>
        <w:spacing w:after="120"/>
      </w:pPr>
      <w:r>
        <w:rPr>
          <w:rFonts w:ascii="Arial" w:cs="Arial" w:eastAsia="Arial" w:hAnsi="Arial"/>
          <w:b/>
          <w:bCs/>
          <w:sz w:val="22"/>
          <w:szCs w:val="22"/>
        </w:rPr>
        <w:t xml:space="preserve">Step 7 – Visualization &amp; Publication: </w:t>
      </w:r>
      <w:r>
        <w:rPr>
          <w:rFonts w:ascii="Arial" w:cs="Arial" w:eastAsia="Arial" w:hAnsi="Arial"/>
          <w:sz w:val="22"/>
          <w:szCs w:val="22"/>
        </w:rPr>
        <w:t xml:space="preserve">Create publication-quality growth chart figures with clearly labeled axes, percentile lines, and appropriate gridlines. Generate companion tables of L, M, S parameters and percentile/z-score values at standard age intervals.</w:t>
      </w:r>
    </w:p>
    <w:p>
      <w:pPr>
        <w:pStyle w:val="Heading3"/>
      </w:pPr>
      <w:r>
        <w:rPr>
          <w:rFonts w:ascii="Arial" w:cs="Arial" w:eastAsia="Arial" w:hAnsi="Arial"/>
          <w:b/>
          <w:bCs/>
          <w:color w:val="375F8C"/>
          <w:sz w:val="22"/>
          <w:szCs w:val="22"/>
        </w:rPr>
        <w:t xml:space="preserve">5.5.3 R Code Template</w:t>
      </w:r>
    </w:p>
    <w:p>
      <w:pPr>
        <w:spacing w:after="120"/>
      </w:pPr>
      <w:r>
        <w:rPr>
          <w:rFonts w:ascii="Arial" w:cs="Arial" w:eastAsia="Arial" w:hAnsi="Arial"/>
          <w:sz w:val="22"/>
          <w:szCs w:val="22"/>
        </w:rPr>
        <w:t xml:space="preserve">The following illustrates the core R code structure for constructing growth charts using the GAMLSS lms() function:</w:t>
      </w:r>
    </w:p>
    <w:p>
      <w:pPr>
        <w:spacing w:after="80"/>
      </w:pPr>
      <w:r>
        <w:rPr>
          <w:rFonts w:ascii="Courier New" w:cs="Courier New" w:eastAsia="Courier New" w:hAnsi="Courier New"/>
          <w:sz w:val="18"/>
          <w:szCs w:val="18"/>
        </w:rPr>
        <w:t xml:space="preserve"># Install and load required packages</w:t>
      </w:r>
    </w:p>
    <w:p>
      <w:pPr>
        <w:spacing w:after="80"/>
      </w:pPr>
      <w:r>
        <w:rPr>
          <w:rFonts w:ascii="Courier New" w:cs="Courier New" w:eastAsia="Courier New" w:hAnsi="Courier New"/>
          <w:sz w:val="18"/>
          <w:szCs w:val="18"/>
        </w:rPr>
        <w:t xml:space="preserve">install.packages("gamlss")</w:t>
      </w:r>
    </w:p>
    <w:p>
      <w:pPr>
        <w:spacing w:after="80"/>
      </w:pPr>
      <w:r>
        <w:rPr>
          <w:rFonts w:ascii="Courier New" w:cs="Courier New" w:eastAsia="Courier New" w:hAnsi="Courier New"/>
          <w:sz w:val="18"/>
          <w:szCs w:val="18"/>
        </w:rPr>
        <w:t xml:space="preserve">library(gamlss)</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Load and prepare data (example for boys weight)</w:t>
      </w:r>
    </w:p>
    <w:p>
      <w:pPr>
        <w:spacing w:after="80"/>
      </w:pPr>
      <w:r>
        <w:rPr>
          <w:rFonts w:ascii="Courier New" w:cs="Courier New" w:eastAsia="Courier New" w:hAnsi="Courier New"/>
          <w:sz w:val="18"/>
          <w:szCs w:val="18"/>
        </w:rPr>
        <w:t xml:space="preserve">boys &lt;- subset(mydata, sex == 'M')</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Fit LMS model with automatic distribution selection</w:t>
      </w:r>
    </w:p>
    <w:p>
      <w:pPr>
        <w:spacing w:after="80"/>
      </w:pPr>
      <w:r>
        <w:rPr>
          <w:rFonts w:ascii="Courier New" w:cs="Courier New" w:eastAsia="Courier New" w:hAnsi="Courier New"/>
          <w:sz w:val="18"/>
          <w:szCs w:val="18"/>
        </w:rPr>
        <w:t xml:space="preserve">m1 &lt;- lms(y = boys$weight, x = boys$age,</w:t>
      </w:r>
    </w:p>
    <w:p>
      <w:pPr>
        <w:spacing w:after="80"/>
      </w:pPr>
      <w:r>
        <w:rPr>
          <w:rFonts w:ascii="Courier New" w:cs="Courier New" w:eastAsia="Courier New" w:hAnsi="Courier New"/>
          <w:sz w:val="18"/>
          <w:szCs w:val="18"/>
        </w:rPr>
        <w:t xml:space="preserve">          families = c("BCCGo","BCPEo","BCTo"),</w:t>
      </w:r>
    </w:p>
    <w:p>
      <w:pPr>
        <w:spacing w:after="80"/>
      </w:pPr>
      <w:r>
        <w:rPr>
          <w:rFonts w:ascii="Courier New" w:cs="Courier New" w:eastAsia="Courier New" w:hAnsi="Courier New"/>
          <w:sz w:val="18"/>
          <w:szCs w:val="18"/>
        </w:rPr>
        <w:t xml:space="preserve">          cent = c(3, 10, 25, 50, 75, 90, 97),</w:t>
      </w:r>
    </w:p>
    <w:p>
      <w:pPr>
        <w:spacing w:after="80"/>
      </w:pPr>
      <w:r>
        <w:rPr>
          <w:rFonts w:ascii="Courier New" w:cs="Courier New" w:eastAsia="Courier New" w:hAnsi="Courier New"/>
          <w:sz w:val="18"/>
          <w:szCs w:val="18"/>
        </w:rPr>
        <w:t xml:space="preserve">          k = 2, trans.x = TRUE)</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View model summary and diagnostics</w:t>
      </w:r>
    </w:p>
    <w:p>
      <w:pPr>
        <w:spacing w:after="80"/>
      </w:pPr>
      <w:r>
        <w:rPr>
          <w:rFonts w:ascii="Courier New" w:cs="Courier New" w:eastAsia="Courier New" w:hAnsi="Courier New"/>
          <w:sz w:val="18"/>
          <w:szCs w:val="18"/>
        </w:rPr>
        <w:t xml:space="preserve">summary(m1)</w:t>
      </w:r>
    </w:p>
    <w:p>
      <w:pPr>
        <w:spacing w:after="80"/>
      </w:pPr>
      <w:r>
        <w:rPr>
          <w:rFonts w:ascii="Courier New" w:cs="Courier New" w:eastAsia="Courier New" w:hAnsi="Courier New"/>
          <w:sz w:val="18"/>
          <w:szCs w:val="18"/>
        </w:rPr>
        <w:t xml:space="preserve">wp(m1)  # Worm plot diagnostics</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Extract LMS parameters</w:t>
      </w:r>
    </w:p>
    <w:p>
      <w:pPr>
        <w:spacing w:after="80"/>
      </w:pPr>
      <w:r>
        <w:rPr>
          <w:rFonts w:ascii="Courier New" w:cs="Courier New" w:eastAsia="Courier New" w:hAnsi="Courier New"/>
          <w:sz w:val="18"/>
          <w:szCs w:val="18"/>
        </w:rPr>
        <w:t xml:space="preserve">params &lt;- predictAll(m1, newdata = data.frame(</w:t>
      </w:r>
    </w:p>
    <w:p>
      <w:pPr>
        <w:spacing w:after="80"/>
      </w:pPr>
      <w:r>
        <w:rPr>
          <w:rFonts w:ascii="Courier New" w:cs="Courier New" w:eastAsia="Courier New" w:hAnsi="Courier New"/>
          <w:sz w:val="18"/>
          <w:szCs w:val="18"/>
        </w:rPr>
        <w:t xml:space="preserve">  age = seq(min_age, max_age, by = increment)))</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Calculate z-scores for individual measurements</w:t>
      </w:r>
    </w:p>
    <w:p>
      <w:pPr>
        <w:spacing w:after="200"/>
      </w:pPr>
      <w:r>
        <w:rPr>
          <w:rFonts w:ascii="Courier New" w:cs="Courier New" w:eastAsia="Courier New" w:hAnsi="Courier New"/>
          <w:sz w:val="18"/>
          <w:szCs w:val="18"/>
        </w:rPr>
        <w:t xml:space="preserve">z &lt;- centiles.pred(m1, xname='age', xvalues=age_val, yval=measurement)</w:t>
      </w:r>
    </w:p>
    <w:p>
      <w:pPr>
        <w:pStyle w:val="Heading3"/>
      </w:pPr>
      <w:r>
        <w:rPr>
          <w:rFonts w:ascii="Arial" w:cs="Arial" w:eastAsia="Arial" w:hAnsi="Arial"/>
          <w:b/>
          <w:bCs/>
          <w:color w:val="375F8C"/>
          <w:sz w:val="22"/>
          <w:szCs w:val="22"/>
        </w:rPr>
        <w:t xml:space="preserve">5.5.4 Key Considerations for Condition-Specific Charts</w:t>
      </w:r>
    </w:p>
    <w:p>
      <w:pPr>
        <w:spacing w:after="120"/>
      </w:pPr>
      <w:r>
        <w:rPr>
          <w:rFonts w:ascii="Arial" w:cs="Arial" w:eastAsia="Arial" w:hAnsi="Arial"/>
          <w:sz w:val="22"/>
          <w:szCs w:val="22"/>
        </w:rPr>
        <w:t xml:space="preserve">When constructing growth charts for rare conditions, several additional considerations apply. Sample sizes are inherently limited for rare genetic syndromes, which restricts the number of distributional parameters that can be reliably estimated and the smoothness that can be achieved. Multicenter collaboration and international data pooling are often necessary. Data heterogeneity may be substantial due to pooling across treatment eras, geographic regions, and varying degrees of syndrome severity. The decision to include or exclude treated individuals (e.g., growth-hormone-treated patients with Turner syndrome or Noonan syndrome) must be made explicitly, as it fundamentally alters the reference population. Secular trends may be significant, particularly for Down syndrome where improvements in cardiac surgery and early intervention have altered growth trajectories over recent decades. Population-specific references are important because, as demonstrated for Down syndrome and Prader-Willi syndrome, growth patterns differ across ethnic and geographic populations even within the same condition.</w:t>
      </w:r>
    </w:p>
    <w:p>
      <w:r>
        <w:br w:type="page"/>
      </w:r>
    </w:p>
    <w:p>
      <w:pPr>
        <w:pStyle w:val="Heading1"/>
      </w:pPr>
      <w:r>
        <w:rPr>
          <w:rFonts w:ascii="Arial" w:cs="Arial" w:eastAsia="Arial" w:hAnsi="Arial"/>
          <w:b/>
          <w:bCs/>
          <w:color w:val="1F4E79"/>
          <w:sz w:val="32"/>
          <w:szCs w:val="32"/>
        </w:rPr>
        <w:t xml:space="preserve">6. Clinical Application &amp; Recommendations</w:t>
      </w:r>
    </w:p>
    <w:p>
      <w:pPr>
        <w:pStyle w:val="Heading2"/>
      </w:pPr>
      <w:r>
        <w:rPr>
          <w:rFonts w:ascii="Arial" w:cs="Arial" w:eastAsia="Arial" w:hAnsi="Arial"/>
          <w:b/>
          <w:bCs/>
          <w:color w:val="2E75B6"/>
          <w:sz w:val="26"/>
          <w:szCs w:val="26"/>
        </w:rPr>
        <w:t xml:space="preserve">6.1 Chart Selection Decision Framework</w:t>
      </w:r>
    </w:p>
    <w:p>
      <w:pPr>
        <w:spacing w:after="120"/>
      </w:pPr>
      <w:r>
        <w:rPr>
          <w:rFonts w:ascii="Arial" w:cs="Arial" w:eastAsia="Arial" w:hAnsi="Arial"/>
          <w:sz w:val="22"/>
          <w:szCs w:val="22"/>
        </w:rPr>
        <w:t xml:space="preserve">Selecting the appropriate growth chart for a given patient requires consideration of multiple factors. For term infants age 0–24 months, the WHO Growth Standards (2006) are recommended by the AAP and should be used as the primary reference. For children aged 2–20 years in the U.S., the CDC 2000 Growth Charts remain the standard reference. For preterm infants during NICU hospitalization through 50 weeks post-menstrual age, either the Fenton 2013 charts or INTERGROWTH-21st Postnatal Growth Standards may be used, with awareness of the classification differences described in Section 2.5. For children with known genetic syndromes, the most current condition-specific growth chart appropriate for the patient’s population should be used as the primary monitoring tool, with the general population chart as a secondary comparison.</w:t>
      </w:r>
    </w:p>
    <w:p>
      <w:pPr>
        <w:pStyle w:val="Heading2"/>
      </w:pPr>
      <w:r>
        <w:rPr>
          <w:rFonts w:ascii="Arial" w:cs="Arial" w:eastAsia="Arial" w:hAnsi="Arial"/>
          <w:b/>
          <w:bCs/>
          <w:color w:val="2E75B6"/>
          <w:sz w:val="26"/>
          <w:szCs w:val="26"/>
        </w:rPr>
        <w:t xml:space="preserve">6.2 Interpreting Deviations on Condition-Specific Charts</w:t>
      </w:r>
    </w:p>
    <w:p>
      <w:pPr>
        <w:spacing w:after="120"/>
      </w:pPr>
      <w:r>
        <w:rPr>
          <w:rFonts w:ascii="Arial" w:cs="Arial" w:eastAsia="Arial" w:hAnsi="Arial"/>
          <w:sz w:val="22"/>
          <w:szCs w:val="22"/>
        </w:rPr>
        <w:t xml:space="preserve">The primary purpose of condition-specific growth charts is not to accept suboptimal growth as “normal” for the condition, but rather to provide a framework for identifying additional pathology or complications superimposed on the expected growth pattern. A child with Down syndrome who tracks along the 50th percentile on DS-specific charts but falls off their curve warrants investigation for thyroid dysfunction, celiac disease, cardiac complications, or other contributing factors. Similarly, a child with cerebral palsy who falls below the 10th percentile on CP-specific charts may have nutritional insufficiency or GI dysfunction requiring targeted intervention.</w:t>
      </w:r>
    </w:p>
    <w:p>
      <w:pPr>
        <w:pStyle w:val="Heading2"/>
      </w:pPr>
      <w:r>
        <w:rPr>
          <w:rFonts w:ascii="Arial" w:cs="Arial" w:eastAsia="Arial" w:hAnsi="Arial"/>
          <w:b/>
          <w:bCs/>
          <w:color w:val="2E75B6"/>
          <w:sz w:val="26"/>
          <w:szCs w:val="26"/>
        </w:rPr>
        <w:t xml:space="preserve">6.3 Limitations and Gaps</w:t>
      </w:r>
    </w:p>
    <w:p>
      <w:pPr>
        <w:spacing w:after="120"/>
      </w:pPr>
      <w:r>
        <w:rPr>
          <w:rFonts w:ascii="Arial" w:cs="Arial" w:eastAsia="Arial" w:hAnsi="Arial"/>
          <w:sz w:val="22"/>
          <w:szCs w:val="22"/>
        </w:rPr>
        <w:t xml:space="preserve">Several important limitations and gaps in the current literature merit attention. Many condition-specific charts are based on relatively small, single-center samples that may not represent the broader affected population. Charts for many rare conditions remain unavailable (e.g., most metabolic disorders, many chromosomal microdeletion/microduplication syndromes). International harmonization of condition-specific charts is lacking—as demonstrated for Down syndrome, significant differences exist between charts from different countries. The transition between preterm and term charts remains imperfectly addressed. Electronic health record integration of condition-specific charts is inconsistent, limiting point-of-care accessibility.</w:t>
      </w:r>
    </w:p>
    <w:p>
      <w:r>
        <w:br w:type="page"/>
      </w:r>
    </w:p>
    <w:p>
      <w:pPr>
        <w:pStyle w:val="Heading1"/>
      </w:pPr>
      <w:r>
        <w:rPr>
          <w:rFonts w:ascii="Arial" w:cs="Arial" w:eastAsia="Arial" w:hAnsi="Arial"/>
          <w:b/>
          <w:bCs/>
          <w:color w:val="1F4E79"/>
          <w:sz w:val="32"/>
          <w:szCs w:val="32"/>
        </w:rPr>
        <w:t xml:space="preserve">7. References</w:t>
      </w:r>
    </w:p>
    <w:p>
      <w:pPr>
        <w:spacing w:after="120"/>
      </w:pPr>
      <w:r>
        <w:rPr>
          <w:rFonts w:ascii="Arial" w:cs="Arial" w:eastAsia="Arial" w:hAnsi="Arial"/>
          <w:sz w:val="22"/>
          <w:szCs w:val="22"/>
        </w:rPr>
        <w:t xml:space="preserve">All references retrieved from PubMed with DOI links provided for verification.</w:t>
      </w:r>
    </w:p>
    <w:p>
      <w:pPr>
        <w:spacing w:after="200"/>
      </w:pPr>
    </w:p>
    <w:p>
      <w:pPr>
        <w:spacing w:after="80"/>
        <w:ind w:left="360" w:hanging="360"/>
      </w:pPr>
      <w:r>
        <w:rPr>
          <w:rFonts w:ascii="Arial" w:cs="Arial" w:eastAsia="Arial" w:hAnsi="Arial"/>
          <w:sz w:val="18"/>
          <w:szCs w:val="18"/>
        </w:rPr>
        <w:t xml:space="preserve">1. WHO Multicentre Growth Reference Study Group. WHO Child Growth Standards based on length/height, weight and age. Acta Paediatr Suppl. 2006;450:76-85. https://doi.org/10.1111/j.1651-2227.2006.tb02378.x</w:t>
      </w:r>
    </w:p>
    <w:p>
      <w:pPr>
        <w:spacing w:after="80"/>
        <w:ind w:left="360" w:hanging="360"/>
      </w:pPr>
      <w:r>
        <w:rPr>
          <w:rFonts w:ascii="Arial" w:cs="Arial" w:eastAsia="Arial" w:hAnsi="Arial"/>
          <w:sz w:val="18"/>
          <w:szCs w:val="18"/>
        </w:rPr>
        <w:t xml:space="preserve">2. Borghi E, et al. Construction of the World Health Organization child growth standards: selection of methods for attained growth curves. Stat Med. 2006;25(2):247-265. https://doi.org/10.1002/sim.2227</w:t>
      </w:r>
    </w:p>
    <w:p>
      <w:pPr>
        <w:spacing w:after="80"/>
        <w:ind w:left="360" w:hanging="360"/>
      </w:pPr>
      <w:r>
        <w:rPr>
          <w:rFonts w:ascii="Arial" w:cs="Arial" w:eastAsia="Arial" w:hAnsi="Arial"/>
          <w:sz w:val="18"/>
          <w:szCs w:val="18"/>
        </w:rPr>
        <w:t xml:space="preserve">3. Fenton TR. A new growth chart for preterm babies: Babson and Benda’s chart updated with recent data and a new format. BMC Pediatr. 2003;3:13. https://doi.org/10.1186/1471-2431-3-13</w:t>
      </w:r>
    </w:p>
    <w:p>
      <w:pPr>
        <w:spacing w:after="80"/>
        <w:ind w:left="360" w:hanging="360"/>
      </w:pPr>
      <w:r>
        <w:rPr>
          <w:rFonts w:ascii="Arial" w:cs="Arial" w:eastAsia="Arial" w:hAnsi="Arial"/>
          <w:sz w:val="18"/>
          <w:szCs w:val="18"/>
        </w:rPr>
        <w:t xml:space="preserve">4. Fenton TR, Kim JH. A systematic review and meta-analysis to revise the Fenton growth chart for preterm infants. BMC Pediatr. 2013;13:59. https://doi.org/10.1186/1471-2431-13-59</w:t>
      </w:r>
    </w:p>
    <w:p>
      <w:pPr>
        <w:spacing w:after="80"/>
        <w:ind w:left="360" w:hanging="360"/>
      </w:pPr>
      <w:r>
        <w:rPr>
          <w:rFonts w:ascii="Arial" w:cs="Arial" w:eastAsia="Arial" w:hAnsi="Arial"/>
          <w:sz w:val="18"/>
          <w:szCs w:val="18"/>
        </w:rPr>
        <w:t xml:space="preserve">5. Villar J, et al. International standards for newborn weight, length, and head circumference by gestational age and sex: the INTERGROWTH-21st Project. Lancet. 2014;384(9946):857-868. https://doi.org/10.1016/S0140-6736(14)60932-6</w:t>
      </w:r>
    </w:p>
    <w:p>
      <w:pPr>
        <w:spacing w:after="80"/>
        <w:ind w:left="360" w:hanging="360"/>
      </w:pPr>
      <w:r>
        <w:rPr>
          <w:rFonts w:ascii="Arial" w:cs="Arial" w:eastAsia="Arial" w:hAnsi="Arial"/>
          <w:sz w:val="18"/>
          <w:szCs w:val="18"/>
        </w:rPr>
        <w:t xml:space="preserve">6. Papageorghiou AT, et al. International standards for fetal growth: the INTERGROWTH-21st Project. Lancet. 2014;384(9946):869-879. https://doi.org/10.1016/S0140-6736(14)61490-2</w:t>
      </w:r>
    </w:p>
    <w:p>
      <w:pPr>
        <w:spacing w:after="80"/>
        <w:ind w:left="360" w:hanging="360"/>
      </w:pPr>
      <w:r>
        <w:rPr>
          <w:rFonts w:ascii="Arial" w:cs="Arial" w:eastAsia="Arial" w:hAnsi="Arial"/>
          <w:sz w:val="18"/>
          <w:szCs w:val="18"/>
        </w:rPr>
        <w:t xml:space="preserve">7. Zemel BS, et al. Growth Charts for Children With Down Syndrome in the United States. Pediatrics. 2015;136(5):e1204-11. https://doi.org/10.1542/peds.2015-1652</w:t>
      </w:r>
    </w:p>
    <w:p>
      <w:pPr>
        <w:spacing w:after="80"/>
        <w:ind w:left="360" w:hanging="360"/>
      </w:pPr>
      <w:r>
        <w:rPr>
          <w:rFonts w:ascii="Arial" w:cs="Arial" w:eastAsia="Arial" w:hAnsi="Arial"/>
          <w:sz w:val="18"/>
          <w:szCs w:val="18"/>
        </w:rPr>
        <w:t xml:space="preserve">8. Bertapelli F, et al. Growth charts for Brazilian children with Down syndrome: Birth to 20 years of age. J Epidemiol. 2017;27(6):265-273. https://doi.org/10.1016/j.je.2016.06.009</w:t>
      </w:r>
    </w:p>
    <w:p>
      <w:pPr>
        <w:spacing w:after="80"/>
        <w:ind w:left="360" w:hanging="360"/>
      </w:pPr>
      <w:r>
        <w:rPr>
          <w:rFonts w:ascii="Arial" w:cs="Arial" w:eastAsia="Arial" w:hAnsi="Arial"/>
          <w:sz w:val="18"/>
          <w:szCs w:val="18"/>
        </w:rPr>
        <w:t xml:space="preserve">9. Flores Arizmendi KA, et al. Growth charts for Mexican children with Down syndrome. Am J Med Genet A. 2022;188(4):1170-1183. https://doi.org/10.1002/ajmg.a.62637</w:t>
      </w:r>
    </w:p>
    <w:p>
      <w:pPr>
        <w:spacing w:after="80"/>
        <w:ind w:left="360" w:hanging="360"/>
      </w:pPr>
      <w:r>
        <w:rPr>
          <w:rFonts w:ascii="Arial" w:cs="Arial" w:eastAsia="Arial" w:hAnsi="Arial"/>
          <w:sz w:val="18"/>
          <w:szCs w:val="18"/>
        </w:rPr>
        <w:t xml:space="preserve">10. Bhalla AK, et al. Growth charts for weight and height of Indian children with Down syndrome. Am J Med Genet A. 2024;194(7):e63571. https://doi.org/10.1002/ajmg.a.63571</w:t>
      </w:r>
    </w:p>
    <w:p>
      <w:pPr>
        <w:spacing w:after="80"/>
        <w:ind w:left="360" w:hanging="360"/>
      </w:pPr>
      <w:r>
        <w:rPr>
          <w:rFonts w:ascii="Arial" w:cs="Arial" w:eastAsia="Arial" w:hAnsi="Arial"/>
          <w:sz w:val="18"/>
          <w:szCs w:val="18"/>
        </w:rPr>
        <w:t xml:space="preserve">11. Isojima T, Yokoya S. Development of disease-specific growth charts in Turner syndrome and Noonan syndrome. Ann Pediatr Endocrinol Metab. 2017;22(4):240-246. https://doi.org/10.6065/apem.2017.22.4.240</w:t>
      </w:r>
    </w:p>
    <w:p>
      <w:pPr>
        <w:spacing w:after="80"/>
        <w:ind w:left="360" w:hanging="360"/>
      </w:pPr>
      <w:r>
        <w:rPr>
          <w:rFonts w:ascii="Arial" w:cs="Arial" w:eastAsia="Arial" w:hAnsi="Arial"/>
          <w:sz w:val="18"/>
          <w:szCs w:val="18"/>
        </w:rPr>
        <w:t xml:space="preserve">12. Khadilkar VV, et al. Turner Syndrome Growth Charts: A Western India Experience. Indian J Endocrinol Metab. 2020;24(4):333-337. https://doi.org/10.4103/ijem.IJEM_123_20</w:t>
      </w:r>
    </w:p>
    <w:p>
      <w:pPr>
        <w:spacing w:after="80"/>
        <w:ind w:left="360" w:hanging="360"/>
      </w:pPr>
      <w:r>
        <w:rPr>
          <w:rFonts w:ascii="Arial" w:cs="Arial" w:eastAsia="Arial" w:hAnsi="Arial"/>
          <w:sz w:val="18"/>
          <w:szCs w:val="18"/>
        </w:rPr>
        <w:t xml:space="preserve">13. Cappa M, et al. Noonan Syndrome Growth Charts and Genotypes: 15-Year Longitudinal Single-Centre Study. Horm Res Paediatr. 2024;98(6):655-667. https://doi.org/10.1159/000540092</w:t>
      </w:r>
    </w:p>
    <w:p>
      <w:pPr>
        <w:spacing w:after="80"/>
        <w:ind w:left="360" w:hanging="360"/>
      </w:pPr>
      <w:r>
        <w:rPr>
          <w:rFonts w:ascii="Arial" w:cs="Arial" w:eastAsia="Arial" w:hAnsi="Arial"/>
          <w:sz w:val="18"/>
          <w:szCs w:val="18"/>
        </w:rPr>
        <w:t xml:space="preserve">14. Hoover-Fong JE, et al. Growth in achondroplasia – CLARITY. Orphanet J Rare Dis. 2021;16(1):522. https://doi.org/10.1186/s13023-021-02141-4</w:t>
      </w:r>
    </w:p>
    <w:p>
      <w:pPr>
        <w:spacing w:after="80"/>
        <w:ind w:left="360" w:hanging="360"/>
      </w:pPr>
      <w:r>
        <w:rPr>
          <w:rFonts w:ascii="Arial" w:cs="Arial" w:eastAsia="Arial" w:hAnsi="Arial"/>
          <w:sz w:val="18"/>
          <w:szCs w:val="18"/>
        </w:rPr>
        <w:t xml:space="preserve">15. Tofts L, et al. Growth charts for Australian children with achondroplasia. Am J Med Genet A. 2017;173(8):2189-2200. https://doi.org/10.1002/ajmg.a.38312</w:t>
      </w:r>
    </w:p>
    <w:p>
      <w:pPr>
        <w:spacing w:after="80"/>
        <w:ind w:left="360" w:hanging="360"/>
      </w:pPr>
      <w:r>
        <w:rPr>
          <w:rFonts w:ascii="Arial" w:cs="Arial" w:eastAsia="Arial" w:hAnsi="Arial"/>
          <w:sz w:val="18"/>
          <w:szCs w:val="18"/>
        </w:rPr>
        <w:t xml:space="preserve">16. Lee J, et al. Disease-specific growth charts for Korean infants with Prader-Willi syndrome. Am J Med Genet A. 2014;167A(1):86-94. https://doi.org/10.1002/ajmg.a.36816</w:t>
      </w:r>
    </w:p>
    <w:p>
      <w:pPr>
        <w:spacing w:after="80"/>
        <w:ind w:left="360" w:hanging="360"/>
      </w:pPr>
      <w:r>
        <w:rPr>
          <w:rFonts w:ascii="Arial" w:cs="Arial" w:eastAsia="Arial" w:hAnsi="Arial"/>
          <w:sz w:val="18"/>
          <w:szCs w:val="18"/>
        </w:rPr>
        <w:t xml:space="preserve">17. Caino S, et al. Growth charts for Argentine Prader-Willi syndrome. Ann Hum Biol. 2025;52(1):2534345. https://doi.org/10.1080/03014460.2025.2534345</w:t>
      </w:r>
    </w:p>
    <w:p>
      <w:pPr>
        <w:spacing w:after="80"/>
        <w:ind w:left="360" w:hanging="360"/>
      </w:pPr>
      <w:r>
        <w:rPr>
          <w:rFonts w:ascii="Arial" w:cs="Arial" w:eastAsia="Arial" w:hAnsi="Arial"/>
          <w:sz w:val="18"/>
          <w:szCs w:val="18"/>
        </w:rPr>
        <w:t xml:space="preserve">18. de Sousa Lima Strafacci A, et al. Growth assessment in Williams-Beuren syndrome: a systematic review. J Appl Genet. 2020;61(2):205-212. https://doi.org/10.1007/s13353-020-00551-x</w:t>
      </w:r>
    </w:p>
    <w:p>
      <w:pPr>
        <w:spacing w:after="80"/>
        <w:ind w:left="360" w:hanging="360"/>
      </w:pPr>
      <w:r>
        <w:rPr>
          <w:rFonts w:ascii="Arial" w:cs="Arial" w:eastAsia="Arial" w:hAnsi="Arial"/>
          <w:sz w:val="18"/>
          <w:szCs w:val="18"/>
        </w:rPr>
        <w:t xml:space="preserve">19. Strafacci ASL, et al. Brazilian growth charts for Williams-Beuren Syndrome at ages 2 to 18 years. J Pediatr (Rio J). 2024;100(3):277-282. https://doi.org/10.1016/j.jped.2023.11.009</w:t>
      </w:r>
    </w:p>
    <w:p>
      <w:pPr>
        <w:spacing w:after="80"/>
        <w:ind w:left="360" w:hanging="360"/>
      </w:pPr>
      <w:r>
        <w:rPr>
          <w:rFonts w:ascii="Arial" w:cs="Arial" w:eastAsia="Arial" w:hAnsi="Arial"/>
          <w:sz w:val="18"/>
          <w:szCs w:val="18"/>
        </w:rPr>
        <w:t xml:space="preserve">20. Krick J, et al. Pattern of growth in children with cerebral palsy. J Am Diet Assoc. 1996;96(7):680-685. https://doi.org/10.1016/s0002-8223(96)00188-5</w:t>
      </w:r>
    </w:p>
    <w:p>
      <w:pPr>
        <w:spacing w:after="80"/>
        <w:ind w:left="360" w:hanging="360"/>
      </w:pPr>
      <w:r>
        <w:rPr>
          <w:rFonts w:ascii="Arial" w:cs="Arial" w:eastAsia="Arial" w:hAnsi="Arial"/>
          <w:sz w:val="18"/>
          <w:szCs w:val="18"/>
        </w:rPr>
        <w:t xml:space="preserve">21. Egenolf P, et al. Development of disorder-specific normative data for growth in children with cerebral palsy. Eur J Pediatr. 2019;178(6):811-822. https://doi.org/10.1007/s00431-019-03360-5</w:t>
      </w:r>
    </w:p>
    <w:p>
      <w:pPr>
        <w:spacing w:after="80"/>
        <w:ind w:left="360" w:hanging="360"/>
      </w:pPr>
      <w:r>
        <w:rPr>
          <w:rFonts w:ascii="Arial" w:cs="Arial" w:eastAsia="Arial" w:hAnsi="Arial"/>
          <w:sz w:val="18"/>
          <w:szCs w:val="18"/>
        </w:rPr>
        <w:t xml:space="preserve">22. Viñals-Labañino CP, et al. Usefulness of Cerebral Palsy Curves in Mexican Patients. J Child Neurol. 2019;34(6):332-338. https://doi.org/10.1177/0883073819830560</w:t>
      </w:r>
    </w:p>
    <w:p>
      <w:pPr>
        <w:spacing w:after="80"/>
        <w:ind w:left="360" w:hanging="360"/>
      </w:pPr>
      <w:r>
        <w:rPr>
          <w:rFonts w:ascii="Arial" w:cs="Arial" w:eastAsia="Arial" w:hAnsi="Arial"/>
          <w:sz w:val="18"/>
          <w:szCs w:val="18"/>
        </w:rPr>
        <w:t xml:space="preserve">23. Turktan I, et al. Comparison between INTERGROWTH-21ST and Fenton charts. Ital J Pediatr. 2025;51(1):176. https://doi.org/10.1186/s13052-025-01939-3</w:t>
      </w:r>
    </w:p>
    <w:p>
      <w:pPr>
        <w:spacing w:after="80"/>
        <w:ind w:left="360" w:hanging="360"/>
      </w:pPr>
      <w:r>
        <w:rPr>
          <w:rFonts w:ascii="Arial" w:cs="Arial" w:eastAsia="Arial" w:hAnsi="Arial"/>
          <w:sz w:val="18"/>
          <w:szCs w:val="18"/>
        </w:rPr>
        <w:t xml:space="preserve">24. Anne RP, et al. Comparison of Fenton, INTERGROWTH-21, and Population-Based Growth Charts. Indian J Pediatr. 2022;89(10):1034-1036. https://doi.org/10.1007/s12098-022-04175-3</w:t>
      </w:r>
    </w:p>
    <w:p>
      <w:pPr>
        <w:spacing w:after="80"/>
        <w:ind w:left="360" w:hanging="360"/>
      </w:pPr>
      <w:r>
        <w:rPr>
          <w:rFonts w:ascii="Arial" w:cs="Arial" w:eastAsia="Arial" w:hAnsi="Arial"/>
          <w:sz w:val="18"/>
          <w:szCs w:val="18"/>
        </w:rPr>
        <w:t xml:space="preserve">25. Cole TJ, Green PJ. Smoothing reference centile curves: the LMS method and penalized likelihood. Stat Med. 1992;11:1305-1319.</w:t>
      </w:r>
    </w:p>
    <w:p>
      <w:pPr>
        <w:spacing w:after="80"/>
        <w:ind w:left="360" w:hanging="360"/>
      </w:pPr>
      <w:r>
        <w:rPr>
          <w:rFonts w:ascii="Arial" w:cs="Arial" w:eastAsia="Arial" w:hAnsi="Arial"/>
          <w:sz w:val="18"/>
          <w:szCs w:val="18"/>
        </w:rPr>
        <w:t xml:space="preserve">26. Rigby RA, Stasinopoulos DM. Generalized additive models for location, scale and shape. Appl Stat. 2005;54(3):507-554.</w:t>
      </w:r>
    </w:p>
    <w:p>
      <w:pPr>
        <w:spacing w:after="80"/>
        <w:ind w:left="360" w:hanging="360"/>
      </w:pPr>
      <w:r>
        <w:rPr>
          <w:rFonts w:ascii="Arial" w:cs="Arial" w:eastAsia="Arial" w:hAnsi="Arial"/>
          <w:sz w:val="18"/>
          <w:szCs w:val="18"/>
        </w:rPr>
        <w:t xml:space="preserve">27. Stasinopoulos DM, Rigby RA. Generalized additive models for location scale and shape (GAMLSS) in R. J Stat Softw. 2007;23(7).</w:t>
      </w:r>
    </w:p>
    <w:p>
      <w:pPr>
        <w:spacing w:after="80"/>
        <w:ind w:left="360" w:hanging="360"/>
      </w:pPr>
      <w:r>
        <w:rPr>
          <w:rFonts w:ascii="Arial" w:cs="Arial" w:eastAsia="Arial" w:hAnsi="Arial"/>
          <w:sz w:val="18"/>
          <w:szCs w:val="18"/>
        </w:rPr>
        <w:t xml:space="preserve">28. Whooten R, et al. Endocrine manifestations of Down syndrome. Curr Opin Endocrinol Diabetes Obes. 2018;25(1):61-66. https://doi.org/10.1097/MED.0000000000000382</w:t>
      </w:r>
    </w:p>
    <w:p>
      <w:pPr>
        <w:spacing w:after="80"/>
        <w:ind w:left="360" w:hanging="360"/>
      </w:pPr>
      <w:r>
        <w:rPr>
          <w:rFonts w:ascii="Arial" w:cs="Arial" w:eastAsia="Arial" w:hAnsi="Arial"/>
          <w:sz w:val="18"/>
          <w:szCs w:val="18"/>
        </w:rPr>
        <w:t xml:space="preserve">29. Rogol AD, Hayden GF. Etiologies and early diagnosis of short stature and growth failure. J Pediatr. 2014;164(5 Suppl):S1-14.e6. https://doi.org/10.1016/j.jpeds.2014.02.027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Systematic Analysis: Neonatal &amp; Pediatric Growth Charts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375F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2026-03-03T02:18:16.238Z</dcterms:created>
  <dcterms:modified xsi:type="dcterms:W3CDTF">2026-03-03T02:18:16.240Z</dcterms:modified>
</cp:coreProperties>
</file>

<file path=docProps/custom.xml><?xml version="1.0" encoding="utf-8"?>
<Properties xmlns="http://schemas.openxmlformats.org/officeDocument/2006/custom-properties" xmlns:vt="http://schemas.openxmlformats.org/officeDocument/2006/docPropsVTypes"/>
</file>