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F4E79"/>
          <w:sz w:val="40"/>
          <w:szCs w:val="40"/>
        </w:rPr>
        <w:t xml:space="preserve">CLINICAL DECISION SUPPORT FOR</w:t>
      </w:r>
    </w:p>
    <w:p>
      <w:pPr>
        <w:spacing w:after="200"/>
        <w:jc w:val="center"/>
      </w:pPr>
      <w:r>
        <w:rPr>
          <w:rFonts w:ascii="Arial" w:cs="Arial" w:eastAsia="Arial" w:hAnsi="Arial"/>
          <w:b/>
          <w:bCs/>
          <w:color w:val="1F4E79"/>
          <w:sz w:val="48"/>
          <w:szCs w:val="48"/>
        </w:rPr>
        <w:t xml:space="preserve">PEDIATRIC RESUSCITATION</w:t>
      </w:r>
    </w:p>
    <w:p>
      <w:pPr>
        <w:spacing w:after="400"/>
        <w:jc w:val="center"/>
      </w:pPr>
      <w:r>
        <w:rPr>
          <w:rFonts w:ascii="Arial" w:cs="Arial" w:eastAsia="Arial" w:hAnsi="Arial"/>
          <w:b/>
          <w:bCs/>
          <w:color w:val="1F4E79"/>
          <w:sz w:val="40"/>
          <w:szCs w:val="40"/>
        </w:rPr>
        <w:t xml:space="preserve">IN RURAL AND REMOTE SETTINGS</w:t>
      </w:r>
    </w:p>
    <w:p>
      <w:pPr>
        <w:spacing w:after="120"/>
        <w:jc w:val="center"/>
      </w:pPr>
      <w:r>
        <w:rPr>
          <w:rFonts w:ascii="Arial" w:cs="Arial" w:eastAsia="Arial" w:hAnsi="Arial"/>
          <w:i/>
          <w:iCs/>
          <w:color w:val="2E75B6"/>
          <w:sz w:val="26"/>
          <w:szCs w:val="26"/>
        </w:rPr>
        <w:t xml:space="preserve">A Comprehensive Framework for 24-Hour Critical Care Stabilization</w:t>
      </w:r>
    </w:p>
    <w:p>
      <w:pPr>
        <w:spacing w:after="120"/>
        <w:jc w:val="center"/>
      </w:pPr>
      <w:r>
        <w:rPr>
          <w:rFonts w:ascii="Arial" w:cs="Arial" w:eastAsia="Arial" w:hAnsi="Arial"/>
          <w:i/>
          <w:iCs/>
          <w:color w:val="2E75B6"/>
          <w:sz w:val="26"/>
          <w:szCs w:val="26"/>
        </w:rPr>
        <w:t xml:space="preserve">Prior to Definitive Transfer</w:t>
      </w:r>
    </w:p>
    <w:p>
      <w:pPr>
        <w:spacing w:before="1200"/>
      </w:pPr>
    </w:p>
    <w:p>
      <w:pPr>
        <w:spacing w:after="80"/>
        <w:jc w:val="center"/>
      </w:pPr>
      <w:r>
        <w:rPr>
          <w:rFonts w:ascii="Arial" w:cs="Arial" w:eastAsia="Arial" w:hAnsi="Arial"/>
          <w:color w:val="444444"/>
          <w:sz w:val="22"/>
          <w:szCs w:val="22"/>
        </w:rPr>
        <w:t xml:space="preserve">Covering Trauma, Medical Emergencies, Critical Illness,</w:t>
      </w:r>
    </w:p>
    <w:p>
      <w:pPr>
        <w:spacing w:after="80"/>
        <w:jc w:val="center"/>
      </w:pPr>
      <w:r>
        <w:rPr>
          <w:rFonts w:ascii="Arial" w:cs="Arial" w:eastAsia="Arial" w:hAnsi="Arial"/>
          <w:color w:val="444444"/>
          <w:sz w:val="22"/>
          <w:szCs w:val="22"/>
        </w:rPr>
        <w:t xml:space="preserve">Respiratory Failure, Sepsis, Neurologic Emergencies,</w:t>
      </w:r>
    </w:p>
    <w:p>
      <w:pPr>
        <w:spacing w:after="80"/>
        <w:jc w:val="center"/>
      </w:pPr>
      <w:r>
        <w:rPr>
          <w:rFonts w:ascii="Arial" w:cs="Arial" w:eastAsia="Arial" w:hAnsi="Arial"/>
          <w:color w:val="444444"/>
          <w:sz w:val="22"/>
          <w:szCs w:val="22"/>
        </w:rPr>
        <w:t xml:space="preserve">Metabolic Crises, Cardiac Emergencies, and Toxicologic Exposures</w:t>
      </w:r>
    </w:p>
    <w:p>
      <w:pPr>
        <w:spacing w:before="1600"/>
      </w:pPr>
    </w:p>
    <w:p>
      <w:pPr>
        <w:jc w:val="center"/>
      </w:pPr>
      <w:r>
        <w:rPr>
          <w:rFonts w:ascii="Arial" w:cs="Arial" w:eastAsia="Arial" w:hAnsi="Arial"/>
          <w:color w:val="666666"/>
          <w:sz w:val="20"/>
          <w:szCs w:val="20"/>
        </w:rPr>
        <w:t xml:space="preserve">For Use in Critical Access Hospitals, Rural Emergency Hospitals,</w:t>
      </w:r>
    </w:p>
    <w:p>
      <w:pPr>
        <w:spacing w:after="80"/>
        <w:jc w:val="center"/>
      </w:pPr>
      <w:r>
        <w:rPr>
          <w:rFonts w:ascii="Arial" w:cs="Arial" w:eastAsia="Arial" w:hAnsi="Arial"/>
          <w:color w:val="666666"/>
          <w:sz w:val="20"/>
          <w:szCs w:val="20"/>
        </w:rPr>
        <w:t xml:space="preserve">Level II+ Special Care Nurseries, and Remote Emergency Departments</w:t>
      </w:r>
    </w:p>
    <w:p>
      <w:pPr>
        <w:spacing w:before="400"/>
        <w:jc w:val="center"/>
      </w:pPr>
      <w:r>
        <w:rPr>
          <w:rFonts w:ascii="Arial" w:cs="Arial" w:eastAsia="Arial" w:hAnsi="Arial"/>
          <w:color w:val="888888"/>
          <w:sz w:val="20"/>
          <w:szCs w:val="20"/>
        </w:rPr>
        <w:t xml:space="preserve">Reference Document — March 2026</w:t>
      </w:r>
    </w:p>
    <w:p>
      <w:r>
        <w:br w:type="page"/>
      </w:r>
    </w:p>
    <w:p>
      <w:pPr>
        <w:pStyle w:val="Heading1"/>
        <w:spacing w:after="120" w:before="36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b/>
          <w:bCs/>
        </w:rPr>
        <w:t xml:space="preserve">PART I: FOUNDATIONS AND FRAMEWORK</w:t>
      </w:r>
    </w:p>
    <w:p>
      <w:pPr>
        <w:pStyle w:val="Heading2"/>
        <w:spacing w:after="120" w:before="240"/>
      </w:pPr>
      <w:r>
        <w:rPr>
          <w:b/>
          <w:bCs/>
        </w:rPr>
        <w:t xml:space="preserve">Chapter 1: The Rural Pediatric Emergency — Scope of the Problem</w:t>
      </w:r>
    </w:p>
    <w:p>
      <w:pPr>
        <w:spacing w:after="160" w:line="276"/>
      </w:pPr>
      <w:r>
        <w:rPr>
          <w:rFonts w:ascii="Arial" w:cs="Arial" w:eastAsia="Arial" w:hAnsi="Arial"/>
          <w:sz w:val="22"/>
          <w:szCs w:val="22"/>
        </w:rPr>
        <w:t xml:space="preserve">Pediatric emergencies in rural and remote settings represent one of the most challenging intersections of clinical urgency, resource limitation, and geographic isolation in modern healthcare. Children who present to Critical Access Hospitals (CAHs), Rural Emergency Hospitals (REHs), and small community emergency departments face a fundamentally different care trajectory than their urban counterparts. The absence of immediately available pediatric subspecialists, the infrequency of high-acuity pediatric presentations, and the logistical constraints of prolonged transfer times create a clinical environment in which structured clinical decision support is not merely beneficial but essential to survival.</w:t>
      </w:r>
    </w:p>
    <w:p>
      <w:pPr>
        <w:spacing w:after="160" w:line="276"/>
      </w:pPr>
      <w:r>
        <w:rPr>
          <w:rFonts w:ascii="Arial" w:cs="Arial" w:eastAsia="Arial" w:hAnsi="Arial"/>
          <w:sz w:val="22"/>
          <w:szCs w:val="22"/>
        </w:rPr>
        <w:t xml:space="preserve">The epidemiology of rural pediatric emergencies reveals several critical patterns. Rural children experience higher rates of traumatic injury, particularly from motor vehicle collisions, agricultural machinery, all-terrain vehicle accidents, and drowning events. They are more likely to present with advanced illness severity due to delayed recognition and longer pre-hospital intervals. Transfer times from rural facilities to tertiary pediatric centers routinely exceed four to six hours by ground and may extend beyond twelve hours when weather conditions preclude helicopter transport. In the most remote settings, geographic isolation may necessitate 24 hours or more of sustained critical care before definitive transfer is possible.</w:t>
      </w:r>
    </w:p>
    <w:p>
      <w:pPr>
        <w:spacing w:after="160" w:line="276"/>
      </w:pPr>
      <w:r>
        <w:rPr>
          <w:rFonts w:ascii="Arial" w:cs="Arial" w:eastAsia="Arial" w:hAnsi="Arial"/>
          <w:sz w:val="22"/>
          <w:szCs w:val="22"/>
        </w:rPr>
        <w:t xml:space="preserve">The fundamental challenge, therefore, is not merely initial resuscitation but sustained critical care stabilization. A rural emergency team must be prepared to provide ongoing ventilatory support, hemodynamic management, temperature regulation, serial neurologic assessment, metabolic correction, and infection control for an extended period that far exceeds the typical urban emergency department stabilization window of 30 to 90 minutes.</w:t>
      </w:r>
    </w:p>
    <w:p>
      <w:pPr>
        <w:pStyle w:val="Heading3"/>
        <w:spacing w:after="120" w:before="240"/>
      </w:pPr>
      <w:r>
        <w:rPr>
          <w:b/>
          <w:bCs/>
        </w:rPr>
        <w:t xml:space="preserve">1.1 Defining the Rural Context</w:t>
      </w:r>
    </w:p>
    <w:p>
      <w:pPr>
        <w:spacing w:after="160" w:line="276"/>
      </w:pPr>
      <w:r>
        <w:rPr>
          <w:rFonts w:ascii="Arial" w:cs="Arial" w:eastAsia="Arial" w:hAnsi="Arial"/>
          <w:sz w:val="22"/>
          <w:szCs w:val="22"/>
        </w:rPr>
        <w:t xml:space="preserve">For the purposes of this document, a rural or remote setting is defined as any healthcare facility where the following conditions exist: pediatric critical care subspecialty consultation is available only via telemedicine or telephone; definitive transfer to a pediatric intensive care unit requires a minimum of two hours by the fastest available transport modality; the facility typically manages fewer than 500 pediatric emergency visits per year; and nursing and physician staff may encounter a critically ill child fewer than five times annually. These conditions encompass most Critical Access Hospitals (25 or fewer beds, located more than 35 miles from another hospital or designated as a necessary provider), Rural Emergency Hospitals (the newer CMS designation), frontier health clinics, and Indian Health Service facilities.</w:t>
      </w:r>
    </w:p>
    <w:p>
      <w:pPr>
        <w:pStyle w:val="Heading3"/>
        <w:spacing w:after="120" w:before="240"/>
      </w:pPr>
      <w:r>
        <w:rPr>
          <w:b/>
          <w:bCs/>
        </w:rPr>
        <w:t xml:space="preserve">1.2 The 24-Hour Stabilization Imperative</w:t>
      </w:r>
    </w:p>
    <w:p>
      <w:pPr>
        <w:spacing w:after="160" w:line="276"/>
      </w:pPr>
      <w:r>
        <w:rPr>
          <w:rFonts w:ascii="Arial" w:cs="Arial" w:eastAsia="Arial" w:hAnsi="Arial"/>
          <w:sz w:val="22"/>
          <w:szCs w:val="22"/>
        </w:rPr>
        <w:t xml:space="preserve">The concept of 24-hour stabilization represents a paradigm shift from traditional emergency medicine thinking. Standard emergency protocols assume rapid access to definitive care. Rural clinical decision support must instead prepare providers for sustained critical care management, including ventilator management across multiple disease processes, titration of vasoactive infusions, management of evolving multi-organ dysfunction, serial laboratory reassessment, ongoing family communication, and the logistical complexity of interfacility transport coordination. This document provides structured decision support frameworks for each of these domains.</w:t>
      </w:r>
    </w:p>
    <w:p>
      <w:pPr>
        <w:pStyle w:val="Heading3"/>
        <w:spacing w:after="120" w:before="240"/>
      </w:pPr>
      <w:r>
        <w:rPr>
          <w:b/>
          <w:bCs/>
        </w:rPr>
        <w:t xml:space="preserve">1.3 Cognitive Load and Decision Fatigue in Low-Frequency, High-Acuity Events</w:t>
      </w:r>
    </w:p>
    <w:p>
      <w:pPr>
        <w:spacing w:after="160" w:line="276"/>
      </w:pPr>
      <w:r>
        <w:rPr>
          <w:rFonts w:ascii="Arial" w:cs="Arial" w:eastAsia="Arial" w:hAnsi="Arial"/>
          <w:sz w:val="22"/>
          <w:szCs w:val="22"/>
        </w:rPr>
        <w:t xml:space="preserve">Rural providers face an acute cognitive challenge during pediatric resuscitation. The combination of clinical infrequency, emotional intensity, weight-based dosing complexity, and unfamiliar equipment sizes creates a high-risk environment for medical error. Clinical decision support tools must be designed with explicit attention to cognitive load reduction. This means providing weight-based pre-calculations, branching decision trees that guide rather than overwhelm, checklists that reduce reliance on recall, and structured reassessment intervals that prevent fixation errors.</w:t>
      </w:r>
    </w:p>
    <w:p>
      <w:pPr>
        <w:spacing w:after="160" w:line="276"/>
      </w:pPr>
      <w:r>
        <w:rPr>
          <w:rFonts w:ascii="Arial" w:cs="Arial" w:eastAsia="Arial" w:hAnsi="Arial"/>
          <w:sz w:val="22"/>
          <w:szCs w:val="22"/>
        </w:rPr>
        <w:t xml:space="preserve">The Broselow Tape, while foundational, represents only the beginning of effective clinical decision support. This document extends well beyond equipment sizing to encompass the full spectrum of clinical reasoning, procedural guidance, pharmacologic management, and disposition planning that a rural team requires when managing a critically ill child for a prolonged period.</w:t>
      </w:r>
    </w:p>
    <w:p>
      <w:r>
        <w:br w:type="page"/>
      </w:r>
    </w:p>
    <w:p>
      <w:pPr>
        <w:pStyle w:val="Heading2"/>
        <w:spacing w:after="120" w:before="240"/>
      </w:pPr>
      <w:r>
        <w:rPr>
          <w:b/>
          <w:bCs/>
        </w:rPr>
        <w:t xml:space="preserve">Chapter 2: Framework for Clinical Decision Support in Resource-Limited Settings</w:t>
      </w:r>
    </w:p>
    <w:p>
      <w:pPr>
        <w:pStyle w:val="Heading3"/>
        <w:spacing w:after="120" w:before="240"/>
      </w:pPr>
      <w:r>
        <w:rPr>
          <w:b/>
          <w:bCs/>
        </w:rPr>
        <w:t xml:space="preserve">2.1 Design Principles for Rural CDS</w:t>
      </w:r>
    </w:p>
    <w:p>
      <w:pPr>
        <w:spacing w:after="160" w:line="276"/>
      </w:pPr>
      <w:r>
        <w:rPr>
          <w:rFonts w:ascii="Arial" w:cs="Arial" w:eastAsia="Arial" w:hAnsi="Arial"/>
          <w:sz w:val="22"/>
          <w:szCs w:val="22"/>
        </w:rPr>
        <w:t xml:space="preserve">Effective clinical decision support for rural pediatric emergencies must adhere to several core principles that reflect the operational realities of these environments. First, the tools must function in a zero-connectivity scenario. While telemedicine consultation is an important adjunct, the primary decision support framework must be fully functional without internet access, without real-time specialist input, and without electronic health record integration. Paper-based or locally cached cognitive aids remain essential.</w:t>
      </w:r>
    </w:p>
    <w:p>
      <w:pPr>
        <w:spacing w:after="160" w:line="276"/>
      </w:pPr>
      <w:r>
        <w:rPr>
          <w:rFonts w:ascii="Arial" w:cs="Arial" w:eastAsia="Arial" w:hAnsi="Arial"/>
          <w:sz w:val="22"/>
          <w:szCs w:val="22"/>
        </w:rPr>
        <w:t xml:space="preserve">Second, the decision support must be age-stratified and weight-based. Pediatric physiology varies dramatically from the premature neonate to the adolescent, and a single protocol cannot safely serve this entire population. This document stratifies guidance across five weight-based and developmental categories: neonates (0 to 28 days, with sub-stratification for preterm infants), infants (1 to 12 months), young children (1 to 5 years), school-age children (6 to 12 years), and adolescents (13 to 18 years).</w:t>
      </w:r>
    </w:p>
    <w:p>
      <w:pPr>
        <w:spacing w:after="160" w:line="276"/>
      </w:pPr>
      <w:r>
        <w:rPr>
          <w:rFonts w:ascii="Arial" w:cs="Arial" w:eastAsia="Arial" w:hAnsi="Arial"/>
          <w:sz w:val="22"/>
          <w:szCs w:val="22"/>
        </w:rPr>
        <w:t xml:space="preserve">Third, the decision support must incorporate explicit reassessment triggers. In a prolonged stabilization scenario, the greatest clinical risk shifts from failure of initial intervention to failure of ongoing reassessment. Structured reassessment intervals, with specific parameters to evaluate and thresholds for intervention escalation, are integrated throughout every protocol in this document.</w:t>
      </w:r>
    </w:p>
    <w:p>
      <w:pPr>
        <w:pStyle w:val="Heading3"/>
        <w:spacing w:after="120" w:before="240"/>
      </w:pPr>
      <w:r>
        <w:rPr>
          <w:b/>
          <w:bCs/>
        </w:rPr>
        <w:t xml:space="preserve">2.2 The STABILIZE Framework</w:t>
      </w:r>
    </w:p>
    <w:p>
      <w:pPr>
        <w:spacing w:after="160" w:line="276"/>
      </w:pPr>
      <w:r>
        <w:rPr>
          <w:rFonts w:ascii="Arial" w:cs="Arial" w:eastAsia="Arial" w:hAnsi="Arial"/>
          <w:sz w:val="22"/>
          <w:szCs w:val="22"/>
        </w:rPr>
        <w:t xml:space="preserve">This document introduces the STABILIZE framework as an organizing mnemonic for the systematic approach to any critically ill child in a rural setting. STABILIZE stands for:</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 — Scene Safety and Situational Awareness:</w:t>
      </w:r>
      <w:r>
        <w:rPr>
          <w:rFonts w:ascii="Arial" w:cs="Arial" w:eastAsia="Arial" w:hAnsi="Arial"/>
          <w:sz w:val="22"/>
          <w:szCs w:val="22"/>
        </w:rPr>
        <w:t xml:space="preserve"> Assess the environment, activate the team, assign roles, and establish communication with transport and receiving facilities early.</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T — Triage and Primary Assessment:</w:t>
      </w:r>
      <w:r>
        <w:rPr>
          <w:rFonts w:ascii="Arial" w:cs="Arial" w:eastAsia="Arial" w:hAnsi="Arial"/>
          <w:sz w:val="22"/>
          <w:szCs w:val="22"/>
        </w:rPr>
        <w:t xml:space="preserve"> Rapid Pediatric Assessment Triangle (appearance, work of breathing, circulation to skin), followed by systematic ABCDE primary survey.</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A — Airway and Access:</w:t>
      </w:r>
      <w:r>
        <w:rPr>
          <w:rFonts w:ascii="Arial" w:cs="Arial" w:eastAsia="Arial" w:hAnsi="Arial"/>
          <w:sz w:val="22"/>
          <w:szCs w:val="22"/>
        </w:rPr>
        <w:t xml:space="preserve"> Secure the airway using the least invasive effective method and establish reliable vascular access (peripheral IV, intraosseous, or central if trained).</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B — Breathing and Ventilation Support:</w:t>
      </w:r>
      <w:r>
        <w:rPr>
          <w:rFonts w:ascii="Arial" w:cs="Arial" w:eastAsia="Arial" w:hAnsi="Arial"/>
          <w:sz w:val="22"/>
          <w:szCs w:val="22"/>
        </w:rPr>
        <w:t xml:space="preserve"> Optimize ventilation and oxygenation, deploy non-invasive or invasive mechanical ventilation as indicated, and set initial ventilator parameters.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I — Intravascular Volume and Infusions:</w:t>
      </w:r>
      <w:r>
        <w:rPr>
          <w:rFonts w:ascii="Arial" w:cs="Arial" w:eastAsia="Arial" w:hAnsi="Arial"/>
          <w:sz w:val="22"/>
          <w:szCs w:val="22"/>
        </w:rPr>
        <w:t xml:space="preserve"> Initiate fluid resuscitation or vasoactive support based on the presenting hemodynamic profile, with attention to fluid-responsive versus fluid-refractory shock.</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L — Laboratory and Diagnostics:</w:t>
      </w:r>
      <w:r>
        <w:rPr>
          <w:rFonts w:ascii="Arial" w:cs="Arial" w:eastAsia="Arial" w:hAnsi="Arial"/>
          <w:sz w:val="22"/>
          <w:szCs w:val="22"/>
        </w:rPr>
        <w:t xml:space="preserve"> Obtain critical labs (blood gas, glucose, lactate, electrolytes, CBC, coagulation studies) and point-of-care imaging as available.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I — Identify the Underlying Etiology:</w:t>
      </w:r>
      <w:r>
        <w:rPr>
          <w:rFonts w:ascii="Arial" w:cs="Arial" w:eastAsia="Arial" w:hAnsi="Arial"/>
          <w:sz w:val="22"/>
          <w:szCs w:val="22"/>
        </w:rPr>
        <w:t xml:space="preserve"> Move beyond syndromic management to identify the specific cause driving the clinical presentation, using targeted history, examination findings, and diagnostic data.</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Z — Zone of Ongoing Reassessment:</w:t>
      </w:r>
      <w:r>
        <w:rPr>
          <w:rFonts w:ascii="Arial" w:cs="Arial" w:eastAsia="Arial" w:hAnsi="Arial"/>
          <w:sz w:val="22"/>
          <w:szCs w:val="22"/>
        </w:rPr>
        <w:t xml:space="preserve"> Establish structured reassessment intervals (every 15 minutes during active resuscitation, every 30 minutes during stabilization, every 60 minutes during maintenance) with documented parameters.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E — Expedite Transfer and Ensure Continuity:</w:t>
      </w:r>
      <w:r>
        <w:rPr>
          <w:rFonts w:ascii="Arial" w:cs="Arial" w:eastAsia="Arial" w:hAnsi="Arial"/>
          <w:sz w:val="22"/>
          <w:szCs w:val="22"/>
        </w:rPr>
        <w:t xml:space="preserve"> Coordinate transport, prepare comprehensive transfer documentation, anticipate in-transit deterioration, and communicate directly with the receiving physician.</w:t>
      </w:r>
    </w:p>
    <w:p>
      <w:pPr>
        <w:pStyle w:val="Heading3"/>
        <w:spacing w:after="120" w:before="240"/>
      </w:pPr>
      <w:r>
        <w:rPr>
          <w:b/>
          <w:bCs/>
        </w:rPr>
        <w:t xml:space="preserve">2.3 Team Activation and Role Assignment</w:t>
      </w:r>
    </w:p>
    <w:p>
      <w:pPr>
        <w:spacing w:after="160" w:line="276"/>
      </w:pPr>
      <w:r>
        <w:rPr>
          <w:rFonts w:ascii="Arial" w:cs="Arial" w:eastAsia="Arial" w:hAnsi="Arial"/>
          <w:sz w:val="22"/>
          <w:szCs w:val="22"/>
        </w:rPr>
        <w:t xml:space="preserve">Rural pediatric resuscitation teams are typically smaller than urban counterparts and may include providers with variable pediatric experience. A minimum team configuration includes a team leader (physician, advanced practice provider, or experienced RN), an airway manager, a medication nurse, a documentation/communication nurse, and a runner for supplies and equipment. In facilities with fewer staff, roles must be combined, and the decision support tools must account for this reality. The team leader role is paramount and should be explicitly assigned to the most experienced provider present, with clear authority to direct care and make disposition decisions.</w:t>
      </w:r>
    </w:p>
    <w:p>
      <w:pPr>
        <w:spacing w:after="160" w:line="276"/>
      </w:pPr>
      <w:r>
        <w:rPr>
          <w:rFonts w:ascii="Arial" w:cs="Arial" w:eastAsia="Arial" w:hAnsi="Arial"/>
          <w:sz w:val="22"/>
          <w:szCs w:val="22"/>
        </w:rPr>
        <w:t xml:space="preserve">Activation triggers should be established in advance and posted prominently: any child requiring emergent airway management, any child with decompensated shock, any child with altered mental status (GCS less than 12 or AVPU of P or U), any infant younger than 60 days with fever, any child with significant mechanism of injury, and any child requiring emergent procedural intervention.</w:t>
      </w:r>
    </w:p>
    <w:p>
      <w:r>
        <w:br w:type="page"/>
      </w:r>
    </w:p>
    <w:p>
      <w:pPr>
        <w:pStyle w:val="Heading2"/>
        <w:spacing w:after="120" w:before="240"/>
      </w:pPr>
      <w:r>
        <w:rPr>
          <w:b/>
          <w:bCs/>
        </w:rPr>
        <w:t xml:space="preserve">Chapter 3: Weight Estimation, Medication Dosing, and Equipment Sizing</w:t>
      </w:r>
    </w:p>
    <w:p>
      <w:pPr>
        <w:pStyle w:val="Heading3"/>
        <w:spacing w:after="120" w:before="240"/>
      </w:pPr>
      <w:r>
        <w:rPr>
          <w:b/>
          <w:bCs/>
        </w:rPr>
        <w:t xml:space="preserve">3.1 Weight Estimation Methods</w:t>
      </w:r>
    </w:p>
    <w:p>
      <w:pPr>
        <w:spacing w:after="160" w:line="276"/>
      </w:pPr>
      <w:r>
        <w:rPr>
          <w:rFonts w:ascii="Arial" w:cs="Arial" w:eastAsia="Arial" w:hAnsi="Arial"/>
          <w:sz w:val="22"/>
          <w:szCs w:val="22"/>
        </w:rPr>
        <w:t xml:space="preserve">Accurate weight estimation is the foundation of safe pediatric emergency care. When an actual measured weight is unavailable, the following hierarchy of estimation methods should be employed: caregiver-reported weight (most accurate when available and recent), length-based estimation using the Broselow Tape or equivalent (Broselow-Luten, Handtevy, or PediaTape systems), and age-based estimation formulas as a last resort.</w:t>
      </w:r>
    </w:p>
    <w:p>
      <w:pPr>
        <w:spacing w:after="160" w:line="276"/>
      </w:pPr>
      <w:r>
        <w:rPr>
          <w:rFonts w:ascii="Arial" w:cs="Arial" w:eastAsia="Arial" w:hAnsi="Arial"/>
          <w:sz w:val="22"/>
          <w:szCs w:val="22"/>
        </w:rPr>
        <w:t xml:space="preserve">Age-based estimation formulas for use when no tape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Age Group</w:t>
            </w:r>
          </w:p>
        </w:tc>
        <w:tc>
          <w:tcPr>
            <w:tcW w:type="dxa" w:w="343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Formula (kg)</w:t>
            </w:r>
          </w:p>
        </w:tc>
        <w:tc>
          <w:tcPr>
            <w:tcW w:type="dxa" w:w="343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Notes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Neonate (term)</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 kg average</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Range 2.5–4.5 kg; preterm varies widely</w:t>
            </w:r>
          </w:p>
        </w:tc>
      </w:tr>
      <w:tr>
        <w:tc>
          <w:tcPr>
            <w:tcW w:type="dxa" w:w="25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1–11 months</w:t>
            </w:r>
          </w:p>
        </w:tc>
        <w:tc>
          <w:tcPr>
            <w:tcW w:type="dxa" w:w="343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(Age in months + 9) / 2</w:t>
            </w:r>
          </w:p>
        </w:tc>
        <w:tc>
          <w:tcPr>
            <w:tcW w:type="dxa" w:w="343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Approximation; verify with growth chart if available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 years</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(Age in years × 2) + 8</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APLS formula; slight overestimation in malnourished children</w:t>
            </w:r>
          </w:p>
        </w:tc>
      </w:tr>
      <w:tr>
        <w:tc>
          <w:tcPr>
            <w:tcW w:type="dxa" w:w="25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6–12 years</w:t>
            </w:r>
          </w:p>
        </w:tc>
        <w:tc>
          <w:tcPr>
            <w:tcW w:type="dxa" w:w="343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(Age in years × 3) + 7</w:t>
            </w:r>
          </w:p>
        </w:tc>
        <w:tc>
          <w:tcPr>
            <w:tcW w:type="dxa" w:w="343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Modified formula; consider habitus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 years</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Adult-range dosing may apply</w:t>
            </w:r>
          </w:p>
        </w:tc>
        <w:tc>
          <w:tcPr>
            <w:tcW w:type="dxa" w:w="3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Use actual weight when possible; max doses apply</w:t>
            </w:r>
          </w:p>
        </w:tc>
      </w:tr>
    </w:tbl>
    <w:p>
      <w:pPr>
        <w:spacing w:after="80"/>
      </w:pPr>
    </w:p>
    <w:p>
      <w:pPr>
        <w:spacing w:after="160" w:line="276"/>
      </w:pPr>
      <w:r>
        <w:rPr>
          <w:rFonts w:ascii="Arial" w:cs="Arial" w:eastAsia="Arial" w:hAnsi="Arial"/>
          <w:sz w:val="22"/>
          <w:szCs w:val="22"/>
        </w:rPr>
        <w:t xml:space="preserve">Regardless of the estimation method used, all weights should be documented as estimated and recalculated if an actual weight becomes available. Drug dose calculations should be double-checked by a second provider whenever possible. Pre-calculated dose reference sheets stratified by weight ranges (3 kg, 4 kg, 5 kg, 6–10 kg, 11–15 kg, 16–20 kg, 21–30 kg, 31–40 kg, 41–50 kg, greater than 50 kg) should be readily accessible in the resuscitation area.</w:t>
      </w:r>
    </w:p>
    <w:p>
      <w:pPr>
        <w:pStyle w:val="Heading3"/>
        <w:spacing w:after="120" w:before="240"/>
      </w:pPr>
      <w:r>
        <w:rPr>
          <w:b/>
          <w:bCs/>
        </w:rPr>
        <w:t xml:space="preserve">3.2 Critical Medication Reference</w:t>
      </w:r>
    </w:p>
    <w:p>
      <w:pPr>
        <w:spacing w:after="160" w:line="276"/>
      </w:pPr>
      <w:r>
        <w:rPr>
          <w:rFonts w:ascii="Arial" w:cs="Arial" w:eastAsia="Arial" w:hAnsi="Arial"/>
          <w:sz w:val="22"/>
          <w:szCs w:val="22"/>
        </w:rPr>
        <w:t xml:space="preserve">The following table provides weight-based dosing for the most commonly required resuscitation medications. All doses assume standard concentrations. Facility-specific concentration verification is essential before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00"/>
        <w:gridCol w:w="276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Medication</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Indication</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Dose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Route</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Notes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Epinephrine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Cardiac arrest / Pulseless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0.01 mg/kg (0.1 mL/kg of 1:10,000)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 single dose 1 mg; repeat q3–5 min</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Epinephrine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Anaphylaxis</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0.01 mg/kg (0.01 mL/kg of 1:1,000)</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IM</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Max 0.3 mg (&lt;30 kg) or 0.5 mg; auto-injector if available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Epinephrine infusion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Refractory shock</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0.05–1 mcg/kg/min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Titrate to effect; central line preferred but peripheral acceptable in emergency</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Atropine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Symptomatic bradycardia</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0.02 mg/kg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Min dose 0.1 mg; max single dose 0.5 mg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Amiodarone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VF/pulseless VT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mg/kg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 300 mg first dose; may repeat x2 to max 15 mg/kg</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Adenosine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SVT</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0.1 mg/kg (1st); 0.2 mg/kg (2nd)</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Rapid IV push</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Max 6 mg 1st, 12 mg 2nd; use closest IV to heart with rapid flush</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Dextrose (D10W)</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Hypoglycemia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2–4 mL/kg of D10W</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Neonates: always D10W; never D50 in children &lt;2y</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Sodium bicarbonate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Severe metabolic acidosis</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1–2 mEq/kg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Neonates: use 4.2% (0.5 mEq/mL); dilute 1:1 in older children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Normal saline bolus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Volume resuscitation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10–20 mL/kg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Reassess after each bolus; max 40–60 mL/kg in first hour (sepsis)</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Norepinephrine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Warm/vasodilatory shock</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0.05–2 mcg/kg/min</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Preferred vasopressor in pediatric septic shock per SSC 2020</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Dopamine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Shock (alternative)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5–20 mcg/kg/min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Less preferred than epi/norepi; may be only option in some rural settings</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Midazolam</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Status epilepticus</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0.1–0.2 mg/kg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IV/IO/IM/IN</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Max 5 mg IV, 10 mg IM; intranasal route useful if no access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Lorazepam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Status epilepticus</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0.1 mg/kg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 4 mg/dose; slower onset but longer duration than midazolam</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Levetiracetam</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Seizure (2nd line)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40–60 mg/kg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Max 3000 mg; infuse over 15 min; fewer hemodynamic effects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Fosphenytoin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Seizure (2nd line alt)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 mg PE/kg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 150 mg PE/min infusion rate; cardiac monitoring required</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Ceftriaxone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Sepsis (empiric)</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50–100 mg/kg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Max 2 g (4 g for meningitis); avoid in neonates &lt;28 days (use ampicillin + gentamicin)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Vancomycin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MRSA coverage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 mg/kg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Infuse over 60 min; monitor for red-man syndrome</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Dexamethasone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Croup / Airway edema</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0.6 mg/kg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PO/IV/IM</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Max 16 mg; single dose usually sufficient</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Albuterol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Bronchospasm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2.5–5 mg nebulized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Inhaled</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Continuous nebulization for severe asthma: 0.5 mg/kg/hr (max 15 mg/hr)</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Ipratropium</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Severe bronchospasm</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250–500 mcg nebulized</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Inhaled</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Combine with albuterol for first 3 treatments; then albuterol alone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Ketamine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RSI / Procedural sedation</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 mg/kg IV; 3–5 mg/kg IM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IV/IM</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Preserves airway reflexes and hemodynamics; ideal for rural settings</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Rocuronium</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RSI paralysis</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 mg/kg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Preferred over succinylcholine in most situations; 30–60 min duration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Succinylcholine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RSI paralysis (alt)</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 mg/kg IV; 3–4 mg/kg IM</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IV/IM</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Contraindicated in hyperkalemia, burns &gt;48h, crush injury, neuromuscular disease</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Mannitol</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Raised ICP</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0.5–1 g/kg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Infuse over 15–20 min; monitor osmolality; ensure adequate volume status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Hypertonic saline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Raised ICP / Hyponatremia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 mL/kg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Infuse over 10–20 min; max 250 mL per dose; can repeat</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Tranexamic acid</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Hemorrhage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15–20 mg/kg (max 1 g)</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Administer within 3 hours of injury; infuse over 10 min</w:t>
            </w:r>
          </w:p>
        </w:tc>
      </w:tr>
    </w:tbl>
    <w:p>
      <w:pPr>
        <w:spacing w:after="80"/>
      </w:pPr>
    </w:p>
    <w:p>
      <w:pPr>
        <w:pStyle w:val="Heading3"/>
        <w:spacing w:after="120" w:before="240"/>
      </w:pPr>
      <w:r>
        <w:rPr>
          <w:b/>
          <w:bCs/>
        </w:rPr>
        <w:t xml:space="preserve">3.3 Endotracheal Tube and Airway Equipment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Age</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ETT Cuffed (mm)</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ETT Uncuffed (mm)</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Depth at Lip (cm)</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Laryngoscope Blade</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LMA Size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Premature &lt;1 kg</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 (rarely avail)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6–7</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Miller 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Premature 1–2 kg</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7–8</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Miller 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Term neonate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3.0–3.5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3.0–3.5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8–9</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Miller 0–1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 months</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3.5</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3.5–4.0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9–10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Miller 1</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1.5</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year</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3.5–4.0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10–11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Miller 1 / Mac 1</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1.5–2</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 years</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4.0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4.5</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11–12</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Miller 1–2 / Mac 2</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 years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13–14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Miller 2 / Mac 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2–2.5</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 years</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5.0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5.5</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15–16</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Mac 2</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2.5</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 years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16–18</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Mac 2–3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2.5–3</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10 years</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6.5</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18–19</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Mac 3</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 years</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6.0–6.5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19–20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Mac 3</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3–4</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14+ years</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6.5–7.0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7.0–7.5</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20–22</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Mac 3–4</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4–5</w:t>
            </w:r>
          </w:p>
        </w:tc>
      </w:tr>
    </w:tbl>
    <w:p>
      <w:pPr>
        <w:spacing w:after="80"/>
      </w:pPr>
    </w:p>
    <w:p>
      <w:pPr>
        <w:spacing w:after="160" w:line="276"/>
      </w:pPr>
      <w:r>
        <w:rPr>
          <w:rFonts w:ascii="Arial" w:cs="Arial" w:eastAsia="Arial" w:hAnsi="Arial"/>
          <w:sz w:val="22"/>
          <w:szCs w:val="22"/>
        </w:rPr>
        <w:t xml:space="preserve">Cuffed ETTs are now preferred in all age groups, including neonates, per current AHA and AAP guidelines. The cuff should be inflated to the minimum pressure that prevents audible leak, typically 20 to 25 cm H2O measured by cuff manometry. Uncuffed tube sizes are included for situations where cuffed tubes of the appropriate size are unavailable. The formula for cuffed ETT size in children over 1 year is: (Age/4) + 3.5. For uncuffed: (Age/4) + 4.</w:t>
      </w:r>
    </w:p>
    <w:p>
      <w:r>
        <w:br w:type="page"/>
      </w:r>
    </w:p>
    <w:p>
      <w:pPr>
        <w:pStyle w:val="Heading1"/>
        <w:spacing w:after="120" w:before="360"/>
      </w:pPr>
      <w:r>
        <w:rPr>
          <w:b/>
          <w:bCs/>
        </w:rPr>
        <w:t xml:space="preserve">PART II: DISEASE-SPECIFIC CLINICAL DECISION SUPPORT PROTOCOLS</w:t>
      </w:r>
    </w:p>
    <w:p>
      <w:pPr>
        <w:pStyle w:val="Heading2"/>
        <w:spacing w:after="120" w:before="240"/>
      </w:pPr>
      <w:r>
        <w:rPr>
          <w:b/>
          <w:bCs/>
        </w:rPr>
        <w:t xml:space="preserve">Chapter 4: Pediatric Trauma</w:t>
      </w:r>
    </w:p>
    <w:p>
      <w:pPr>
        <w:pStyle w:val="Heading3"/>
        <w:spacing w:after="120" w:before="240"/>
      </w:pPr>
      <w:r>
        <w:rPr>
          <w:b/>
          <w:bCs/>
        </w:rPr>
        <w:t xml:space="preserve">4.1 Primary Survey and Initial Stabilization</w:t>
      </w:r>
    </w:p>
    <w:p>
      <w:pPr>
        <w:spacing w:after="160" w:line="276"/>
      </w:pPr>
      <w:r>
        <w:rPr>
          <w:rFonts w:ascii="Arial" w:cs="Arial" w:eastAsia="Arial" w:hAnsi="Arial"/>
          <w:sz w:val="22"/>
          <w:szCs w:val="22"/>
        </w:rPr>
        <w:t xml:space="preserve">Pediatric trauma remains the leading cause of death in children over one year of age, and rural children face disproportionately higher mortality due to mechanism severity (agricultural, ATV, motor vehicle) and prolonged pre-hospital intervals. The structured approach to the injured child follows the ATLS framework adapted for pediatric physiology, with critical attention to the unique anatomic and physiologic vulnerabilities of children.</w:t>
      </w:r>
    </w:p>
    <w:p>
      <w:pPr>
        <w:spacing w:after="160" w:line="276"/>
      </w:pPr>
      <w:r>
        <w:rPr>
          <w:rFonts w:ascii="Arial" w:cs="Arial" w:eastAsia="Arial" w:hAnsi="Arial"/>
          <w:sz w:val="22"/>
          <w:szCs w:val="22"/>
        </w:rPr>
        <w:t xml:space="preserve">The primary survey proceeds systematically through ABCDE with simultaneous hemorrhage control. Airway management in the traumatically injured child requires inline cervical spine stabilization during all maneuvers. The child’s relatively large occiput causes passive cervical flexion in the supine position; a shoulder roll or occipital recess in the backboard is essential to achieve neutral alignment. Jaw thrust without head tilt is the preferred initial airway maneuver. If intubation is required, video laryngoscopy (when available) reduces the need for cervical manipulation and is strongly recommended.</w:t>
      </w:r>
    </w:p>
    <w:p>
      <w:pPr>
        <w:spacing w:after="160" w:line="276"/>
      </w:pPr>
      <w:r>
        <w:rPr>
          <w:rFonts w:ascii="Arial" w:cs="Arial" w:eastAsia="Arial" w:hAnsi="Arial"/>
          <w:sz w:val="22"/>
          <w:szCs w:val="22"/>
        </w:rPr>
        <w:t xml:space="preserve">Breathing assessment must include bilateral needle decompression capability for tension pneumothorax, which can develop rapidly in the pediatric chest. Needle decompression is performed at the second intercostal space, midclavicular line, or the fourth/fifth intercostal space, anterior axillary line, using a catheter of sufficient length (minimum 4.5 cm for small children, 7 cm for adolescents). Chest tube placement follows standard technique with size selection based on weight: approximately 10–12 Fr for infants, 16–20 Fr for children, and 24–32 Fr for adolescents.</w:t>
      </w:r>
    </w:p>
    <w:p>
      <w:pPr>
        <w:pStyle w:val="Heading3"/>
        <w:spacing w:after="120" w:before="240"/>
      </w:pPr>
      <w:r>
        <w:rPr>
          <w:b/>
          <w:bCs/>
        </w:rPr>
        <w:t xml:space="preserve">4.2 Hemorrhagic Shock Recognition and Management</w:t>
      </w:r>
    </w:p>
    <w:p>
      <w:pPr>
        <w:spacing w:after="160" w:line="276"/>
      </w:pPr>
      <w:r>
        <w:rPr>
          <w:rFonts w:ascii="Arial" w:cs="Arial" w:eastAsia="Arial" w:hAnsi="Arial"/>
          <w:sz w:val="22"/>
          <w:szCs w:val="22"/>
        </w:rPr>
        <w:t xml:space="preserve">Children compensate for hemorrhage more effectively than adults, making early recognition of hemorrhagic shock challenging. Tachycardia is the earliest and most sensitive sign but is nonspecific in the frightened, painful child. The traditional classification of hemorrhagic shock into Classes I through IV applies to children, but the clinical thresholds differ. Hypotension in children (systolic BP less than 70 + [2 × age in years] for children 1–10 years, or less than 90 for children over 10) represents a loss of approximately 25–30% of circulating blood volume and constitutes decompensated shock, a late finding.</w:t>
      </w:r>
    </w:p>
    <w:p>
      <w:pPr>
        <w:spacing w:after="160" w:line="276"/>
      </w:pPr>
      <w:r>
        <w:rPr>
          <w:rFonts w:ascii="Arial" w:cs="Arial" w:eastAsia="Arial" w:hAnsi="Arial"/>
          <w:sz w:val="22"/>
          <w:szCs w:val="22"/>
        </w:rPr>
        <w:t xml:space="preserve">Earlier indicators include narrowing pulse pressure, delayed capillary refill (greater than 3 seconds), altered mental status (irritability progressing to lethargy), cool mottled extremities, and decreasing urine output (less than 1 mL/kg/hr in children, less than 2 mL/kg/hr in infants). Lactate, when available, provides an objective marker of tissue perfusion; levels above 4 mmol/L correlate with significant hemorrhage.</w:t>
      </w:r>
    </w:p>
    <w:p>
      <w:pPr>
        <w:spacing w:after="160" w:line="276"/>
      </w:pPr>
      <w:r>
        <w:rPr>
          <w:rFonts w:ascii="Arial" w:cs="Arial" w:eastAsia="Arial" w:hAnsi="Arial"/>
          <w:sz w:val="22"/>
          <w:szCs w:val="22"/>
        </w:rPr>
        <w:t xml:space="preserve">Initial volume resuscitation follows a damage-control resuscitation strategy. Administer 10–20 mL/kg isotonic crystalloid (normal saline or lactated Ringer’s), reassess after each bolus, and move rapidly to blood product administration if two crystalloid boluses (40 mL/kg total) do not produce clinical improvement. In rural settings where blood may not be immediately available, coordination with the regional blood bank and activation of massive transfusion protocols should occur simultaneously with initial crystalloid resuscitation. Type O-negative or low-titer type O-positive packed red blood cells should be maintained in the facility’s emergency blood supply. Target hemoglobin goals during active hemorrhage are generally 7–10 g/dL depending on clinical status.</w:t>
      </w:r>
    </w:p>
    <w:p>
      <w:pPr>
        <w:spacing w:after="160" w:line="276"/>
      </w:pPr>
      <w:r>
        <w:rPr>
          <w:rFonts w:ascii="Arial" w:cs="Arial" w:eastAsia="Arial" w:hAnsi="Arial"/>
          <w:sz w:val="22"/>
          <w:szCs w:val="22"/>
        </w:rPr>
        <w:t xml:space="preserve">Tranexamic acid (TXA) should be administered within three hours of injury at a dose of 15–20 mg/kg (maximum 1 gram) infused over 10 minutes. Evidence from the CRASH-2 trial and subsequent pediatric adaptations supports early TXA use in traumatic hemorrhage. After the initial bolus, an infusion of 2 mg/kg/hr (maximum 125 mg/hr) may be continued for 8 hours or until hemorrhage is controlled.</w:t>
      </w:r>
    </w:p>
    <w:p>
      <w:pPr>
        <w:pStyle w:val="Heading3"/>
        <w:spacing w:after="120" w:before="240"/>
      </w:pPr>
      <w:r>
        <w:rPr>
          <w:b/>
          <w:bCs/>
        </w:rPr>
        <w:t xml:space="preserve">4.3 Traumatic Brain Injury</w:t>
      </w:r>
    </w:p>
    <w:p>
      <w:pPr>
        <w:spacing w:after="160" w:line="276"/>
      </w:pPr>
      <w:r>
        <w:rPr>
          <w:rFonts w:ascii="Arial" w:cs="Arial" w:eastAsia="Arial" w:hAnsi="Arial"/>
          <w:sz w:val="22"/>
          <w:szCs w:val="22"/>
        </w:rPr>
        <w:t xml:space="preserve">Traumatic brain injury (TBI) is the leading cause of trauma-related death in children. Rural management of pediatric TBI focuses on prevention of secondary brain injury through aggressive attention to oxygenation, ventilation, perfusion, and intracranial pressure (ICP) management. The initial assessment includes GCS scoring adapted for the patient’s developmental stage (GCS-T for children under 2 years uses the modified verbal scale), pupillary examination, and assessment for signs of herniation.</w:t>
      </w:r>
    </w:p>
    <w:p>
      <w:pPr>
        <w:spacing w:after="160" w:line="276"/>
      </w:pPr>
      <w:r>
        <w:rPr>
          <w:rFonts w:ascii="Arial" w:cs="Arial" w:eastAsia="Arial" w:hAnsi="Arial"/>
          <w:sz w:val="22"/>
          <w:szCs w:val="22"/>
        </w:rPr>
        <w:t xml:space="preserve">Critical management targets for sustained TBI stabilization include: maintaining PaO2 above 60 mmHg (SpO2 above 94%), avoiding hypocapnia (target PaCO2 35–40 mmHg; hyperventilation to PaCO2 30–35 only as a temporizing measure for impending herniation), maintaining age-appropriate systolic blood pressure (the fifth percentile SBP threshold varies by age: 60 mmHg for 0–28 days, 70 mmHg for 1–12 months, 70 + [2 × age] for 1–10 years, 90 mmHg for over 10 years), maintaining euglycemia (blood glucose 80–180 mg/dL), maintaining normothermia (avoiding both hyperthermia and hypothermia unless targeted temperature management is specifically indicated), and maintaining the head of bed at 30 degrees with the head in midline position to optimize venous drainage.</w:t>
      </w:r>
    </w:p>
    <w:p>
      <w:pPr>
        <w:spacing w:after="160" w:line="276"/>
      </w:pPr>
      <w:r>
        <w:rPr>
          <w:rFonts w:ascii="Arial" w:cs="Arial" w:eastAsia="Arial" w:hAnsi="Arial"/>
          <w:sz w:val="22"/>
          <w:szCs w:val="22"/>
        </w:rPr>
        <w:t xml:space="preserve">Hyperosmolar therapy for suspected elevated ICP includes 3% hypertonic saline at 2–5 mL/kg over 10–20 minutes (preferred in pediatrics due to better safety profile) or mannitol 0.5–1 g/kg over 15–20 minutes. Hypertonic saline may be repeated; mannitol should be used cautiously and serum osmolality checked before redosing (hold if osmolality exceeds 320 mOsm/L). Seizure prophylaxis with levetiracetam (40–60 mg/kg loading dose, maximum 3 grams) is reasonable for severe TBI (GCS 8 or less) in the first seven days.</w:t>
      </w:r>
    </w:p>
    <w:p>
      <w:pPr>
        <w:pStyle w:val="Heading3"/>
        <w:spacing w:after="120" w:before="240"/>
      </w:pPr>
      <w:r>
        <w:rPr>
          <w:b/>
          <w:bCs/>
        </w:rPr>
        <w:t xml:space="preserve">4.4 Abdominal and Thoracic Trauma</w:t>
      </w:r>
    </w:p>
    <w:p>
      <w:pPr>
        <w:spacing w:after="160" w:line="276"/>
      </w:pPr>
      <w:r>
        <w:rPr>
          <w:rFonts w:ascii="Arial" w:cs="Arial" w:eastAsia="Arial" w:hAnsi="Arial"/>
          <w:sz w:val="22"/>
          <w:szCs w:val="22"/>
        </w:rPr>
        <w:t xml:space="preserve">Solid organ injury (spleen, liver, kidney) is the most common source of significant intra-abdominal hemorrhage in children. Unlike adults, the majority of pediatric solid organ injuries are managed non-operatively, but this requires serial clinical assessment and access to serial hemoglobin monitoring. In the rural setting without CT capability, the FAST examination (Focused Assessment with Sonography for Trauma) provides critical information about free intraperitoneal or intrathoracic fluid. A positive FAST in a hemodynamically unstable child mandates urgent surgical consultation and expedited transfer. A negative FAST does not exclude solid organ injury but reduces the immediate likelihood of life-threatening hemorrhage.</w:t>
      </w:r>
    </w:p>
    <w:p>
      <w:pPr>
        <w:spacing w:after="160" w:line="276"/>
      </w:pPr>
      <w:r>
        <w:rPr>
          <w:rFonts w:ascii="Arial" w:cs="Arial" w:eastAsia="Arial" w:hAnsi="Arial"/>
          <w:sz w:val="22"/>
          <w:szCs w:val="22"/>
        </w:rPr>
        <w:t xml:space="preserve">Thoracic trauma in children is less common than abdominal injury but carries high mortality when present. The pediatric chest wall is highly compliant, meaning significant intrathoracic injury can occur without rib fractures. The presence of rib fractures in a child, particularly in a child under 3 years of age, should raise concern for either very high-energy mechanism or non-accidental trauma. Flail chest, while rare in children, is managed with positive-pressure ventilation. Cardiac contusion should be suspected with high-energy anterior chest impact and is monitored with continuous cardiac telemetry and serial troponin levels.</w:t>
      </w:r>
    </w:p>
    <w:p>
      <w:pPr>
        <w:pStyle w:val="Heading3"/>
        <w:spacing w:after="120" w:before="240"/>
      </w:pPr>
      <w:r>
        <w:rPr>
          <w:b/>
          <w:bCs/>
        </w:rPr>
        <w:t xml:space="preserve">4.5 Orthopedic Emergencies and Compartment Syndrome</w:t>
      </w:r>
    </w:p>
    <w:p>
      <w:pPr>
        <w:spacing w:after="160" w:line="276"/>
      </w:pPr>
      <w:r>
        <w:rPr>
          <w:rFonts w:ascii="Arial" w:cs="Arial" w:eastAsia="Arial" w:hAnsi="Arial"/>
          <w:sz w:val="22"/>
          <w:szCs w:val="22"/>
        </w:rPr>
        <w:t xml:space="preserve">Pediatric fractures requiring emergent attention in the rural setting include open fractures, fractures with neurovascular compromise, supracondylar humerus fractures (high risk for brachial artery and median/anterior interosseous nerve injury), femur fractures (significant blood loss potential and pain management challenge), and pelvic fractures (rare in children but life-threatening when present). Splinting and neurovascular reassessment every 30 minutes is critical during the stabilization and transfer period.</w:t>
      </w:r>
    </w:p>
    <w:p>
      <w:pPr>
        <w:spacing w:after="160" w:line="276"/>
      </w:pPr>
      <w:r>
        <w:rPr>
          <w:rFonts w:ascii="Arial" w:cs="Arial" w:eastAsia="Arial" w:hAnsi="Arial"/>
          <w:sz w:val="22"/>
          <w:szCs w:val="22"/>
        </w:rPr>
        <w:t xml:space="preserve">Compartment syndrome is a true surgical emergency that must be recognized in the rural setting. The classic teaching of the 5 P’s (Pain out of proportion, Pain with passive stretch, Paresthesias, Pallor, Pulselessness) has significant limitations in the preverbal or obtunded child. Pain out of proportion to the injury and increasing analgesic requirements are the most reliable early indicators. If compartment syndrome is suspected and transfer is significantly delayed, emergent fasciotomy may be life-saving and should be performed if the provider has surgical capability, guided by telephone or video consultation with an orthopedic surgeon.</w:t>
      </w:r>
    </w:p>
    <w:p>
      <w:pPr>
        <w:pStyle w:val="Heading3"/>
        <w:spacing w:after="120" w:before="240"/>
      </w:pPr>
      <w:r>
        <w:rPr>
          <w:b/>
          <w:bCs/>
        </w:rPr>
        <w:t xml:space="preserve">4.6 Burns</w:t>
      </w:r>
    </w:p>
    <w:p>
      <w:pPr>
        <w:spacing w:after="160" w:line="276"/>
      </w:pPr>
      <w:r>
        <w:rPr>
          <w:rFonts w:ascii="Arial" w:cs="Arial" w:eastAsia="Arial" w:hAnsi="Arial"/>
          <w:sz w:val="22"/>
          <w:szCs w:val="22"/>
        </w:rPr>
        <w:t xml:space="preserve">Pediatric burns requiring stabilization at a rural facility before transfer include any burn covering more than 10% total body surface area (TBSA), burns involving the face, hands, feet, genitalia, perineum, or major joints, circumferential burns, electrical or chemical burns, and burns with associated inhalation injury. TBSA estimation in children uses the Lund-Browder chart, which accounts for the proportionally larger head and smaller extremities of younger children (the adult Rule of Nines overestimates head and underestimates lower extremity BSA in children under 10).</w:t>
      </w:r>
    </w:p>
    <w:p>
      <w:pPr>
        <w:spacing w:after="160" w:line="276"/>
      </w:pPr>
      <w:r>
        <w:rPr>
          <w:rFonts w:ascii="Arial" w:cs="Arial" w:eastAsia="Arial" w:hAnsi="Arial"/>
          <w:sz w:val="22"/>
          <w:szCs w:val="22"/>
        </w:rPr>
        <w:t xml:space="preserve">Fluid resuscitation for burns follows the Parkland formula adapted for pediatric use: 3–4 mL/kg/% TBSA for the first 24 hours, with half administered in the first 8 hours from the time of injury (not from the time of presentation). Maintenance fluids with dextrose must be added for children under 20 kg (the Parkland formula alone does not account for the higher metabolic requirements and limited glycogen stores of young children). Target urine output is 1 mL/kg/hr for children under 30 kg and 0.5–1 mL/kg/hr for larger children.</w:t>
      </w:r>
    </w:p>
    <w:p>
      <w:pPr>
        <w:spacing w:after="160" w:line="276"/>
      </w:pPr>
      <w:r>
        <w:rPr>
          <w:rFonts w:ascii="Arial" w:cs="Arial" w:eastAsia="Arial" w:hAnsi="Arial"/>
          <w:sz w:val="22"/>
          <w:szCs w:val="22"/>
        </w:rPr>
        <w:t xml:space="preserve">Early intubation should be strongly considered for any child with signs of inhalation injury (facial burns, singed nasal hair, soot in the oropharynx, hoarseness, stridor, or carbonaceous sputum), as progressive airway edema can make delayed intubation extremely difficult or impossible. Carbon monoxide poisoning is treated with 100% FiO2 via non-rebreather mask or mechanical ventilator; SpO2 monitoring is unreliable in this setting as standard pulse oximetry cannot distinguish carboxyhemoglobin from oxyhemoglobin.</w:t>
      </w:r>
    </w:p>
    <w:p>
      <w:r>
        <w:br w:type="page"/>
      </w:r>
    </w:p>
    <w:p>
      <w:pPr>
        <w:pStyle w:val="Heading2"/>
        <w:spacing w:after="120" w:before="240"/>
      </w:pPr>
      <w:r>
        <w:rPr>
          <w:b/>
          <w:bCs/>
        </w:rPr>
        <w:t xml:space="preserve">Chapter 5: Respiratory Failure</w:t>
      </w:r>
    </w:p>
    <w:p>
      <w:pPr>
        <w:pStyle w:val="Heading3"/>
        <w:spacing w:after="120" w:before="240"/>
      </w:pPr>
      <w:r>
        <w:rPr>
          <w:b/>
          <w:bCs/>
        </w:rPr>
        <w:t xml:space="preserve">5.1 Recognition and Classification</w:t>
      </w:r>
    </w:p>
    <w:p>
      <w:pPr>
        <w:spacing w:after="160" w:line="276"/>
      </w:pPr>
      <w:r>
        <w:rPr>
          <w:rFonts w:ascii="Arial" w:cs="Arial" w:eastAsia="Arial" w:hAnsi="Arial"/>
          <w:sz w:val="22"/>
          <w:szCs w:val="22"/>
        </w:rPr>
        <w:t xml:space="preserve">Respiratory failure in children is broadly classified into two categories: Type I (hypoxemic) respiratory failure, characterized by PaO2 less than 60 mmHg on room air or SpO2 less than 90%, and Type II (hypercapnic) respiratory failure, characterized by PaCO2 greater than 50 mmHg with respiratory acidosis. Many critically ill children develop combined Type I and Type II failure. The clinical trajectory from respiratory distress to respiratory failure to respiratory arrest can be rapid in children, whose smaller functional residual capacity, higher metabolic rate, and more compliant chest wall predispose them to faster desaturation and fatigue.</w:t>
      </w:r>
    </w:p>
    <w:p>
      <w:pPr>
        <w:spacing w:after="160" w:line="276"/>
      </w:pPr>
      <w:r>
        <w:rPr>
          <w:rFonts w:ascii="Arial" w:cs="Arial" w:eastAsia="Arial" w:hAnsi="Arial"/>
          <w:sz w:val="22"/>
          <w:szCs w:val="22"/>
        </w:rPr>
        <w:t xml:space="preserve">Early recognition depends on systematic assessment of work of breathing (retractions, nasal flaring, grunting, accessory muscle use, head bobbing in infants), adequacy of ventilation (air entry, chest rise, respiratory rate compared to age-normal values, capnography when available), and oxygenation (SpO2, color, PaO2 on blood gas). The Pediatric Assessment Triangle provides a rapid first impression: an abnormal appearance with increased work of breathing suggests respiratory distress, while an abnormal appearance with decreased work of breathing suggests impending respiratory failure.</w:t>
      </w:r>
    </w:p>
    <w:p>
      <w:pPr>
        <w:pStyle w:val="Heading3"/>
        <w:spacing w:after="120" w:before="240"/>
      </w:pPr>
      <w:r>
        <w:rPr>
          <w:b/>
          <w:bCs/>
        </w:rPr>
        <w:t xml:space="preserve">5.2 Stepwise Approach to Respiratory Support</w:t>
      </w:r>
    </w:p>
    <w:p>
      <w:pPr>
        <w:spacing w:after="160" w:line="276"/>
      </w:pPr>
      <w:r>
        <w:rPr>
          <w:rFonts w:ascii="Arial" w:cs="Arial" w:eastAsia="Arial" w:hAnsi="Arial"/>
          <w:sz w:val="22"/>
          <w:szCs w:val="22"/>
        </w:rPr>
        <w:t xml:space="preserve">Respiratory support should be escalated in a stepwise fashion, matching the level of intervention to the severity of respiratory compromise. The following escalation ladder applies: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Step 1 — Supplemental Oxygen:</w:t>
      </w:r>
      <w:r>
        <w:rPr>
          <w:rFonts w:ascii="Arial" w:cs="Arial" w:eastAsia="Arial" w:hAnsi="Arial"/>
          <w:sz w:val="22"/>
          <w:szCs w:val="22"/>
        </w:rPr>
        <w:t xml:space="preserve"> Nasal cannula (0.25–4 L/min depending on age), simple face mask (6–10 L/min), or non-rebreather mask (10–15 L/min for near-100% FiO2). Titrate to maintain SpO2 92–97% (94–99% in neonates without cyanotic heart disease).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Step 2 — High-Flow Nasal Cannula (HFNC):</w:t>
      </w:r>
      <w:r>
        <w:rPr>
          <w:rFonts w:ascii="Arial" w:cs="Arial" w:eastAsia="Arial" w:hAnsi="Arial"/>
          <w:sz w:val="22"/>
          <w:szCs w:val="22"/>
        </w:rPr>
        <w:t xml:space="preserve"> If available, HFNC provides heated, humidified oxygen at flows exceeding the patient’s inspiratory demand, creating a modest positive airway pressure effect. Typical starting flows: 2 L/kg/min for infants (max 8 L/min for infants under 10 kg), 1–2 L/kg/min for older children (max 50–70 L/min for adolescents).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Step 3 — Non-Invasive Positive Pressure Ventilation (NIPPV):</w:t>
      </w:r>
      <w:r>
        <w:rPr>
          <w:rFonts w:ascii="Arial" w:cs="Arial" w:eastAsia="Arial" w:hAnsi="Arial"/>
          <w:sz w:val="22"/>
          <w:szCs w:val="22"/>
        </w:rPr>
        <w:t xml:space="preserve"> CPAP or BiPAP via nasal mask or full face mask. CPAP starting pressure 5–8 cm H2O. BiPAP starting pressures IPAP 10–12, EPAP 5–6 cm H2O. Indications include persistent hypoxemia despite HFNC, increased work of breathing, or obstructive airway pathology. Contraindications include inability to protect the airway, hemodynamic instability, undrained pneumothorax, and uncooperative patient unable to tolerate the interface.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Step 4 — Endotracheal Intubation and Mechanical Ventilation:</w:t>
      </w:r>
      <w:r>
        <w:rPr>
          <w:rFonts w:ascii="Arial" w:cs="Arial" w:eastAsia="Arial" w:hAnsi="Arial"/>
          <w:sz w:val="22"/>
          <w:szCs w:val="22"/>
        </w:rPr>
        <w:t xml:space="preserve"> Indicated when non-invasive measures fail, when the patient cannot protect the airway, when there is impending respiratory arrest, or when the clinical situation requires reliable airway control for transport or ongoing management.</w:t>
      </w:r>
    </w:p>
    <w:p>
      <w:pPr>
        <w:pStyle w:val="Heading3"/>
        <w:spacing w:after="120" w:before="240"/>
      </w:pPr>
      <w:r>
        <w:rPr>
          <w:b/>
          <w:bCs/>
        </w:rPr>
        <w:t xml:space="preserve">5.3 Rapid Sequence Intubation in the Rural Setting</w:t>
      </w:r>
    </w:p>
    <w:p>
      <w:pPr>
        <w:spacing w:after="160" w:line="276"/>
      </w:pPr>
      <w:r>
        <w:rPr>
          <w:rFonts w:ascii="Arial" w:cs="Arial" w:eastAsia="Arial" w:hAnsi="Arial"/>
          <w:sz w:val="22"/>
          <w:szCs w:val="22"/>
        </w:rPr>
        <w:t xml:space="preserve">Rapid sequence intubation (RSI) is the standard technique for emergent airway management in children who are not in cardiac arrest. The approach requires meticulous preparation in the rural setting where experienced pediatric airway managers may not be immediately available. The 7 P’s framework (Preparation, Preoxygenation, Pretreatment, Paralysis with induction, Placement with proof, Post-intubation management, and Plan B) structures the approach.</w:t>
      </w:r>
    </w:p>
    <w:p>
      <w:pPr>
        <w:spacing w:after="160" w:line="276"/>
      </w:pPr>
      <w:r>
        <w:rPr>
          <w:rFonts w:ascii="Arial" w:cs="Arial" w:eastAsia="Arial" w:hAnsi="Arial"/>
          <w:sz w:val="22"/>
          <w:szCs w:val="22"/>
        </w:rPr>
        <w:t xml:space="preserve">Preparation includes assembling all equipment before beginning the procedure. The SOAP-ME mnemonic is useful: Suction (functioning, appropriately sized — Yankauer and flexible catheters), Oxygen (BVM with appropriate mask, functioning flowmeter, PEEP valve if available), Airway equipment (laryngoscope with functioning light, appropriate blade size, ETT one size above and below the calculated size, stylet, LMA as backup), Pharmacology (induction and paralytic agents drawn up with doses verified), and Monitoring/Equipment (pulse oximetry, capnography, cardiac monitor, blood pressure cuff).</w:t>
      </w:r>
    </w:p>
    <w:p>
      <w:pPr>
        <w:spacing w:after="160" w:line="276"/>
      </w:pPr>
      <w:r>
        <w:rPr>
          <w:rFonts w:ascii="Arial" w:cs="Arial" w:eastAsia="Arial" w:hAnsi="Arial"/>
          <w:sz w:val="22"/>
          <w:szCs w:val="22"/>
        </w:rPr>
        <w:t xml:space="preserve">Preferred RSI medications in the rural setting: Ketamine 1–2 mg/kg IV is the preferred induction agent for most pediatric emergencies due to its hemodynamic stability, bronchodilatory properties, and preservation of respiratory drive during the apneic period. It is particularly advantageous in the child with shock, asthma, or status epilepticus. Rocuronium 1 mg/kg IV is the preferred neuromuscular blocking agent, offering rapid onset (45–60 seconds) without the hyperkalemia risk of succinylcholine. Glycopyrrolate 0.004–0.01 mg/kg (max 0.2 mg) may be considered as a pretreatment to reduce secretions, particularly in infants.</w:t>
      </w:r>
    </w:p>
    <w:p>
      <w:pPr>
        <w:pStyle w:val="Heading3"/>
        <w:spacing w:after="120" w:before="240"/>
      </w:pPr>
      <w:r>
        <w:rPr>
          <w:b/>
          <w:bCs/>
        </w:rPr>
        <w:t xml:space="preserve">5.4 Initial Ventilator Management</w:t>
      </w:r>
    </w:p>
    <w:p>
      <w:pPr>
        <w:spacing w:after="160" w:line="276"/>
      </w:pPr>
      <w:r>
        <w:rPr>
          <w:rFonts w:ascii="Arial" w:cs="Arial" w:eastAsia="Arial" w:hAnsi="Arial"/>
          <w:sz w:val="22"/>
          <w:szCs w:val="22"/>
        </w:rPr>
        <w:t xml:space="preserve">After successful intubation, initial ventilator settings should be tailored to the underlying pathology. The following guidance provides starting parameters that can be adjusted based on clinical response and blood gas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Parameter</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Normal Lungs</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 Asthmaticus</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ARDS/Pneumonia</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Raised ICP</w:t>
            </w:r>
          </w:p>
        </w:tc>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Neonatal RDS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Mode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PC-SIMV or VC-SIMV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VC-SIMV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PC-SIMV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VC-SIMV or PC-SIMV</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PC-SIMV or HFOV</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Rate (breaths/min)</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Age-appropriate: 30–40 (neonate), 20–30 (infant), 15–20 (child), 12–16 (adolescent)</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8–12 (permissive hypercapnia)</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20–30 (age-based)</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Age-appropriate; target PaCO2 35–40</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40–60 (premature) or 30–40 (term)</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Tidal Volume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6–8 mL/kg IBW</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6–8 mL/kg IBW</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 mL/kg IBW (lung-protective)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6–8 mL/kg IBW</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 mL/kg IBW</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PEEP (cm H2O)</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3–5</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3–5 (low; concern for air trapping)</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8‒14 (titrate to oxygenation)</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3–5 (avoid increased ICP)</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5–8 (titrate to FRC)</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FiO2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Wean to &lt;0.60 ASAP</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Wean per SpO2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Start 1.0, wean per protocol</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Target SpO2 &gt;94%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Start 0.40, titrate</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I:E Ratio</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1:2</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1:3 to 1:4 (prolonged expiration)</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1:1 to 1:2</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1:2</w:t>
            </w:r>
          </w:p>
        </w:tc>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1:2 to 1:3</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Plateau Pressure</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&lt;30 cm H2O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&lt;30 cm H2O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&lt;28–30 cm H2O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&lt;30 cm H2O</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&lt;25 cm H2O</w:t>
            </w:r>
          </w:p>
        </w:tc>
      </w:tr>
    </w:tbl>
    <w:p>
      <w:pPr>
        <w:spacing w:after="80"/>
      </w:pPr>
    </w:p>
    <w:p>
      <w:pPr>
        <w:spacing w:after="160" w:line="276"/>
      </w:pPr>
      <w:r>
        <w:rPr>
          <w:rFonts w:ascii="Arial" w:cs="Arial" w:eastAsia="Arial" w:hAnsi="Arial"/>
          <w:sz w:val="22"/>
          <w:szCs w:val="22"/>
        </w:rPr>
        <w:t xml:space="preserve">Serial blood gas monitoring is essential to guide ventilator adjustments. Initial blood gas should be obtained 15–30 minutes after initiation of mechanical ventilation, with subsequent gases every 1–2 hours during the active titration phase and every 4–6 hours once settings are stable. Point-of-care blood gas analyzers (iSTAT or equivalent) are critical resources for rural facilities managing ventilated children.</w:t>
      </w:r>
    </w:p>
    <w:p>
      <w:pPr>
        <w:pStyle w:val="Heading3"/>
        <w:spacing w:after="120" w:before="240"/>
      </w:pPr>
      <w:r>
        <w:rPr>
          <w:b/>
          <w:bCs/>
        </w:rPr>
        <w:t xml:space="preserve">5.5 Specific Respiratory Emergencies</w:t>
      </w:r>
    </w:p>
    <w:p>
      <w:pPr>
        <w:spacing w:after="120" w:line="276"/>
      </w:pPr>
      <w:r>
        <w:rPr>
          <w:rFonts w:ascii="Arial" w:cs="Arial" w:eastAsia="Arial" w:hAnsi="Arial"/>
          <w:b/>
          <w:bCs/>
          <w:sz w:val="22"/>
          <w:szCs w:val="22"/>
        </w:rPr>
        <w:t xml:space="preserve">Status Asthmaticus</w:t>
      </w:r>
    </w:p>
    <w:p>
      <w:pPr>
        <w:spacing w:after="160" w:line="276"/>
      </w:pPr>
      <w:r>
        <w:rPr>
          <w:rFonts w:ascii="Arial" w:cs="Arial" w:eastAsia="Arial" w:hAnsi="Arial"/>
          <w:sz w:val="22"/>
          <w:szCs w:val="22"/>
        </w:rPr>
        <w:t xml:space="preserve">Status asthmaticus is a potentially fatal condition that is among the most common reasons for pediatric critical care in rural settings. The initial management includes continuous albuterol nebulization (0.5 mg/kg/hr, maximum 15 mg/hr), ipratropium bromide added to the first three nebulization treatments (250 mcg for children under 12, 500 mcg for children 12 and older), systemic corticosteroids (dexamethasone 0.6 mg/kg IV/IM maximum 16 mg, or methylprednisolone 2 mg/kg IV maximum 60 mg), and magnesium sulfate 25–75 mg/kg IV over 20 minutes (maximum 2 grams) for severe or life-threatening presentations.</w:t>
      </w:r>
    </w:p>
    <w:p>
      <w:pPr>
        <w:spacing w:after="160" w:line="276"/>
      </w:pPr>
      <w:r>
        <w:rPr>
          <w:rFonts w:ascii="Arial" w:cs="Arial" w:eastAsia="Arial" w:hAnsi="Arial"/>
          <w:sz w:val="22"/>
          <w:szCs w:val="22"/>
        </w:rPr>
        <w:t xml:space="preserve">Escalation for refractory status asthmaticus includes IV terbutaline (loading dose 10 mcg/kg over 10 minutes, then infusion at 0.1–10 mcg/kg/min titrated to effect, with cardiac monitoring for arrhythmia and serial lactate/potassium monitoring), IV ketamine (0.5–2 mg/kg bolus followed by 0.5–2 mg/kg/hr infusion for its bronchodilatory properties), and heliox (70:30 or 80:20 helium-oxygen mixture) if available. Intubation for status asthmaticus should be avoided if at all possible, as the combination of dynamic hyperinflation, high airway resistance, and the hemodynamic effects of positive-pressure ventilation can precipitate cardiovascular collapse. If intubation becomes necessary, use ketamine for induction (not propofol, which lacks bronchodilatory effect at standard doses), and set the ventilator for prolonged expiratory time (I:E ratio 1:3 or 1:4) with permissive hypercapnia (accept PaCO2 up to 60–80 mmHg as long as pH remains above 7.15).</w:t>
      </w:r>
    </w:p>
    <w:p>
      <w:pPr>
        <w:spacing w:after="120" w:line="276"/>
      </w:pPr>
      <w:r>
        <w:rPr>
          <w:rFonts w:ascii="Arial" w:cs="Arial" w:eastAsia="Arial" w:hAnsi="Arial"/>
          <w:b/>
          <w:bCs/>
          <w:sz w:val="22"/>
          <w:szCs w:val="22"/>
        </w:rPr>
        <w:t xml:space="preserve">Croup (Laryngotracheobronchitis)</w:t>
      </w:r>
    </w:p>
    <w:p>
      <w:pPr>
        <w:spacing w:after="160" w:line="276"/>
      </w:pPr>
      <w:r>
        <w:rPr>
          <w:rFonts w:ascii="Arial" w:cs="Arial" w:eastAsia="Arial" w:hAnsi="Arial"/>
          <w:sz w:val="22"/>
          <w:szCs w:val="22"/>
        </w:rPr>
        <w:t xml:space="preserve">Moderate to severe croup presenting to a rural ED requires nebulized racemic epinephrine (0.05 mL/kg of 2.25% solution, maximum 0.5 mL, diluted in 3 mL normal saline) and dexamethasone 0.6 mg/kg (maximum 16 mg) by whatever route is available (PO preferred if tolerated, IM or IV if not). Patients receiving racemic epinephrine must be observed for a minimum of 2–4 hours for rebound symptoms. Severe croup with stridor at rest, significant retractions, cyanosis, or altered mental status requires preparation for potential intubation with an ETT 0.5–1.0 mm smaller than age-predicted size due to subglottic edema.</w:t>
      </w:r>
    </w:p>
    <w:p>
      <w:pPr>
        <w:spacing w:after="120" w:line="276"/>
      </w:pPr>
      <w:r>
        <w:rPr>
          <w:rFonts w:ascii="Arial" w:cs="Arial" w:eastAsia="Arial" w:hAnsi="Arial"/>
          <w:b/>
          <w:bCs/>
          <w:sz w:val="22"/>
          <w:szCs w:val="22"/>
        </w:rPr>
        <w:t xml:space="preserve">Bronchiolitis</w:t>
      </w:r>
    </w:p>
    <w:p>
      <w:pPr>
        <w:spacing w:after="160" w:line="276"/>
      </w:pPr>
      <w:r>
        <w:rPr>
          <w:rFonts w:ascii="Arial" w:cs="Arial" w:eastAsia="Arial" w:hAnsi="Arial"/>
          <w:sz w:val="22"/>
          <w:szCs w:val="22"/>
        </w:rPr>
        <w:t xml:space="preserve">Bronchiolitis, typically caused by RSV in infants, is managed primarily with supportive care: nasal suctioning (bulb or mechanical suction), supplemental oxygen to maintain SpO2 above 90–92%, and escalation to HFNC or CPAP if respiratory distress increases. Pharmacologic interventions (bronchodilators, corticosteroids, hypertonic saline) have limited evidence of benefit in typical bronchiolitis. Infants under 2 months, former premature infants, and infants with congenital heart disease or chronic lung disease are at highest risk for deterioration. Apnea is a particularly dangerous manifestation of RSV bronchiolitis in young infants and mandates continuous cardiorespiratory monitoring and low threshold for intubation.</w:t>
      </w:r>
    </w:p>
    <w:p>
      <w:pPr>
        <w:spacing w:after="120" w:line="276"/>
      </w:pPr>
      <w:r>
        <w:rPr>
          <w:rFonts w:ascii="Arial" w:cs="Arial" w:eastAsia="Arial" w:hAnsi="Arial"/>
          <w:b/>
          <w:bCs/>
          <w:sz w:val="22"/>
          <w:szCs w:val="22"/>
        </w:rPr>
        <w:t xml:space="preserve">Foreign Body Aspiration</w:t>
      </w:r>
    </w:p>
    <w:p>
      <w:pPr>
        <w:spacing w:after="160" w:line="276"/>
      </w:pPr>
      <w:r>
        <w:rPr>
          <w:rFonts w:ascii="Arial" w:cs="Arial" w:eastAsia="Arial" w:hAnsi="Arial"/>
          <w:sz w:val="22"/>
          <w:szCs w:val="22"/>
        </w:rPr>
        <w:t xml:space="preserve">Foreign body aspiration should be suspected in any child with sudden-onset respiratory distress, unilateral wheezing, or choking history. If the child is able to cough and has adequate air exchange, observation and transport to a facility with bronchoscopic capability is appropriate. If the child is unable to cough, has poor air exchange, or is cyanotic, basic life support foreign body removal techniques (back blows and chest thrusts for infants under 1 year, abdominal thrusts for children over 1 year) should be initiated. Direct laryngoscopy with Magill forceps removal is indicated for visible supraglottic foreign bodies. Rigid bronchoscopy is the definitive treatment and is not typically available in rural settings; expedited transfer is critical.</w:t>
      </w:r>
    </w:p>
    <w:p>
      <w:r>
        <w:br w:type="page"/>
      </w:r>
    </w:p>
    <w:p>
      <w:pPr>
        <w:pStyle w:val="Heading2"/>
        <w:spacing w:after="120" w:before="240"/>
      </w:pPr>
      <w:r>
        <w:rPr>
          <w:b/>
          <w:bCs/>
        </w:rPr>
        <w:t xml:space="preserve">Chapter 6: Pediatric Sepsis and Septic Shock</w:t>
      </w:r>
    </w:p>
    <w:p>
      <w:pPr>
        <w:pStyle w:val="Heading3"/>
        <w:spacing w:after="120" w:before="240"/>
      </w:pPr>
      <w:r>
        <w:rPr>
          <w:b/>
          <w:bCs/>
        </w:rPr>
        <w:t xml:space="preserve">6.1 Recognition: The First and Most Critical Step</w:t>
      </w:r>
    </w:p>
    <w:p>
      <w:pPr>
        <w:spacing w:after="160" w:line="276"/>
      </w:pPr>
      <w:r>
        <w:rPr>
          <w:rFonts w:ascii="Arial" w:cs="Arial" w:eastAsia="Arial" w:hAnsi="Arial"/>
          <w:sz w:val="22"/>
          <w:szCs w:val="22"/>
        </w:rPr>
        <w:t xml:space="preserve">Sepsis is defined as a life-threatening organ dysfunction caused by a dysregulated host response to infection. In children, the transition from systemic infection to septic shock can be precipitous, and outcomes are directly tied to the speed of recognition and initiation of the first-hour sepsis bundle. The Surviving Sepsis Campaign International Guidelines for the Management of Septic Shock and Sepsis-Associated Organ Dysfunction in Children (2020) provide the evidence framework, adapted here for the rural context.</w:t>
      </w:r>
    </w:p>
    <w:p>
      <w:pPr>
        <w:spacing w:after="160" w:line="276"/>
      </w:pPr>
      <w:r>
        <w:rPr>
          <w:rFonts w:ascii="Arial" w:cs="Arial" w:eastAsia="Arial" w:hAnsi="Arial"/>
          <w:sz w:val="22"/>
          <w:szCs w:val="22"/>
        </w:rPr>
        <w:t xml:space="preserve">Recognition requires a high index of suspicion. The Phoenix Sepsis Criteria (2024) provide a validated approach to identifying pediatric sepsis based on organ dysfunction scores. However, in the rural setting, clinician gestalt and systematic screening remain paramount. Any child with suspected or confirmed infection AND signs of organ dysfunction should trigger the sepsis protocol. Organ dysfunction indicators include altered mental status (irritability, lethargy, poor interaction), cardiovascular dysfunction (tachycardia, hypotension, prolonged capillary refill, mottled skin, weak pulses), respiratory dysfunction (tachypnea, increased work of breathing, new or increased oxygen requirement), and laboratory abnormalities when available (lactate greater than 2 mmol/L, base deficit greater than 5, INR greater than 2, creatinine elevation, platelet count less than 100,000).</w:t>
      </w:r>
    </w:p>
    <w:p>
      <w:pPr>
        <w:pStyle w:val="Heading3"/>
        <w:spacing w:after="120" w:before="240"/>
      </w:pPr>
      <w:r>
        <w:rPr>
          <w:b/>
          <w:bCs/>
        </w:rPr>
        <w:t xml:space="preserve">6.2 The First-Hour Sepsis Bundle</w:t>
      </w:r>
    </w:p>
    <w:p>
      <w:pPr>
        <w:spacing w:after="160" w:line="276"/>
      </w:pPr>
      <w:r>
        <w:rPr>
          <w:rFonts w:ascii="Arial" w:cs="Arial" w:eastAsia="Arial" w:hAnsi="Arial"/>
          <w:sz w:val="22"/>
          <w:szCs w:val="22"/>
        </w:rPr>
        <w:t xml:space="preserve">The first-hour bundle remains the cornerstone of sepsis management. Each element should be initiated within the first 60 minutes of recognition, with time zero defined as the moment of clinical suspicion:</w:t>
      </w:r>
    </w:p>
    <w:p>
      <w:pPr>
        <w:pStyle w:val="ListParagraph"/>
        <w:numPr>
          <w:ilvl w:val="0"/>
          <w:numId w:val="3"/>
        </w:numPr>
        <w:spacing w:after="80" w:line="276"/>
      </w:pPr>
      <w:r>
        <w:rPr>
          <w:rFonts w:ascii="Arial" w:cs="Arial" w:eastAsia="Arial" w:hAnsi="Arial"/>
          <w:sz w:val="22"/>
          <w:szCs w:val="22"/>
        </w:rPr>
        <w:t xml:space="preserve">Obtain blood culture (if possible without delaying antibiotics). A single aerobic blood culture from a peripheral site is acceptable if obtaining paired cultures would cause significant delay.</w:t>
      </w:r>
    </w:p>
    <w:p>
      <w:pPr>
        <w:pStyle w:val="ListParagraph"/>
        <w:numPr>
          <w:ilvl w:val="0"/>
          <w:numId w:val="3"/>
        </w:numPr>
        <w:spacing w:after="80" w:line="276"/>
      </w:pPr>
      <w:r>
        <w:rPr>
          <w:rFonts w:ascii="Arial" w:cs="Arial" w:eastAsia="Arial" w:hAnsi="Arial"/>
          <w:sz w:val="22"/>
          <w:szCs w:val="22"/>
        </w:rPr>
        <w:t xml:space="preserve">Administer broad-spectrum antibiotics within 60 minutes of recognition (ideally within 30 minutes). Empiric regimen selection should consider age, local resistance patterns, and likely source.</w:t>
      </w:r>
    </w:p>
    <w:p>
      <w:pPr>
        <w:pStyle w:val="ListParagraph"/>
        <w:numPr>
          <w:ilvl w:val="0"/>
          <w:numId w:val="3"/>
        </w:numPr>
        <w:spacing w:after="80" w:line="276"/>
      </w:pPr>
      <w:r>
        <w:rPr>
          <w:rFonts w:ascii="Arial" w:cs="Arial" w:eastAsia="Arial" w:hAnsi="Arial"/>
          <w:sz w:val="22"/>
          <w:szCs w:val="22"/>
        </w:rPr>
        <w:t xml:space="preserve">Administer 10–20 mL/kg isotonic crystalloid boluses, reassess after each bolus, and repeat up to 40–60 mL/kg in the first hour if shock persists without signs of fluid overload (hepatomegaly, new rales, worsening respiratory distress).</w:t>
      </w:r>
    </w:p>
    <w:p>
      <w:pPr>
        <w:pStyle w:val="ListParagraph"/>
        <w:numPr>
          <w:ilvl w:val="0"/>
          <w:numId w:val="3"/>
        </w:numPr>
        <w:spacing w:after="80" w:line="276"/>
      </w:pPr>
      <w:r>
        <w:rPr>
          <w:rFonts w:ascii="Arial" w:cs="Arial" w:eastAsia="Arial" w:hAnsi="Arial"/>
          <w:sz w:val="22"/>
          <w:szCs w:val="22"/>
        </w:rPr>
        <w:t xml:space="preserve">Initiate vasoactive agents if shock persists after 40–60 mL/kg of fluid resuscitation (fluid-refractory shock). Epinephrine or norepinephrine are first-line vasopressors.</w:t>
      </w:r>
    </w:p>
    <w:p>
      <w:pPr>
        <w:pStyle w:val="ListParagraph"/>
        <w:numPr>
          <w:ilvl w:val="0"/>
          <w:numId w:val="3"/>
        </w:numPr>
        <w:spacing w:after="80" w:line="276"/>
      </w:pPr>
      <w:r>
        <w:rPr>
          <w:rFonts w:ascii="Arial" w:cs="Arial" w:eastAsia="Arial" w:hAnsi="Arial"/>
          <w:sz w:val="22"/>
          <w:szCs w:val="22"/>
        </w:rPr>
        <w:t xml:space="preserve">Measure lactate (if available) as a marker of tissue perfusion. Repeat lactate measurement every 2–4 hours to assess response to therapy. A lactate clearance of greater than 10% over 2 hours is associated with improved outcomes.</w:t>
      </w:r>
    </w:p>
    <w:p>
      <w:pPr>
        <w:pStyle w:val="ListParagraph"/>
        <w:numPr>
          <w:ilvl w:val="0"/>
          <w:numId w:val="3"/>
        </w:numPr>
        <w:spacing w:after="80" w:line="276"/>
      </w:pPr>
      <w:r>
        <w:rPr>
          <w:rFonts w:ascii="Arial" w:cs="Arial" w:eastAsia="Arial" w:hAnsi="Arial"/>
          <w:sz w:val="22"/>
          <w:szCs w:val="22"/>
        </w:rPr>
        <w:t xml:space="preserve">Target-directed monitoring: Continuous pulse oximetry, continuous cardiac monitoring, blood pressure measurement every 5 minutes during active resuscitation, urine output measurement via catheter (target greater than 1 mL/kg/hr), and central venous pressure monitoring if central access is obtained.</w:t>
      </w:r>
    </w:p>
    <w:p>
      <w:pPr>
        <w:pStyle w:val="Heading3"/>
        <w:spacing w:after="120" w:before="240"/>
      </w:pPr>
      <w:r>
        <w:rPr>
          <w:b/>
          <w:bCs/>
        </w:rPr>
        <w:t xml:space="preserve">6.3 Empiric Antibiotic Selection by Age and Suspected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Age Group</w:t>
            </w:r>
          </w:p>
        </w:tc>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Primary Regimen</w:t>
            </w:r>
          </w:p>
        </w:tc>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If MRSA Suspected</w:t>
            </w:r>
          </w:p>
        </w:tc>
        <w:tc>
          <w:tcPr>
            <w:tcW w:type="dxa" w:w="26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Pathogens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0–28 days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Ampicillin 50 mg/kg q6–8h + Gentamicin 4–5 mg/kg q24h (or Cefotaxime 50 mg/kg q8h if meningitis suspected)</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Add Vancomycin 15 mg/kg q8–12h</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GBS, E. coli, Listeria, HSV (add acyclovir 20 mg/kg q8h if HSV risk)</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29–60 days</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Ampicillin + Ceftriaxone 50 mg/kg (avoid ceftriaxone with calcium-containing fluids in neonates)</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Add Vancomycin 15 mg/kg q6–8h</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GBS, E. coli, S. pneumoniae, Enterovirus, HSV</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61 days–5 years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Ceftriaxone 50–100 mg/kg q24h (max 2 g; 4 g if meningitis)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Add Vancomycin 15 mg/kg q6h (target trough 15–20 for CNS)</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 pneumoniae, N. meningitidis, H. influenzae, S. aureus</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6–18 years</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Ceftriaxone 50–100 mg/kg q24h (max 2–4 g)</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Add Vancomycin 15 mg/kg q6–8h</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 pneumoniae, S. aureus, GAS, N. meningitidis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Abdominal source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Ceftriaxone + Metronidazole 10 mg/kg q8h (or Piperacillin-tazobactam 100 mg/kg q6–8h if available)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Add Vancomycin</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Enteric gram-negatives, anaerobes, Enterococcus</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Urinary source</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Ceftriaxone 50 mg/kg q24h</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Rarely needed</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E. coli, Klebsiella, Proteus, Enterococcus</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Skin/soft tissue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Clindamycin 10–13 mg/kg q8h + Ceftriaxone if systemic toxicity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Vancomycin if MRSA prevalent</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 aureus (MSSA and MRSA), GAS</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Pneumonia (severe)</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Ceftriaxone + Azithromycin 10 mg/kg day 1 (atypical coverage for school-age and older)</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Add Vancomycin for necrotizing pneumonia</w:t>
            </w:r>
          </w:p>
        </w:tc>
        <w:tc>
          <w:tcPr>
            <w:tcW w:type="dxa" w:w="26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 pneumoniae, M. pneumoniae, S. aureus, GAS</w:t>
            </w:r>
          </w:p>
        </w:tc>
      </w:tr>
    </w:tbl>
    <w:p>
      <w:pPr>
        <w:spacing w:after="80"/>
      </w:pPr>
    </w:p>
    <w:p>
      <w:pPr>
        <w:pStyle w:val="Heading3"/>
        <w:spacing w:after="120" w:before="240"/>
      </w:pPr>
      <w:r>
        <w:rPr>
          <w:b/>
          <w:bCs/>
        </w:rPr>
        <w:t xml:space="preserve">6.4 Vasoactive Agent Selection and Titration</w:t>
      </w:r>
    </w:p>
    <w:p>
      <w:pPr>
        <w:spacing w:after="160" w:line="276"/>
      </w:pPr>
      <w:r>
        <w:rPr>
          <w:rFonts w:ascii="Arial" w:cs="Arial" w:eastAsia="Arial" w:hAnsi="Arial"/>
          <w:sz w:val="22"/>
          <w:szCs w:val="22"/>
        </w:rPr>
        <w:t xml:space="preserve">The Surviving Sepsis Campaign 2020 guidelines recommend epinephrine or norepinephrine as the first-line vasoactive agents for pediatric septic shock, based on the hemodynamic phenotype: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Cold shock (poor perfusion, vasoconstricted, cool extremities, narrow pulse pressure):</w:t>
      </w:r>
      <w:r>
        <w:rPr>
          <w:rFonts w:ascii="Arial" w:cs="Arial" w:eastAsia="Arial" w:hAnsi="Arial"/>
          <w:sz w:val="22"/>
          <w:szCs w:val="22"/>
        </w:rPr>
        <w:t xml:space="preserve"> Epinephrine infusion starting at 0.05 mcg/kg/min, titrated up to 0.3 mcg/kg/min. Epinephrine provides both inotropic and vasopressor effects, making it ideal for the low cardiac output state.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Warm shock (vasodilated, bounding pulses, wide pulse pressure, flash capillary refill):</w:t>
      </w:r>
      <w:r>
        <w:rPr>
          <w:rFonts w:ascii="Arial" w:cs="Arial" w:eastAsia="Arial" w:hAnsi="Arial"/>
          <w:sz w:val="22"/>
          <w:szCs w:val="22"/>
        </w:rPr>
        <w:t xml:space="preserve"> Norepinephrine infusion starting at 0.05 mcg/kg/min, titrated up to 2 mcg/kg/min. Norepinephrine provides predominantly vasopressor effect to address pathologic vasodilation.</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If the hemodynamic phenotype is unclear:</w:t>
      </w:r>
      <w:r>
        <w:rPr>
          <w:rFonts w:ascii="Arial" w:cs="Arial" w:eastAsia="Arial" w:hAnsi="Arial"/>
          <w:sz w:val="22"/>
          <w:szCs w:val="22"/>
        </w:rPr>
        <w:t xml:space="preserve"> Either agent is acceptable; epinephrine is often the practical first choice in rural settings due to familiarity and availability.</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Vasopressin:</w:t>
      </w:r>
      <w:r>
        <w:rPr>
          <w:rFonts w:ascii="Arial" w:cs="Arial" w:eastAsia="Arial" w:hAnsi="Arial"/>
          <w:sz w:val="22"/>
          <w:szCs w:val="22"/>
        </w:rPr>
        <w:t xml:space="preserve"> 0.0003–0.002 units/kg/min may be added as a second-line agent for refractory vasodilatory shock. It is catecholamine-sparing and can be effective when catecholamine receptors are downregulated.</w:t>
      </w:r>
    </w:p>
    <w:p>
      <w:pPr>
        <w:spacing w:after="160" w:line="276"/>
      </w:pPr>
      <w:r>
        <w:rPr>
          <w:rFonts w:ascii="Arial" w:cs="Arial" w:eastAsia="Arial" w:hAnsi="Arial"/>
          <w:sz w:val="22"/>
          <w:szCs w:val="22"/>
        </w:rPr>
        <w:t xml:space="preserve">Peripheral administration of vasoactive agents is acceptable in the emergency setting when central access has not yet been obtained. Dilute concentrations via well-functioning peripheral IV or IO are safe for initial resuscitation. Central venous access should be pursued as soon as feasible for ongoing infusions. Extravasation should be monitored continuously with q15-minute site checks.</w:t>
      </w:r>
    </w:p>
    <w:p>
      <w:pPr>
        <w:pStyle w:val="Heading3"/>
        <w:spacing w:after="120" w:before="240"/>
      </w:pPr>
      <w:r>
        <w:rPr>
          <w:b/>
          <w:bCs/>
        </w:rPr>
        <w:t xml:space="preserve">6.5 Corticosteroids in Septic Shock</w:t>
      </w:r>
    </w:p>
    <w:p>
      <w:pPr>
        <w:spacing w:after="160" w:line="276"/>
      </w:pPr>
      <w:r>
        <w:rPr>
          <w:rFonts w:ascii="Arial" w:cs="Arial" w:eastAsia="Arial" w:hAnsi="Arial"/>
          <w:sz w:val="22"/>
          <w:szCs w:val="22"/>
        </w:rPr>
        <w:t xml:space="preserve">Stress-dose hydrocortisone (1–2 mg/kg IV, maximum 100 mg) is indicated for children with fluid-refractory, catecholamine-resistant septic shock, particularly when adrenal insufficiency is suspected (history of chronic steroid use, purpura fulminans, known HPA axis disorders). After the initial bolus, hydrocortisone 1–2 mg/kg/day divided every 6–8 hours is continued until vasoactive agents are weaned. Routine corticosteroid administration for all pediatric septic shock is not currently recommended by the Surviving Sepsis Campaign, but should be considered when escalating vasoactive doses without hemodynamic improvement.</w:t>
      </w:r>
    </w:p>
    <w:p>
      <w:pPr>
        <w:pStyle w:val="Heading3"/>
        <w:spacing w:after="120" w:before="240"/>
      </w:pPr>
      <w:r>
        <w:rPr>
          <w:b/>
          <w:bCs/>
        </w:rPr>
        <w:t xml:space="preserve">6.6 Special Populations: Neonatal Sepsis</w:t>
      </w:r>
    </w:p>
    <w:p>
      <w:pPr>
        <w:spacing w:after="160" w:line="276"/>
      </w:pPr>
      <w:r>
        <w:rPr>
          <w:rFonts w:ascii="Arial" w:cs="Arial" w:eastAsia="Arial" w:hAnsi="Arial"/>
          <w:sz w:val="22"/>
          <w:szCs w:val="22"/>
        </w:rPr>
        <w:t xml:space="preserve">Neonatal sepsis (early-onset, occurring within the first 72 hours of life, and late-onset, occurring after 72 hours) represents a unique clinical challenge. Early-onset sepsis is most commonly caused by Group B Streptococcus (GBS) and Escherichia coli, while late-onset sepsis in hospitalized neonates may involve coagulase-negative staphylococci, S. aureus, gram-negative organisms, and Candida species. Neonatal sepsis can present with subtle and nonspecific signs: temperature instability (hypothermia is more common than fever in neonates), poor feeding, lethargy, apnea, tachycardia, hypoglycemia, and jaundice.</w:t>
      </w:r>
    </w:p>
    <w:p>
      <w:pPr>
        <w:spacing w:after="160" w:line="276"/>
      </w:pPr>
      <w:r>
        <w:rPr>
          <w:rFonts w:ascii="Arial" w:cs="Arial" w:eastAsia="Arial" w:hAnsi="Arial"/>
          <w:sz w:val="22"/>
          <w:szCs w:val="22"/>
        </w:rPr>
        <w:t xml:space="preserve">Neonatal resuscitation for septic shock follows the same principles as older children but with important modifications: fluid boluses of 10 mL/kg (more conservative initial volumes), with reassessment after each bolus and attention to hepatomegaly and respiratory status as indicators of fluid overload. Dopamine has historically been the first-line vasopressor in neonatal septic shock, though evidence increasingly favors epinephrine. Hydrocortisone 1 mg/kg may be considered for catecholamine-resistant neonatal shock. Empiric antifungal therapy (fluconazole or amphotericin B) should be considered for late-onset sepsis in premature infants or those with risk factors for invasive candidiasis.</w:t>
      </w:r>
    </w:p>
    <w:p>
      <w:r>
        <w:br w:type="page"/>
      </w:r>
    </w:p>
    <w:p>
      <w:pPr>
        <w:pStyle w:val="Heading2"/>
        <w:spacing w:after="120" w:before="240"/>
      </w:pPr>
      <w:r>
        <w:rPr>
          <w:b/>
          <w:bCs/>
        </w:rPr>
        <w:t xml:space="preserve">Chapter 7: Neurologic Emergencies</w:t>
      </w:r>
    </w:p>
    <w:p>
      <w:pPr>
        <w:pStyle w:val="Heading3"/>
        <w:spacing w:after="120" w:before="240"/>
      </w:pPr>
      <w:r>
        <w:rPr>
          <w:b/>
          <w:bCs/>
        </w:rPr>
        <w:t xml:space="preserve">7.1 Status Epilepticus</w:t>
      </w:r>
    </w:p>
    <w:p>
      <w:pPr>
        <w:spacing w:after="160" w:line="276"/>
      </w:pPr>
      <w:r>
        <w:rPr>
          <w:rFonts w:ascii="Arial" w:cs="Arial" w:eastAsia="Arial" w:hAnsi="Arial"/>
          <w:sz w:val="22"/>
          <w:szCs w:val="22"/>
        </w:rPr>
        <w:t xml:space="preserve">Status epilepticus is defined as continuous seizure activity lasting 5 minutes or longer, or two or more seizures without return to baseline between them. It is one of the most common and time-sensitive pediatric neurologic emergencies encountered in rural settings. Mortality and neurologic morbidity increase with seizure duration, making rapid intervention critical. The approach follows a time-based escalation protocol:</w:t>
      </w:r>
    </w:p>
    <w:p>
      <w:pPr>
        <w:spacing w:after="120" w:line="276"/>
      </w:pPr>
      <w:r>
        <w:rPr>
          <w:rFonts w:ascii="Arial" w:cs="Arial" w:eastAsia="Arial" w:hAnsi="Arial"/>
          <w:b/>
          <w:bCs/>
          <w:sz w:val="22"/>
          <w:szCs w:val="22"/>
        </w:rPr>
        <w:t xml:space="preserve">Time 0–5 minutes: Stabilization Phase</w:t>
      </w:r>
    </w:p>
    <w:p>
      <w:pPr>
        <w:spacing w:after="160" w:line="276"/>
      </w:pPr>
      <w:r>
        <w:rPr>
          <w:rFonts w:ascii="Arial" w:cs="Arial" w:eastAsia="Arial" w:hAnsi="Arial"/>
          <w:sz w:val="22"/>
          <w:szCs w:val="22"/>
        </w:rPr>
        <w:t xml:space="preserve">Ensure airway is patent, provide supplemental oxygen, position the patient to protect from injury, obtain vascular access (IV or IO), and check point-of-care glucose. If glucose is less than 60 mg/dL, administer dextrose (D10W 2–4 mL/kg IV). Place on continuous cardiorespiratory monitoring.</w:t>
      </w:r>
    </w:p>
    <w:p>
      <w:pPr>
        <w:spacing w:after="120" w:line="276"/>
      </w:pPr>
      <w:r>
        <w:rPr>
          <w:rFonts w:ascii="Arial" w:cs="Arial" w:eastAsia="Arial" w:hAnsi="Arial"/>
          <w:b/>
          <w:bCs/>
          <w:sz w:val="22"/>
          <w:szCs w:val="22"/>
        </w:rPr>
        <w:t xml:space="preserve">Time 5–20 minutes: First-Line Therapy — Benzodiazepines</w:t>
      </w:r>
    </w:p>
    <w:p>
      <w:pPr>
        <w:spacing w:after="160" w:line="276"/>
      </w:pPr>
      <w:r>
        <w:rPr>
          <w:rFonts w:ascii="Arial" w:cs="Arial" w:eastAsia="Arial" w:hAnsi="Arial"/>
          <w:sz w:val="22"/>
          <w:szCs w:val="22"/>
        </w:rPr>
        <w:t xml:space="preserve">Administer a benzodiazepine as the first-line anticonvulsant. If IV access is established: lorazepam 0.1 mg/kg IV (maximum 4 mg/dose) or midazolam 0.1–0.2 mg/kg IV (maximum 5 mg). If no IV access: midazolam 0.2 mg/kg intranasal (maximum 10 mg) using an atomization device, or midazolam 0.2 mg/kg intramuscular (maximum 10 mg), or diazepam 0.5 mg/kg rectal (maximum 20 mg). A second dose of benzodiazepine may be given at 5 minutes if seizure activity continues.</w:t>
      </w:r>
    </w:p>
    <w:p>
      <w:pPr>
        <w:spacing w:after="120" w:line="276"/>
      </w:pPr>
      <w:r>
        <w:rPr>
          <w:rFonts w:ascii="Arial" w:cs="Arial" w:eastAsia="Arial" w:hAnsi="Arial"/>
          <w:b/>
          <w:bCs/>
          <w:sz w:val="22"/>
          <w:szCs w:val="22"/>
        </w:rPr>
        <w:t xml:space="preserve">Time 20–40 minutes: Second-Line Therapy</w:t>
      </w:r>
    </w:p>
    <w:p>
      <w:pPr>
        <w:spacing w:after="160" w:line="276"/>
      </w:pPr>
      <w:r>
        <w:rPr>
          <w:rFonts w:ascii="Arial" w:cs="Arial" w:eastAsia="Arial" w:hAnsi="Arial"/>
          <w:sz w:val="22"/>
          <w:szCs w:val="22"/>
        </w:rPr>
        <w:t xml:space="preserve">If seizures continue after two adequate doses of benzodiazepines, initiate second-line therapy. Preferred options: Levetiracetam 40–60 mg/kg IV (maximum 3000 mg) infused over 15 minutes — favored in many settings due to minimal hemodynamic and respiratory effects; or Fosphenytoin 20 mg PE/kg IV (maximum 1500 mg PE) infused at a maximum rate of 150 mg PE/min with continuous cardiac monitoring for arrhythmia and hypotension. Phenobarbital 20 mg/kg IV (maximum 1000 mg) infused at a maximum rate of 1 mg/kg/min is an alternative, particularly in neonates, but carries significant respiratory depression risk.</w:t>
      </w:r>
    </w:p>
    <w:p>
      <w:pPr>
        <w:spacing w:after="120" w:line="276"/>
      </w:pPr>
      <w:r>
        <w:rPr>
          <w:rFonts w:ascii="Arial" w:cs="Arial" w:eastAsia="Arial" w:hAnsi="Arial"/>
          <w:b/>
          <w:bCs/>
          <w:sz w:val="22"/>
          <w:szCs w:val="22"/>
        </w:rPr>
        <w:t xml:space="preserve">Time 40+ minutes: Refractory Status Epilepticus</w:t>
      </w:r>
    </w:p>
    <w:p>
      <w:pPr>
        <w:spacing w:after="160" w:line="276"/>
      </w:pPr>
      <w:r>
        <w:rPr>
          <w:rFonts w:ascii="Arial" w:cs="Arial" w:eastAsia="Arial" w:hAnsi="Arial"/>
          <w:sz w:val="22"/>
          <w:szCs w:val="22"/>
        </w:rPr>
        <w:t xml:space="preserve">Refractory status epilepticus (seizures continuing despite two adequate benzodiazepine doses and one second-line agent) carries high morbidity and mortality. In the rural setting, management options include: repeat dosing of second-line agents (e.g., additional fosphenytoin 5–10 mg PE/kg), midazolam continuous infusion (0.05–2 mg/kg/hr), or ketamine 1–2 mg/kg IV bolus followed by infusion at 0.5–3 mg/kg/hr. Pentobarbital infusion (reserved for super-refractory status) is typically beyond the scope of rural management and mandates emergent transfer. Intubation and mechanical ventilation are almost always required for refractory status epilepticus.</w:t>
      </w:r>
    </w:p>
    <w:p>
      <w:pPr>
        <w:pStyle w:val="Heading3"/>
        <w:spacing w:after="120" w:before="240"/>
      </w:pPr>
      <w:r>
        <w:rPr>
          <w:b/>
          <w:bCs/>
        </w:rPr>
        <w:t xml:space="preserve">7.2 Altered Mental Status: Differential Diagnosis and Approach</w:t>
      </w:r>
    </w:p>
    <w:p>
      <w:pPr>
        <w:spacing w:after="160" w:line="276"/>
      </w:pPr>
      <w:r>
        <w:rPr>
          <w:rFonts w:ascii="Arial" w:cs="Arial" w:eastAsia="Arial" w:hAnsi="Arial"/>
          <w:sz w:val="22"/>
          <w:szCs w:val="22"/>
        </w:rPr>
        <w:t xml:space="preserve">Altered mental status in children requires systematic evaluation because the differential diagnosis is broad and includes life-threatening conditions requiring immediate intervention. The AEIOU-TIPS mnemonic provides a structured approach: Alcohol/Abuse, Endocrine (DKA, adrenal crisis, thyroid storm), Insulin (hypoglycemia), Opiates/Overdose, Uremia, Trauma, Infection (meningitis, encephalitis, sepsis), Psychiatric, and Seizure (postictal or non-convulsive status). In the rural setting, the most critical immediate actions are: check and correct glucose, evaluate for signs of raised intracranial pressure (Cushing triad: hypertension, bradycardia, irregular respirations), protect the airway if GCS is 8 or less, and obtain CT head if available or arrange emergent transfer if intracranial pathology is suspected.</w:t>
      </w:r>
    </w:p>
    <w:p>
      <w:pPr>
        <w:pStyle w:val="Heading3"/>
        <w:spacing w:after="120" w:before="240"/>
      </w:pPr>
      <w:r>
        <w:rPr>
          <w:b/>
          <w:bCs/>
        </w:rPr>
        <w:t xml:space="preserve">7.3 Meningitis and Encephalitis</w:t>
      </w:r>
    </w:p>
    <w:p>
      <w:pPr>
        <w:spacing w:after="160" w:line="276"/>
      </w:pPr>
      <w:r>
        <w:rPr>
          <w:rFonts w:ascii="Arial" w:cs="Arial" w:eastAsia="Arial" w:hAnsi="Arial"/>
          <w:sz w:val="22"/>
          <w:szCs w:val="22"/>
        </w:rPr>
        <w:t xml:space="preserve">Bacterial meningitis remains a pediatric emergency with significant mortality and long-term morbidity if not treated promptly. Lumbar puncture should not delay antibiotic administration. If LP cannot be performed immediately (altered mental status, hemodynamic instability, signs of raised ICP, coagulopathy, or procedural delay), blood cultures should be drawn and empiric antibiotics administered immediately. CSF can be obtained after stabilization if clinically appropriate.</w:t>
      </w:r>
    </w:p>
    <w:p>
      <w:pPr>
        <w:spacing w:after="160" w:line="276"/>
      </w:pPr>
      <w:r>
        <w:rPr>
          <w:rFonts w:ascii="Arial" w:cs="Arial" w:eastAsia="Arial" w:hAnsi="Arial"/>
          <w:sz w:val="22"/>
          <w:szCs w:val="22"/>
        </w:rPr>
        <w:t xml:space="preserve">Dexamethasone 0.15 mg/kg IV (maximum 10 mg) administered before or with the first dose of antibiotics is recommended for suspected bacterial meningitis to reduce the inflammatory response and decrease the risk of hearing loss, particularly in Haemophilus influenzae and pneumococcal meningitis. The benefit is greatest when given before or simultaneously with the first antibiotic dose and decreases significantly if delayed.</w:t>
      </w:r>
    </w:p>
    <w:p>
      <w:pPr>
        <w:spacing w:after="160" w:line="276"/>
      </w:pPr>
      <w:r>
        <w:rPr>
          <w:rFonts w:ascii="Arial" w:cs="Arial" w:eastAsia="Arial" w:hAnsi="Arial"/>
          <w:sz w:val="22"/>
          <w:szCs w:val="22"/>
        </w:rPr>
        <w:t xml:space="preserve">Herpes simplex encephalitis must be considered in any neonate with seizures, fever, or encephalopathy, and in any child with acute encephalitis, particularly if temporal lobe involvement is suspected. Acyclovir 20 mg/kg IV every 8 hours (neonates) or 10 mg/kg IV every 8 hours (children) should be started empirically whenever HSV encephalitis is in the differential, as delay in treatment dramatically worsens outcomes.</w:t>
      </w:r>
    </w:p>
    <w:p>
      <w:r>
        <w:br w:type="page"/>
      </w:r>
    </w:p>
    <w:p>
      <w:pPr>
        <w:pStyle w:val="Heading2"/>
        <w:spacing w:after="120" w:before="240"/>
      </w:pPr>
      <w:r>
        <w:rPr>
          <w:b/>
          <w:bCs/>
        </w:rPr>
        <w:t xml:space="preserve">Chapter 8: Cardiac Emergencies</w:t>
      </w:r>
    </w:p>
    <w:p>
      <w:pPr>
        <w:pStyle w:val="Heading3"/>
        <w:spacing w:after="120" w:before="240"/>
      </w:pPr>
      <w:r>
        <w:rPr>
          <w:b/>
          <w:bCs/>
        </w:rPr>
        <w:t xml:space="preserve">8.1 Pediatric Cardiac Arrest</w:t>
      </w:r>
    </w:p>
    <w:p>
      <w:pPr>
        <w:spacing w:after="160" w:line="276"/>
      </w:pPr>
      <w:r>
        <w:rPr>
          <w:rFonts w:ascii="Arial" w:cs="Arial" w:eastAsia="Arial" w:hAnsi="Arial"/>
          <w:sz w:val="22"/>
          <w:szCs w:val="22"/>
        </w:rPr>
        <w:t xml:space="preserve">Pediatric cardiac arrest is fortunately rare but carries devastating consequences. In children, cardiac arrest is most commonly the result of progressive respiratory failure or circulatory shock (asystole or PEA), rather than the primary cardiac arrhythmias (VF/pVT) more common in adults. The initial rhythm is non-shockable (asystole or PEA) in approximately 80–85% of pediatric arrests. High-quality CPR with minimal interruptions is the foundation of resuscitation.</w:t>
      </w:r>
    </w:p>
    <w:p>
      <w:pPr>
        <w:spacing w:after="160" w:line="276"/>
      </w:pPr>
      <w:r>
        <w:rPr>
          <w:rFonts w:ascii="Arial" w:cs="Arial" w:eastAsia="Arial" w:hAnsi="Arial"/>
          <w:sz w:val="22"/>
          <w:szCs w:val="22"/>
        </w:rPr>
        <w:t xml:space="preserve">CPR quality targets: Compression rate 100–120/minute, compression depth at least one-third of the anteroposterior diameter of the chest (approximately 4 cm in infants, 5 cm in children), full chest recoil between compressions, minimal interruptions (fraction of time performing compressions should exceed 80%), and a compression-to-ventilation ratio of 15:2 with two rescuers (30:2 with a single rescuer). An advanced airway (ETT or LMA) allows continuous compressions with asynchronous ventilations at 1 breath every 2–3 seconds (20–30 breaths/minute) without pausing compressions.</w:t>
      </w:r>
    </w:p>
    <w:p>
      <w:pPr>
        <w:spacing w:after="160" w:line="276"/>
      </w:pPr>
      <w:r>
        <w:rPr>
          <w:rFonts w:ascii="Arial" w:cs="Arial" w:eastAsia="Arial" w:hAnsi="Arial"/>
          <w:sz w:val="22"/>
          <w:szCs w:val="22"/>
        </w:rPr>
        <w:t xml:space="preserve">Epinephrine 0.01 mg/kg (0.1 mL/kg of 1:10,000 concentration) IV/IO should be administered as soon as possible for non-shockable rhythms and after the second defibrillation attempt for shockable rhythms, then repeated every 3–5 minutes. Defibrillation for VF/pVT uses 2 J/kg for the first shock, 4 J/kg for subsequent shocks (maximum 10 J/kg or adult maximum). Amiodarone 5 mg/kg IV/IO (maximum 300 mg) is given for shock-refractory VF/pVT.</w:t>
      </w:r>
    </w:p>
    <w:p>
      <w:pPr>
        <w:pStyle w:val="Heading3"/>
        <w:spacing w:after="120" w:before="240"/>
      </w:pPr>
      <w:r>
        <w:rPr>
          <w:b/>
          <w:bCs/>
        </w:rPr>
        <w:t xml:space="preserve">8.2 Supraventricular Tachycardia</w:t>
      </w:r>
    </w:p>
    <w:p>
      <w:pPr>
        <w:spacing w:after="160" w:line="276"/>
      </w:pPr>
      <w:r>
        <w:rPr>
          <w:rFonts w:ascii="Arial" w:cs="Arial" w:eastAsia="Arial" w:hAnsi="Arial"/>
          <w:sz w:val="22"/>
          <w:szCs w:val="22"/>
        </w:rPr>
        <w:t xml:space="preserve">SVT is the most common tachyarrhythmia in pediatric patients. It typically presents with a narrow-complex tachycardia at rates of 220–300 bpm in infants and 150–250 bpm in older children. Stable SVT is managed with vagal maneuvers first (ice to the face for infants, bearing down/Valsalva for older children), followed by adenosine 0.1 mg/kg rapid IV push (maximum first dose 6 mg) with immediate normal saline flush. If the first dose is ineffective, a second dose of 0.2 mg/kg (maximum 12 mg) may be given. Adenosine must be administered via the IV site closest to the heart, using a two-syringe technique with rapid saline flush.</w:t>
      </w:r>
    </w:p>
    <w:p>
      <w:pPr>
        <w:spacing w:after="160" w:line="276"/>
      </w:pPr>
      <w:r>
        <w:rPr>
          <w:rFonts w:ascii="Arial" w:cs="Arial" w:eastAsia="Arial" w:hAnsi="Arial"/>
          <w:sz w:val="22"/>
          <w:szCs w:val="22"/>
        </w:rPr>
        <w:t xml:space="preserve">Unstable SVT (hypotension, altered mental status, poor perfusion) requires synchronized cardioversion at 0.5–1 J/kg, increasing to 2 J/kg if the first attempt is unsuccessful. Sedation with ketamine 1–2 mg/kg IV should be provided if the patient’s hemodynamic status permits; however, cardioversion should not be delayed for sedation in a critically unstable child.</w:t>
      </w:r>
    </w:p>
    <w:p>
      <w:pPr>
        <w:pStyle w:val="Heading3"/>
        <w:spacing w:after="120" w:before="240"/>
      </w:pPr>
      <w:r>
        <w:rPr>
          <w:b/>
          <w:bCs/>
        </w:rPr>
        <w:t xml:space="preserve">8.3 Myocarditis and Cardiogenic Shock</w:t>
      </w:r>
    </w:p>
    <w:p>
      <w:pPr>
        <w:spacing w:after="160" w:line="276"/>
      </w:pPr>
      <w:r>
        <w:rPr>
          <w:rFonts w:ascii="Arial" w:cs="Arial" w:eastAsia="Arial" w:hAnsi="Arial"/>
          <w:sz w:val="22"/>
          <w:szCs w:val="22"/>
        </w:rPr>
        <w:t xml:space="preserve">Acute myocarditis in children can present along a spectrum from mild chest pain and arrhythmia to fulminant cardiogenic shock and cardiac arrest. A high index of suspicion is required, as the initial presentation may mimic respiratory illness (tachypnea, respiratory distress from pulmonary edema), sepsis (poor perfusion, tachycardia, altered mental status), or abdominal disease (hepatomegaly causing abdominal pain, poor feeding, vomiting). The key distinguishing feature is hepatomegaly, gallop rhythm, and disproportionate tachycardia that does not improve with fluid resuscitation (and may worsen).</w:t>
      </w:r>
    </w:p>
    <w:p>
      <w:pPr>
        <w:spacing w:after="160" w:line="276"/>
      </w:pPr>
      <w:r>
        <w:rPr>
          <w:rFonts w:ascii="Arial" w:cs="Arial" w:eastAsia="Arial" w:hAnsi="Arial"/>
          <w:sz w:val="22"/>
          <w:szCs w:val="22"/>
        </w:rPr>
        <w:t xml:space="preserve">Management of cardiogenic shock in the rural setting prioritizes: cautious or no fluid administration (fluid may worsen pulmonary edema), epinephrine or milrinone infusion for inotropic support (milrinone 0.25–0.75 mcg/kg/min is ideal for afterload reduction and inotropy but requires loading dose consideration and causes vasodilation; epinephrine 0.01–0.1 mcg/kg/min is more readily available and titratable in the rural setting), diuresis with furosemide 1 mg/kg IV if pulmonary edema is present, and avoidance of negative inotropes. Point-of-care echocardiography, if available, is invaluable for distinguishing cardiogenic from septic shock.</w:t>
      </w:r>
    </w:p>
    <w:p>
      <w:pPr>
        <w:pStyle w:val="Heading3"/>
        <w:spacing w:after="120" w:before="240"/>
      </w:pPr>
      <w:r>
        <w:rPr>
          <w:b/>
          <w:bCs/>
        </w:rPr>
        <w:t xml:space="preserve">8.4 Ductal-Dependent Congenital Heart Disease</w:t>
      </w:r>
    </w:p>
    <w:p>
      <w:pPr>
        <w:spacing w:after="160" w:line="276"/>
      </w:pPr>
      <w:r>
        <w:rPr>
          <w:rFonts w:ascii="Arial" w:cs="Arial" w:eastAsia="Arial" w:hAnsi="Arial"/>
          <w:sz w:val="22"/>
          <w:szCs w:val="22"/>
        </w:rPr>
        <w:t xml:space="preserve">Neonates presenting in the first days to weeks of life with cyanosis, shock, or both may have undiagnosed ductal-dependent congenital heart disease. As the ductus arteriosus closes, these infants lose their only source of pulmonary or systemic blood flow, resulting in cardiovascular collapse. Prostaglandin E1 (alprostadil) infusion at 0.05–0.1 mcg/kg/min is life-saving and should be initiated whenever ductal-dependent cardiac disease is suspected. The infusion can be started peripherally. Critical side effects include apnea (occurring in up to 12% of neonates receiving PGE1, necessitating preparedness for intubation), hypotension, and fever. Once PGE1 is started and the infant stabilizes, urgent transfer to a center with pediatric cardiology and cardiac surgery is essential.</w:t>
      </w:r>
    </w:p>
    <w:p>
      <w:r>
        <w:br w:type="page"/>
      </w:r>
    </w:p>
    <w:p>
      <w:pPr>
        <w:pStyle w:val="Heading2"/>
        <w:spacing w:after="120" w:before="240"/>
      </w:pPr>
      <w:r>
        <w:rPr>
          <w:b/>
          <w:bCs/>
        </w:rPr>
        <w:t xml:space="preserve">Chapter 9: Metabolic and Endocrine Emergencies</w:t>
      </w:r>
    </w:p>
    <w:p>
      <w:pPr>
        <w:pStyle w:val="Heading3"/>
        <w:spacing w:after="120" w:before="240"/>
      </w:pPr>
      <w:r>
        <w:rPr>
          <w:b/>
          <w:bCs/>
        </w:rPr>
        <w:t xml:space="preserve">9.1 Diabetic Ketoacidosis</w:t>
      </w:r>
    </w:p>
    <w:p>
      <w:pPr>
        <w:spacing w:after="160" w:line="276"/>
      </w:pPr>
      <w:r>
        <w:rPr>
          <w:rFonts w:ascii="Arial" w:cs="Arial" w:eastAsia="Arial" w:hAnsi="Arial"/>
          <w:sz w:val="22"/>
          <w:szCs w:val="22"/>
        </w:rPr>
        <w:t xml:space="preserve">Diabetic ketoacidosis (DKA) is one of the most common pediatric endocrine emergencies and carries significant risk of cerebral edema, particularly in children under 5 years of age and in those with new-onset diabetes. DKA is defined by the triad of hyperglycemia (blood glucose greater than 200 mg/dL), metabolic acidosis (venous pH less than 7.3 or bicarbonate less than 15 mEq/L), and ketonemia or ketonuria.</w:t>
      </w:r>
    </w:p>
    <w:p>
      <w:pPr>
        <w:spacing w:after="160" w:line="276"/>
      </w:pPr>
      <w:r>
        <w:rPr>
          <w:rFonts w:ascii="Arial" w:cs="Arial" w:eastAsia="Arial" w:hAnsi="Arial"/>
          <w:sz w:val="22"/>
          <w:szCs w:val="22"/>
        </w:rPr>
        <w:t xml:space="preserve">Severity classification guides management intensity: Mild DKA (pH 7.2–7.3, bicarbonate 10–15), Moderate DKA (pH 7.1–7.2, bicarbonate 5–10), and Severe DKA (pH less than 7.1, bicarbonate less than 5). All moderate and severe DKA should be managed with continuous insulin infusion and careful fluid management; mild DKA may be managed with subcutaneous insulin in some cases.</w:t>
      </w:r>
    </w:p>
    <w:p>
      <w:pPr>
        <w:spacing w:after="160" w:line="276"/>
      </w:pPr>
      <w:r>
        <w:rPr>
          <w:rFonts w:ascii="Arial" w:cs="Arial" w:eastAsia="Arial" w:hAnsi="Arial"/>
          <w:sz w:val="22"/>
          <w:szCs w:val="22"/>
        </w:rPr>
        <w:t xml:space="preserve">The fluid management protocol for pediatric DKA emphasizes gradual rehydration to reduce the risk of cerebral edema. Initial bolus: 10–20 mL/kg normal saline over the first hour (limit to 10 mL/kg in severe DKA unless hemodynamic instability demands more aggressive resuscitation; avoid exceeding 40 mL/kg in the first 4 hours). Subsequent fluids: Calculate deficit (typically 5–10% dehydration) and replace evenly over 24–48 hours using 0.45–0.9% saline. Add dextrose to IV fluids when blood glucose falls below 300 mg/dL (typically D5-0.45% NS or D10-0.45% NS, titrating the dextrose concentration to maintain blood glucose between 150–300 mg/dL during insulin infusion).</w:t>
      </w:r>
    </w:p>
    <w:p>
      <w:pPr>
        <w:spacing w:after="160" w:line="276"/>
      </w:pPr>
      <w:r>
        <w:rPr>
          <w:rFonts w:ascii="Arial" w:cs="Arial" w:eastAsia="Arial" w:hAnsi="Arial"/>
          <w:sz w:val="22"/>
          <w:szCs w:val="22"/>
        </w:rPr>
        <w:t xml:space="preserve">Insulin infusion: Start at 0.05–0.1 units/kg/hr regular insulin (do NOT give an IV insulin bolus — this is associated with increased risk of cerebral edema). Continue until DKA has resolved (pH greater than 7.3, bicarbonate greater than 15, anion gap closed). Blood glucose should be checked hourly, and electrolytes (including venous blood gas and potassium) every 2–4 hours.</w:t>
      </w:r>
    </w:p>
    <w:p>
      <w:pPr>
        <w:spacing w:after="160" w:line="276"/>
      </w:pPr>
      <w:r>
        <w:rPr>
          <w:rFonts w:ascii="Arial" w:cs="Arial" w:eastAsia="Arial" w:hAnsi="Arial"/>
          <w:sz w:val="22"/>
          <w:szCs w:val="22"/>
        </w:rPr>
        <w:t xml:space="preserve">Potassium replacement is critical in DKA. Even if the initial serum potassium is normal or elevated, total body potassium is invariably depleted, and it will fall rapidly once insulin and fluid resuscitation are initiated. Add potassium to IV fluids once serum potassium is below 5.5 mEq/L and urine output is confirmed: KCl 20–40 mEq/L (or equivalent combination of KCl and KPO4). If potassium is below 3.5, consider replacing potassium before starting insulin.</w:t>
      </w:r>
    </w:p>
    <w:p>
      <w:pPr>
        <w:spacing w:after="120" w:line="276"/>
      </w:pPr>
      <w:r>
        <w:rPr>
          <w:rFonts w:ascii="Arial" w:cs="Arial" w:eastAsia="Arial" w:hAnsi="Arial"/>
          <w:b/>
          <w:bCs/>
          <w:sz w:val="22"/>
          <w:szCs w:val="22"/>
        </w:rPr>
        <w:t xml:space="preserve">Cerebral Edema in DKA</w:t>
      </w:r>
    </w:p>
    <w:p>
      <w:pPr>
        <w:spacing w:after="160" w:line="276"/>
      </w:pPr>
      <w:r>
        <w:rPr>
          <w:rFonts w:ascii="Arial" w:cs="Arial" w:eastAsia="Arial" w:hAnsi="Arial"/>
          <w:sz w:val="22"/>
          <w:szCs w:val="22"/>
        </w:rPr>
        <w:t xml:space="preserve">Cerebral edema is the most feared complication of pediatric DKA, occurring in approximately 0.5–1% of DKA episodes and carrying a mortality of 20–25% with significant morbidity in survivors. Warning signs include headache, altered mental status (particularly after initial improvement), recurrence of vomiting, Cushing triad (hypertension, bradycardia, irregular respirations), and focal neurologic signs. Treatment must be immediate: administer 3% hypertonic saline 2–5 mL/kg over 10–20 minutes (preferred) or mannitol 0.5–1 g/kg over 15–20 minutes, elevate the head of bed to 30 degrees, reduce IV fluid rate to maintenance, and prepare for possible intubation (avoid hyperventilation; target normocapnia).</w:t>
      </w:r>
    </w:p>
    <w:p>
      <w:pPr>
        <w:pStyle w:val="Heading3"/>
        <w:spacing w:after="120" w:before="240"/>
      </w:pPr>
      <w:r>
        <w:rPr>
          <w:b/>
          <w:bCs/>
        </w:rPr>
        <w:t xml:space="preserve">9.2 Adrenal Crisis</w:t>
      </w:r>
    </w:p>
    <w:p>
      <w:pPr>
        <w:spacing w:after="160" w:line="276"/>
      </w:pPr>
      <w:r>
        <w:rPr>
          <w:rFonts w:ascii="Arial" w:cs="Arial" w:eastAsia="Arial" w:hAnsi="Arial"/>
          <w:sz w:val="22"/>
          <w:szCs w:val="22"/>
        </w:rPr>
        <w:t xml:space="preserve">Adrenal crisis may occur in children with known adrenal insufficiency (congenital adrenal hyperplasia, chronic steroid use, pituitary disease) during physiologic stress (illness, trauma, surgery) or may present as undiagnosed adrenal insufficiency. Clinical features include refractory hypotension, hypoglycemia, hyponatremia, hyperkalemia, and altered mental status. In neonates with CAH, ambiguous genitalia may be a presenting feature.</w:t>
      </w:r>
    </w:p>
    <w:p>
      <w:pPr>
        <w:spacing w:after="160" w:line="276"/>
      </w:pPr>
      <w:r>
        <w:rPr>
          <w:rFonts w:ascii="Arial" w:cs="Arial" w:eastAsia="Arial" w:hAnsi="Arial"/>
          <w:sz w:val="22"/>
          <w:szCs w:val="22"/>
        </w:rPr>
        <w:t xml:space="preserve">Emergency management: Hydrocortisone stress dosing at 50–100 mg/m2 IV bolus (or weight-based: infants 25 mg, children 50 mg, adolescents 100 mg IV), followed by 50–100 mg/m2/day divided every 6–8 hours. Aggressive fluid resuscitation with normal saline containing dextrose (D5NS or D10NS) to correct hypotension and hypoglycemia simultaneously. Hyperkalemia management as indicated. In the neonatal period, ambiguous genitalia with electrolyte abnormalities (hyponatremia, hyperkalemia) and hypoglycemia should be treated empirically as a salt-wasting adrenal crisis until proven otherwise.</w:t>
      </w:r>
    </w:p>
    <w:p>
      <w:pPr>
        <w:pStyle w:val="Heading3"/>
        <w:spacing w:after="120" w:before="240"/>
      </w:pPr>
      <w:r>
        <w:rPr>
          <w:b/>
          <w:bCs/>
        </w:rPr>
        <w:t xml:space="preserve">9.3 Inborn Errors of Metabolism</w:t>
      </w:r>
    </w:p>
    <w:p>
      <w:pPr>
        <w:spacing w:after="160" w:line="276"/>
      </w:pPr>
      <w:r>
        <w:rPr>
          <w:rFonts w:ascii="Arial" w:cs="Arial" w:eastAsia="Arial" w:hAnsi="Arial"/>
          <w:sz w:val="22"/>
          <w:szCs w:val="22"/>
        </w:rPr>
        <w:t xml:space="preserve">While individually rare, inborn errors of metabolism (IEM) collectively represent an important cause of acute neonatal and infantile crises. The rural provider should consider IEM in any neonate or infant presenting with unexplained encephalopathy, metabolic acidosis (particularly with elevated anion gap), persistent hypoglycemia, hyperammonemia, or unusual odor. The immediate management of a suspected metabolic crisis, regardless of the specific diagnosis, centers on stopping catabolism and providing anabolic support: NPO (eliminate protein and fat intake), administer D10W at 1.5–2 times maintenance rate to provide glucose delivery of 8–10 mg/kg/min (higher in neonates), correct metabolic acidosis with sodium bicarbonate if pH is less than 7.1, and send critical labs (ammonia, lactate, blood gas, comprehensive metabolic panel, urine organic acids, serum amino acids, and acylcarnitine profile). Hyperammonemia above 200 mcmol/L is a medical emergency requiring immediate consultation with a metabolic specialist and consideration of ammonia-scavenging medications or hemodialysis.</w:t>
      </w:r>
    </w:p>
    <w:p>
      <w:r>
        <w:br w:type="page"/>
      </w:r>
    </w:p>
    <w:p>
      <w:pPr>
        <w:pStyle w:val="Heading2"/>
        <w:spacing w:after="120" w:before="240"/>
      </w:pPr>
      <w:r>
        <w:rPr>
          <w:b/>
          <w:bCs/>
        </w:rPr>
        <w:t xml:space="preserve">Chapter 10: Toxicologic Emergencies</w:t>
      </w:r>
    </w:p>
    <w:p>
      <w:pPr>
        <w:pStyle w:val="Heading3"/>
        <w:spacing w:after="120" w:before="240"/>
      </w:pPr>
      <w:r>
        <w:rPr>
          <w:b/>
          <w:bCs/>
        </w:rPr>
        <w:t xml:space="preserve">10.1 General Approach to the Poisoned Child</w:t>
      </w:r>
    </w:p>
    <w:p>
      <w:pPr>
        <w:spacing w:after="160" w:line="276"/>
      </w:pPr>
      <w:r>
        <w:rPr>
          <w:rFonts w:ascii="Arial" w:cs="Arial" w:eastAsia="Arial" w:hAnsi="Arial"/>
          <w:sz w:val="22"/>
          <w:szCs w:val="22"/>
        </w:rPr>
        <w:t xml:space="preserve">Poisoning and toxic exposures account for a significant proportion of pediatric emergency visits, and rural children may have unique exposure risks related to agricultural chemicals, pesticides, and household hazards. The initial management follows the standard resuscitation framework with specific attention to decontamination and antidote administration.</w:t>
      </w:r>
    </w:p>
    <w:p>
      <w:pPr>
        <w:spacing w:after="160" w:line="276"/>
      </w:pPr>
      <w:r>
        <w:rPr>
          <w:rFonts w:ascii="Arial" w:cs="Arial" w:eastAsia="Arial" w:hAnsi="Arial"/>
          <w:sz w:val="22"/>
          <w:szCs w:val="22"/>
        </w:rPr>
        <w:t xml:space="preserve">The approach includes: stabilization of airway, breathing, and circulation as the first priority; identification of the toxidrome (sympathomimetic, anticholinergic, cholinergic, opioid, sedative-hypnotic, serotonin syndrome) to guide empiric management; contact with Poison Control (1-800-222-1222) for real-time guidance on specific exposures; targeted decontamination when indicated (activated charcoal 1 g/kg PO within 1–2 hours of ingestion for selected toxins; whole bowel irrigation for sustained-release preparations, body packers, or heavy metals; skin decontamination for dermal exposures); and specific antidotes when available.</w:t>
      </w:r>
    </w:p>
    <w:p>
      <w:pPr>
        <w:pStyle w:val="Heading3"/>
        <w:spacing w:after="120" w:before="240"/>
      </w:pPr>
      <w:r>
        <w:rPr>
          <w:b/>
          <w:bCs/>
        </w:rPr>
        <w:t xml:space="preserve">10.2 Critical Antidote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200"/>
        <w:gridCol w:w="2760"/>
      </w:tblGrid>
      <w:tr>
        <w:trPr>
          <w:tblHeader/>
        </w:trPr>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Antidote</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Indication</w:t>
            </w:r>
          </w:p>
        </w:tc>
        <w:tc>
          <w:tcPr>
            <w:tcW w:type="dxa" w:w="18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Pediatric Dose</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Route</w:t>
            </w:r>
          </w:p>
        </w:tc>
        <w:tc>
          <w:tcPr>
            <w:tcW w:type="dxa" w:w="27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Notes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Naloxone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Opioid toxicity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0.1 mg/kg (max 2 mg); may repeat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IV/IO/IM/IN/SQ</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Titrate to respiratory drive, not consciousness; may need repeat doses or infusion for long-acting opioids</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N-Acetylcysteine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Acetaminophen OD</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150 mg/kg IV over 1 hr, then 50 mg/kg over 4 hr, then 100 mg/kg over 16 hr</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 (or PO)</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Start within 8–10 hr of ingestion for maximal benefit; check Rumack-Matthew nomogram</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Flumazenil</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Benzodiazepine OD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0.01 mg/kg (max 0.2 mg); may repeat q1min to max 1 mg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Contraindicated if chronic benzo use, mixed OD with proconvulsant, or seizure history — risk of precipitating seizures</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Atropine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Organophosphate/carbamate poisoning</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0.02–0.05 mg/kg; repeat q5–10 min until secretions clear</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IV/IO</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Titrate to dry secretions; may need large cumulative doses; NO minimum dose in poisoning</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Pralidoxime (2-PAM)</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Organophosphate poisoning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25–50 mg/kg (max 2 g) over 30 min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Give with atropine; most effective within 24–48 hr of exposure</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Fomepizole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Methanol/ethylene glycol</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15 mg/kg load, then 10 mg/kg q12h</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Preferred over ethanol as antidote; continue until levels undetectable</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Calcium gluconate 10%</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Calcium channel blocker OD / HF / hyperkalemia</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0.6 mL/kg (60 mg/kg) slow IV push</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Max 3 g per dose; monitor for bradycardia during infusion</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Dextrose</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Sulfonylurea / insulin OD</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D10W: 2–4 mL/kg IV</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May need continuous dextrose infusion; consider octreotide for sulfonylurea</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Sodium bicarbonate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TCA OD (QRS widening)</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 mEq/kg IV bolus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Target serum pH 7.45–7.55; continue infusion; QRS narrowing indicates response</w:t>
            </w:r>
          </w:p>
        </w:tc>
      </w:tr>
      <w:tr>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Lipid emulsion 20%</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Local anesthetic toxicity / lipophilic drug OD</w:t>
            </w:r>
          </w:p>
        </w:tc>
        <w:tc>
          <w:tcPr>
            <w:tcW w:type="dxa" w:w="18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1.5 mL/kg bolus, may repeat x2; infusion 0.25 mL/kg/min</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Consider for refractory cardiovascular collapse from lipophilic drugs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Digoxin immune Fab</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Digoxin toxicity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Dose based on ingestion amount or level; if unknown: 10 vials empirically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IV</w:t>
            </w:r>
          </w:p>
        </w:tc>
        <w:tc>
          <w:tcPr>
            <w:tcW w:type="dxa" w:w="2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For acute ingestion with life-threatening arrhythmia or hyperkalemia</w:t>
            </w:r>
          </w:p>
        </w:tc>
      </w:tr>
    </w:tbl>
    <w:p>
      <w:pPr>
        <w:spacing w:after="80"/>
      </w:pPr>
    </w:p>
    <w:p>
      <w:pPr>
        <w:pStyle w:val="Heading3"/>
        <w:spacing w:after="120" w:before="240"/>
      </w:pPr>
      <w:r>
        <w:rPr>
          <w:b/>
          <w:bCs/>
        </w:rPr>
        <w:t xml:space="preserve">10.3 Agricultural and Environmental Exposures</w:t>
      </w:r>
    </w:p>
    <w:p>
      <w:pPr>
        <w:spacing w:after="160" w:line="276"/>
      </w:pPr>
      <w:r>
        <w:rPr>
          <w:rFonts w:ascii="Arial" w:cs="Arial" w:eastAsia="Arial" w:hAnsi="Arial"/>
          <w:sz w:val="22"/>
          <w:szCs w:val="22"/>
        </w:rPr>
        <w:t xml:space="preserve">Rural children face unique exposure risks from agricultural chemicals including organophosphate and carbamate insecticides, herbicides (paraquat, glyphosate), rodenticides (superwarfarins, zinc phosphide), fertilizers (nitrates), and anhydrous ammonia. Organophosphate poisoning presents with the classic cholinergic toxidrome (SLUDGE: Salivation, Lacrimation, Urination, Defecation, GI distress, Emesis, plus miosis, bradycardia, bronchospasm, and weakness). Management requires aggressive atropine dosing titrated to drying of secretions (there is no maximum dose in severe poisoning) and pralidoxime for organophosphate (not carbamate) exposures. Decontamination with removal of clothing and thorough skin washing is critical for dermal exposures, with provider protection (gloves, gown, ventilation) to prevent secondary exposure.</w:t>
      </w:r>
    </w:p>
    <w:p>
      <w:pPr>
        <w:spacing w:after="160" w:line="276"/>
      </w:pPr>
      <w:r>
        <w:rPr>
          <w:rFonts w:ascii="Arial" w:cs="Arial" w:eastAsia="Arial" w:hAnsi="Arial"/>
          <w:sz w:val="22"/>
          <w:szCs w:val="22"/>
        </w:rPr>
        <w:t xml:space="preserve">Envenomation from snakebites is another important rural consideration. Crotalidae (pit viper) envenomation is managed with Crotalidae polyvalent immune Fab (CroFab) or Crotalidae immune F(ab’)2 (Anavip). Initial dosing is 4–6 vials for CroFab or 10 vials for Anavip, with additional doses based on clinical response. Rural facilities should maintain or have rapid access to antivenom, as the effectiveness decreases with delay from envenomation.</w:t>
      </w:r>
    </w:p>
    <w:p>
      <w:r>
        <w:br w:type="page"/>
      </w:r>
    </w:p>
    <w:p>
      <w:pPr>
        <w:pStyle w:val="Heading2"/>
        <w:spacing w:after="120" w:before="240"/>
      </w:pPr>
      <w:r>
        <w:rPr>
          <w:b/>
          <w:bCs/>
        </w:rPr>
        <w:t xml:space="preserve">Chapter 11: Special Populations and Presentations</w:t>
      </w:r>
    </w:p>
    <w:p>
      <w:pPr>
        <w:pStyle w:val="Heading3"/>
        <w:spacing w:after="120" w:before="240"/>
      </w:pPr>
      <w:r>
        <w:rPr>
          <w:b/>
          <w:bCs/>
        </w:rPr>
        <w:t xml:space="preserve">11.1 The Febrile Neonate (0–60 Days)</w:t>
      </w:r>
    </w:p>
    <w:p>
      <w:pPr>
        <w:spacing w:after="160" w:line="276"/>
      </w:pPr>
      <w:r>
        <w:rPr>
          <w:rFonts w:ascii="Arial" w:cs="Arial" w:eastAsia="Arial" w:hAnsi="Arial"/>
          <w:sz w:val="22"/>
          <w:szCs w:val="22"/>
        </w:rPr>
        <w:t xml:space="preserve">The febrile neonate represents one of the highest-risk presentations in pediatric emergency medicine. Neonates have an immature immune system that renders them susceptible to serious bacterial infections (SBI) including bacteremia, urinary tract infection, and meningitis, while simultaneously blunting the inflammatory response that older children mount to localize infection. Any neonate under 28 days with fever (38.0°C or higher, rectal) should undergo full sepsis evaluation (blood culture, urinalysis with culture, CSF analysis with culture) and receive empiric parenteral antibiotics (ampicillin plus gentamicin, or ampicillin plus cefotaxime if meningitis is suspected). HSV evaluation (surface cultures, CSF HSV PCR, and empiric acyclovir) should be initiated for neonates with risk factors (maternal HSV history, vesicular lesions, seizures, elevated hepatic transaminases, thrombocytopenia, or CSF pleocytosis).</w:t>
      </w:r>
    </w:p>
    <w:p>
      <w:pPr>
        <w:spacing w:after="160" w:line="276"/>
      </w:pPr>
      <w:r>
        <w:rPr>
          <w:rFonts w:ascii="Arial" w:cs="Arial" w:eastAsia="Arial" w:hAnsi="Arial"/>
          <w:sz w:val="22"/>
          <w:szCs w:val="22"/>
        </w:rPr>
        <w:t xml:space="preserve">For infants 29–60 days with fever, risk stratification using validated tools (the Step-by-Step approach, the Rochester criteria, or the Pediatric Emergency Care Applied Research Network [PECARN] febrile infant rule) can identify lower-risk infants, but in the rural setting with limited follow-up capability, a conservative approach with empiric antibiotics and observation or admission is often the safest strategy.</w:t>
      </w:r>
    </w:p>
    <w:p>
      <w:pPr>
        <w:pStyle w:val="Heading3"/>
        <w:spacing w:after="120" w:before="240"/>
      </w:pPr>
      <w:r>
        <w:rPr>
          <w:b/>
          <w:bCs/>
        </w:rPr>
        <w:t xml:space="preserve">11.2 Non-Accidental Trauma (Child Abuse)</w:t>
      </w:r>
    </w:p>
    <w:p>
      <w:pPr>
        <w:spacing w:after="160" w:line="276"/>
      </w:pPr>
      <w:r>
        <w:rPr>
          <w:rFonts w:ascii="Arial" w:cs="Arial" w:eastAsia="Arial" w:hAnsi="Arial"/>
          <w:sz w:val="22"/>
          <w:szCs w:val="22"/>
        </w:rPr>
        <w:t xml:space="preserve">Rural providers must maintain vigilance for non-accidental trauma (NAT). Injuries suggestive of abuse include bruising in non-mobile infants (bruising in a child who is not yet cruising is concerning), patterned injuries (loop marks, bite marks, cigarette burns), injuries inconsistent with the developmental stage of the child (e.g., spiral femur fracture in a non-ambulatory infant), multiple fractures in different stages of healing, subdural hematomas (especially bilateral or in the absence of significant reported mechanism), retinal hemorrhages, and abdominal injuries without a history of significant trauma.</w:t>
      </w:r>
    </w:p>
    <w:p>
      <w:pPr>
        <w:spacing w:after="160" w:line="276"/>
      </w:pPr>
      <w:r>
        <w:rPr>
          <w:rFonts w:ascii="Arial" w:cs="Arial" w:eastAsia="Arial" w:hAnsi="Arial"/>
          <w:sz w:val="22"/>
          <w:szCs w:val="22"/>
        </w:rPr>
        <w:t xml:space="preserve">The medical evaluation of suspected NAT includes a skeletal survey (all children under 2 years with suspected physical abuse), CT head (all children under 6 months with suspected abuse and any child with neurologic symptoms), hepatic transaminases and lipase (screening for occult abdominal trauma), and urinalysis (screening for renal injury). Mandatory reporting to child protective services is required by law in all 50 states whenever there is reasonable suspicion of abuse. Documentation should be thorough, objective, and descriptive, using body diagrams and photography when possible.</w:t>
      </w:r>
    </w:p>
    <w:p>
      <w:pPr>
        <w:pStyle w:val="Heading3"/>
        <w:spacing w:after="120" w:before="240"/>
      </w:pPr>
      <w:r>
        <w:rPr>
          <w:b/>
          <w:bCs/>
        </w:rPr>
        <w:t xml:space="preserve">11.3 Pediatric Drowning</w:t>
      </w:r>
    </w:p>
    <w:p>
      <w:pPr>
        <w:spacing w:after="160" w:line="276"/>
      </w:pPr>
      <w:r>
        <w:rPr>
          <w:rFonts w:ascii="Arial" w:cs="Arial" w:eastAsia="Arial" w:hAnsi="Arial"/>
          <w:sz w:val="22"/>
          <w:szCs w:val="22"/>
        </w:rPr>
        <w:t xml:space="preserve">Drowning is a leading cause of injury death in children aged 1 to 4 years. Rural children are at particular risk due to proximity to natural bodies of water, stock tanks, and irrigation features. Management of the drowning victim focuses on rapid assessment and reversal of hypoxia, which is the primary mechanism of end-organ injury. All submersion victims should receive supplemental oxygen. Those with respiratory distress should be supported with NIPPV or intubation as indicated. Hypothermia frequently accompanies drowning and should be actively managed; severely hypothermic patients (core temperature below 30°C) should not be declared dead until they have been rewarmed to at least 32–35°C (or have failed resuscitation despite normothermia). Cervical spine precautions are indicated when there is a history or suspicion of diving injury.</w:t>
      </w:r>
    </w:p>
    <w:p>
      <w:pPr>
        <w:spacing w:after="160" w:line="276"/>
      </w:pPr>
      <w:r>
        <w:rPr>
          <w:rFonts w:ascii="Arial" w:cs="Arial" w:eastAsia="Arial" w:hAnsi="Arial"/>
          <w:sz w:val="22"/>
          <w:szCs w:val="22"/>
        </w:rPr>
        <w:t xml:space="preserve">Post-resuscitation management of the drowning victim includes monitoring for delayed pulmonary deterioration (ARDS may develop 6–72 hours after the event), treating hypothermia, and maintaining cerebral perfusion and oxygenation. Prophylactic antibiotics are not routinely indicated but should be considered for submersion in heavily contaminated water. The traditional distinction between saltwater and freshwater drowning has minimal impact on clinical management.</w:t>
      </w:r>
    </w:p>
    <w:p>
      <w:pPr>
        <w:pStyle w:val="Heading3"/>
        <w:spacing w:after="120" w:before="240"/>
      </w:pPr>
      <w:r>
        <w:rPr>
          <w:b/>
          <w:bCs/>
        </w:rPr>
        <w:t xml:space="preserve">11.4 Anaphylaxis</w:t>
      </w:r>
    </w:p>
    <w:p>
      <w:pPr>
        <w:spacing w:after="160" w:line="276"/>
      </w:pPr>
      <w:r>
        <w:rPr>
          <w:rFonts w:ascii="Arial" w:cs="Arial" w:eastAsia="Arial" w:hAnsi="Arial"/>
          <w:sz w:val="22"/>
          <w:szCs w:val="22"/>
        </w:rPr>
        <w:t xml:space="preserve">Anaphylaxis is a rapidly progressive, life-threatening allergic reaction that can cause cardiovascular collapse within minutes. The most common triggers in children are foods (peanuts, tree nuts, milk, eggs, shellfish), insect stings, and medications. Epinephrine is the first-line treatment and should be administered immediately upon recognition: 0.01 mg/kg of 1:1,000 concentration IM in the anterolateral thigh (maximum 0.3 mg for prepubertal children, 0.5 mg for adolescents). The dose may be repeated every 5–15 minutes if symptoms do not improve or recur.</w:t>
      </w:r>
    </w:p>
    <w:p>
      <w:pPr>
        <w:spacing w:after="160" w:line="276"/>
      </w:pPr>
      <w:r>
        <w:rPr>
          <w:rFonts w:ascii="Arial" w:cs="Arial" w:eastAsia="Arial" w:hAnsi="Arial"/>
          <w:sz w:val="22"/>
          <w:szCs w:val="22"/>
        </w:rPr>
        <w:t xml:space="preserve">Adjunctive therapies include: IV fluid resuscitation with normal saline 20 mL/kg boluses for hypotension, albuterol nebulization for bronchospasm, diphenhydramine 1 mg/kg IV/IM (maximum 50 mg) and ranitidine 1 mg/kg IV (maximum 50 mg) as H1/H2 blockers, and dexamethasone 0.15–0.6 mg/kg IV (maximum 10 mg) to reduce the risk of biphasic reaction. All patients with anaphylaxis should be observed for a minimum of 4–6 hours (some guidelines recommend 6–12 hours) due to the risk of biphasic reaction, which occurs in up to 20% of cases. Patients with anaphylaxis requiring more than one dose of epinephrine should be observed for at least 12–24 hours. Glucagon 20–30 mcg/kg (maximum 1 mg) IV is indicated for anaphylaxis refractory to epinephrine in patients on beta-blockers.</w:t>
      </w:r>
    </w:p>
    <w:p>
      <w:r>
        <w:br w:type="page"/>
      </w:r>
    </w:p>
    <w:p>
      <w:pPr>
        <w:pStyle w:val="Heading1"/>
        <w:spacing w:after="120" w:before="360"/>
      </w:pPr>
      <w:r>
        <w:rPr>
          <w:b/>
          <w:bCs/>
        </w:rPr>
        <w:t xml:space="preserve">PART III: SYSTEMS, PROCEDURES, AND TRANSFER</w:t>
      </w:r>
    </w:p>
    <w:p>
      <w:pPr>
        <w:pStyle w:val="Heading2"/>
        <w:spacing w:after="120" w:before="240"/>
      </w:pPr>
      <w:r>
        <w:rPr>
          <w:b/>
          <w:bCs/>
        </w:rPr>
        <w:t xml:space="preserve">Chapter 12: Critical Procedures in the Rural Setting</w:t>
      </w:r>
    </w:p>
    <w:p>
      <w:pPr>
        <w:pStyle w:val="Heading3"/>
        <w:spacing w:after="120" w:before="240"/>
      </w:pPr>
      <w:r>
        <w:rPr>
          <w:b/>
          <w:bCs/>
        </w:rPr>
        <w:t xml:space="preserve">12.1 Intraosseous Access</w:t>
      </w:r>
    </w:p>
    <w:p>
      <w:pPr>
        <w:spacing w:after="160" w:line="276"/>
      </w:pPr>
      <w:r>
        <w:rPr>
          <w:rFonts w:ascii="Arial" w:cs="Arial" w:eastAsia="Arial" w:hAnsi="Arial"/>
          <w:sz w:val="22"/>
          <w:szCs w:val="22"/>
        </w:rPr>
        <w:t xml:space="preserve">Intraosseous (IO) access is the single most important vascular access technique for the rural provider managing a critically ill child. It should be attempted within 60–90 seconds of an unsuccessful peripheral IV attempt in any child requiring emergent vascular access. IO access provides equivalent delivery of medications, fluids, and blood products to intravenous access, with success rates exceeding 90% on first attempt.</w:t>
      </w:r>
    </w:p>
    <w:p>
      <w:pPr>
        <w:spacing w:after="160" w:line="276"/>
      </w:pPr>
      <w:r>
        <w:rPr>
          <w:rFonts w:ascii="Arial" w:cs="Arial" w:eastAsia="Arial" w:hAnsi="Arial"/>
          <w:sz w:val="22"/>
          <w:szCs w:val="22"/>
        </w:rPr>
        <w:t xml:space="preserve">Preferred insertion site is the proximal tibia, specifically the flat medial surface 1–2 cm distal to the tibial tuberosity (below the growth plate in children). Alternative sites include the distal tibia (medial surface, proximal to the medial malleolus), the distal femur (midline, 1–2 cm proximal to the patella), and the proximal humerus (greater tuberosity, with the arm in internal rotation). Power-driven IO devices (EZ-IO) are preferred when available, using the appropriate needle length: 15 mm (pink) for patients 3–39 kg, and 25 mm (blue) for patients 40 kg and above. Manual IO needles remain effective and should be available as backup.</w:t>
      </w:r>
    </w:p>
    <w:p>
      <w:pPr>
        <w:spacing w:after="160" w:line="276"/>
      </w:pPr>
      <w:r>
        <w:rPr>
          <w:rFonts w:ascii="Arial" w:cs="Arial" w:eastAsia="Arial" w:hAnsi="Arial"/>
          <w:sz w:val="22"/>
          <w:szCs w:val="22"/>
        </w:rPr>
        <w:t xml:space="preserve">Key IO considerations: All IV medications can be given IO with equivalent dosing. Flush with 2–5 mL normal saline before and after each medication. IO pressure infusion or pump may be needed for fluid resuscitation (gravity flow is slower than IV). Lidocaine 0.5 mg/kg (maximum 20 mg) IO can be administered to reduce infusion pain in conscious patients. IO should be discontinued within 24 hours and replaced with definitive IV or central venous access.</w:t>
      </w:r>
    </w:p>
    <w:p>
      <w:pPr>
        <w:pStyle w:val="Heading3"/>
        <w:spacing w:after="120" w:before="240"/>
      </w:pPr>
      <w:r>
        <w:rPr>
          <w:b/>
          <w:bCs/>
        </w:rPr>
        <w:t xml:space="preserve">12.2 Central Venous Access</w:t>
      </w:r>
    </w:p>
    <w:p>
      <w:pPr>
        <w:spacing w:after="160" w:line="276"/>
      </w:pPr>
      <w:r>
        <w:rPr>
          <w:rFonts w:ascii="Arial" w:cs="Arial" w:eastAsia="Arial" w:hAnsi="Arial"/>
          <w:sz w:val="22"/>
          <w:szCs w:val="22"/>
        </w:rPr>
        <w:t xml:space="preserve">Central venous catheterization in children is indicated for vasoactive infusions, central venous pressure monitoring, inadequate peripheral access, and anticipated prolonged resuscitation. In the rural setting, ultrasound-guided internal jugular or femoral vein cannulation are the most commonly performed approaches. Subclavian access, while effective, carries higher pneumothorax risk and is less commonly performed by providers without frequent pediatric central line experience.</w:t>
      </w:r>
    </w:p>
    <w:p>
      <w:pPr>
        <w:spacing w:after="160" w:line="276"/>
      </w:pPr>
      <w:r>
        <w:rPr>
          <w:rFonts w:ascii="Arial" w:cs="Arial" w:eastAsia="Arial" w:hAnsi="Arial"/>
          <w:sz w:val="22"/>
          <w:szCs w:val="22"/>
        </w:rPr>
        <w:t xml:space="preserve">Catheter sizing by weight: infants less than 5 kg use 4 Fr single-lumen; 5–15 kg use 4–5 Fr double-lumen; 15–30 kg use 5–7 Fr double-lumen or triple-lumen; and greater than 30 kg use 7 Fr triple-lumen. Sterile technique with maximal barrier precautions is essential even in emergent situations to reduce central line-associated bloodstream infection risk.</w:t>
      </w:r>
    </w:p>
    <w:p>
      <w:pPr>
        <w:pStyle w:val="Heading3"/>
        <w:spacing w:after="120" w:before="240"/>
      </w:pPr>
      <w:r>
        <w:rPr>
          <w:b/>
          <w:bCs/>
        </w:rPr>
        <w:t xml:space="preserve">12.3 Chest Tube Placement</w:t>
      </w:r>
    </w:p>
    <w:p>
      <w:pPr>
        <w:spacing w:after="160" w:line="276"/>
      </w:pPr>
      <w:r>
        <w:rPr>
          <w:rFonts w:ascii="Arial" w:cs="Arial" w:eastAsia="Arial" w:hAnsi="Arial"/>
          <w:sz w:val="22"/>
          <w:szCs w:val="22"/>
        </w:rPr>
        <w:t xml:space="preserve">Tube thoracostomy may be required for pneumothorax (spontaneous, traumatic, or iatrogenic), hemothorax, or large pleural effusion causing respiratory compromise. The insertion site is the fourth or fifth intercostal space, anterior to the mid-axillary line (the safe triangle). The tube should be directed apically for pneumothorax and posteriorly/inferiorly for hemothorax or effusion.</w:t>
      </w:r>
    </w:p>
    <w:p>
      <w:pPr>
        <w:spacing w:after="160" w:line="276"/>
      </w:pPr>
      <w:r>
        <w:rPr>
          <w:rFonts w:ascii="Arial" w:cs="Arial" w:eastAsia="Arial" w:hAnsi="Arial"/>
          <w:sz w:val="22"/>
          <w:szCs w:val="22"/>
        </w:rPr>
        <w:t xml:space="preserve">Tube sizing: 10–12 Fr for infants, 12–16 Fr for children 1–5 years, 16–20 Fr for children 6–12 years, and 24–32 Fr for adolescents (larger sizes for hemothorax). Pigtail catheters (8–14 Fr) placed by Seldinger technique may be used for pneumothorax and serous effusions and are associated with less pain and morbidity than traditional surgical chest tubes. Post-procedure chest radiograph is mandatory to confirm placement and evaluate for residual pneumothorax or effusion.</w:t>
      </w:r>
    </w:p>
    <w:p>
      <w:pPr>
        <w:pStyle w:val="Heading3"/>
        <w:spacing w:after="120" w:before="240"/>
      </w:pPr>
      <w:r>
        <w:rPr>
          <w:b/>
          <w:bCs/>
        </w:rPr>
        <w:t xml:space="preserve">12.4 Emergency Cricothyrotomy</w:t>
      </w:r>
    </w:p>
    <w:p>
      <w:pPr>
        <w:spacing w:after="160" w:line="276"/>
      </w:pPr>
      <w:r>
        <w:rPr>
          <w:rFonts w:ascii="Arial" w:cs="Arial" w:eastAsia="Arial" w:hAnsi="Arial"/>
          <w:sz w:val="22"/>
          <w:szCs w:val="22"/>
        </w:rPr>
        <w:t xml:space="preserve">Surgical cricothyrotomy is a last-resort airway technique for the "cannot intubate, cannot oxygenate" scenario. In children under approximately 8–10 years of age, the cricothyroid membrane is small and difficult to identify, making surgical cricothyrotomy technically challenging. Needle cricothyrotomy with transtracheal jet ventilation is the preferred emergency surgical airway in young children. Using a 14–18 gauge angiocatheter inserted through the cricothyroid membrane (or between tracheal rings), connected to a jet ventilation system or a 3.0 ETT adapter for BVM ventilation, provides temporizing oxygenation. In adolescents and larger children, formal surgical cricothyrotomy with a 4.0–6.0 cuffed tracheostomy tube or small ETT (6.0 cuffed) is feasible using standard adult technique.</w:t>
      </w:r>
    </w:p>
    <w:p>
      <w:r>
        <w:br w:type="page"/>
      </w:r>
    </w:p>
    <w:p>
      <w:pPr>
        <w:pStyle w:val="Heading2"/>
        <w:spacing w:after="120" w:before="240"/>
      </w:pPr>
      <w:r>
        <w:rPr>
          <w:b/>
          <w:bCs/>
        </w:rPr>
        <w:t xml:space="preserve">Chapter 13: Transport Preparation and Interfacility Transfer</w:t>
      </w:r>
    </w:p>
    <w:p>
      <w:pPr>
        <w:pStyle w:val="Heading3"/>
        <w:spacing w:after="120" w:before="240"/>
      </w:pPr>
      <w:r>
        <w:rPr>
          <w:b/>
          <w:bCs/>
        </w:rPr>
        <w:t xml:space="preserve">13.1 Initiating the Transfer Process</w:t>
      </w:r>
    </w:p>
    <w:p>
      <w:pPr>
        <w:spacing w:after="160" w:line="276"/>
      </w:pPr>
      <w:r>
        <w:rPr>
          <w:rFonts w:ascii="Arial" w:cs="Arial" w:eastAsia="Arial" w:hAnsi="Arial"/>
          <w:sz w:val="22"/>
          <w:szCs w:val="22"/>
        </w:rPr>
        <w:t xml:space="preserve">Transfer coordination should begin as soon as it becomes apparent that the child’s clinical needs exceed the facility’s sustained capability. This decision should not be delayed until the child is fully stabilized, as early activation of transport teams reduces overall time to definitive care. The EMTALA requirements mandate that the referring facility provide stabilizing treatment within its capability before transfer, ensure that the receiving facility has available space and qualified personnel and has agreed to accept the transfer, and provide copies of all medical records and imaging available at the time of transfer.</w:t>
      </w:r>
    </w:p>
    <w:p>
      <w:pPr>
        <w:spacing w:after="160" w:line="276"/>
      </w:pPr>
      <w:r>
        <w:rPr>
          <w:rFonts w:ascii="Arial" w:cs="Arial" w:eastAsia="Arial" w:hAnsi="Arial"/>
          <w:sz w:val="22"/>
          <w:szCs w:val="22"/>
        </w:rPr>
        <w:t xml:space="preserve">Communication with the receiving facility should follow a structured handoff using the IPASS framework: Illness severity (stable, watching, or actively deteriorating), Patient summary (demographics, chief complaint, key history), Action list (what has been done, what needs to be done during transport and upon arrival), Situation awareness (what might go wrong, anticipated complications, pending studies), and Synthesis (the referring provider’s overall assessment and primary concern). Physician-to-physician communication is essential and should be documented, including the name and contact information of the accepting physician.</w:t>
      </w:r>
    </w:p>
    <w:p>
      <w:pPr>
        <w:pStyle w:val="Heading3"/>
        <w:spacing w:after="120" w:before="240"/>
      </w:pPr>
      <w:r>
        <w:rPr>
          <w:b/>
          <w:bCs/>
        </w:rPr>
        <w:t xml:space="preserve">13.2 Preparation for Transport</w:t>
      </w:r>
    </w:p>
    <w:p>
      <w:pPr>
        <w:spacing w:after="160" w:line="276"/>
      </w:pPr>
      <w:r>
        <w:rPr>
          <w:rFonts w:ascii="Arial" w:cs="Arial" w:eastAsia="Arial" w:hAnsi="Arial"/>
          <w:sz w:val="22"/>
          <w:szCs w:val="22"/>
        </w:rPr>
        <w:t xml:space="preserve">The interval between the decision to transfer and the arrival of the transport team is a critical period during which the rural team must optimize the patient’s condition for safe transport. A structured pre-transport checklist includes: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Airway:</w:t>
      </w:r>
      <w:r>
        <w:rPr>
          <w:rFonts w:ascii="Arial" w:cs="Arial" w:eastAsia="Arial" w:hAnsi="Arial"/>
          <w:sz w:val="22"/>
          <w:szCs w:val="22"/>
        </w:rPr>
        <w:t xml:space="preserve"> Is the airway secured and verified (ETCO2 confirmation)? Is the ETT securely taped? Is a backup airway (LMA, BVM) available?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Breathing:</w:t>
      </w:r>
      <w:r>
        <w:rPr>
          <w:rFonts w:ascii="Arial" w:cs="Arial" w:eastAsia="Arial" w:hAnsi="Arial"/>
          <w:sz w:val="22"/>
          <w:szCs w:val="22"/>
        </w:rPr>
        <w:t xml:space="preserve"> Are ventilator settings optimized? Is the most recent blood gas acceptable? Is portable suction available? Is an adequate oxygen supply calculated for the transport duration plus 50% reserve?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Circulation:</w:t>
      </w:r>
      <w:r>
        <w:rPr>
          <w:rFonts w:ascii="Arial" w:cs="Arial" w:eastAsia="Arial" w:hAnsi="Arial"/>
          <w:sz w:val="22"/>
          <w:szCs w:val="22"/>
        </w:rPr>
        <w:t xml:space="preserve"> Are vascular access sites secure and functional? Are vasoactive infusions running on pumps with adequate supply? Is blood available for the transport if hemorrhage is ongoing? Are blood pressure and heart rate within acceptable parameters?</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Disability:</w:t>
      </w:r>
      <w:r>
        <w:rPr>
          <w:rFonts w:ascii="Arial" w:cs="Arial" w:eastAsia="Arial" w:hAnsi="Arial"/>
          <w:sz w:val="22"/>
          <w:szCs w:val="22"/>
        </w:rPr>
        <w:t xml:space="preserve"> Is the neurologic status documented (GCS, pupil exam)? Are seizures controlled? Is ICP management ongoing if indicated?</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Exposure/Environment:</w:t>
      </w:r>
      <w:r>
        <w:rPr>
          <w:rFonts w:ascii="Arial" w:cs="Arial" w:eastAsia="Arial" w:hAnsi="Arial"/>
          <w:sz w:val="22"/>
          <w:szCs w:val="22"/>
        </w:rPr>
        <w:t xml:space="preserve"> Is the patient normothermic? Is temperature monitoring available? Are dressings, splints, and drains secure?</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Fluids and Medications:</w:t>
      </w:r>
      <w:r>
        <w:rPr>
          <w:rFonts w:ascii="Arial" w:cs="Arial" w:eastAsia="Arial" w:hAnsi="Arial"/>
          <w:sz w:val="22"/>
          <w:szCs w:val="22"/>
        </w:rPr>
        <w:t xml:space="preserve"> Are maintenance fluids running at the correct rate? Is glucose being monitored? Are all anticipated medications drawn up and labeled for in-transit administration?</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Foley:</w:t>
      </w:r>
      <w:r>
        <w:rPr>
          <w:rFonts w:ascii="Arial" w:cs="Arial" w:eastAsia="Arial" w:hAnsi="Arial"/>
          <w:sz w:val="22"/>
          <w:szCs w:val="22"/>
        </w:rPr>
        <w:t xml:space="preserve"> Is urine output being monitored? Is the catheter secured and draining?</w:t>
      </w:r>
    </w:p>
    <w:p>
      <w:pPr>
        <w:pStyle w:val="ListParagraph"/>
        <w:numPr>
          <w:ilvl w:val="0"/>
          <w:numId w:val="2"/>
        </w:numPr>
        <w:spacing w:after="80" w:line="276"/>
      </w:pPr>
      <w:r>
        <w:rPr>
          <w:rFonts w:ascii="Arial" w:cs="Arial" w:eastAsia="Arial" w:hAnsi="Arial"/>
          <w:sz w:val="22"/>
          <w:szCs w:val="22"/>
        </w:rPr>
        <w:t xml:space="preserve"/>
      </w:r>
      <w:r>
        <w:rPr>
          <w:rFonts w:ascii="Arial" w:cs="Arial" w:eastAsia="Arial" w:hAnsi="Arial"/>
          <w:b/>
          <w:bCs/>
          <w:sz w:val="22"/>
          <w:szCs w:val="22"/>
        </w:rPr>
        <w:t xml:space="preserve">Family:</w:t>
      </w:r>
      <w:r>
        <w:rPr>
          <w:rFonts w:ascii="Arial" w:cs="Arial" w:eastAsia="Arial" w:hAnsi="Arial"/>
          <w:sz w:val="22"/>
          <w:szCs w:val="22"/>
        </w:rPr>
        <w:t xml:space="preserve"> Has the family been informed of the transfer plan, destination, and transport modality? Has consent been obtained? Has the family been given directions and contact information for the receiving facility?</w:t>
      </w:r>
    </w:p>
    <w:p>
      <w:pPr>
        <w:pStyle w:val="Heading3"/>
        <w:spacing w:after="120" w:before="240"/>
      </w:pPr>
      <w:r>
        <w:rPr>
          <w:b/>
          <w:bCs/>
        </w:rPr>
        <w:t xml:space="preserve">13.3 Anticipating In-Transit Deterioration</w:t>
      </w:r>
    </w:p>
    <w:p>
      <w:pPr>
        <w:spacing w:after="160" w:line="276"/>
      </w:pPr>
      <w:r>
        <w:rPr>
          <w:rFonts w:ascii="Arial" w:cs="Arial" w:eastAsia="Arial" w:hAnsi="Arial"/>
          <w:sz w:val="22"/>
          <w:szCs w:val="22"/>
        </w:rPr>
        <w:t xml:space="preserve">Every critically ill child has the potential for deterioration during transport. The referring team must anticipate and prepare for the most likely complications based on the underlying condition. For the intubated child: accidental extubation (secure the tube with commercial tube holder AND tape; have appropriate-sized backup equipment immediately accessible), mucous plugging (pre-transport suctioning; in-transit saline instillation and suctioning capability), and pneumothorax (particularly with positive-pressure ventilation in trauma or ARDS patients). For the hemodynamically unstable child: ongoing fluid and blood product needs, vasoactive medication infusion problems (air in line, infiltration, pump malfunction), and arrhythmia. For the neurologically compromised child: seizure recurrence (pre-drawn midazolam), ICP crisis (pre-drawn hypertonic saline or mannitol), and loss of airway protective reflexes.</w:t>
      </w:r>
    </w:p>
    <w:p>
      <w:pPr>
        <w:pStyle w:val="Heading3"/>
        <w:spacing w:after="120" w:before="240"/>
      </w:pPr>
      <w:r>
        <w:rPr>
          <w:b/>
          <w:bCs/>
        </w:rPr>
        <w:t xml:space="preserve">13.4 Telemedicine as a Force Multiplier</w:t>
      </w:r>
    </w:p>
    <w:p>
      <w:pPr>
        <w:spacing w:after="160" w:line="276"/>
      </w:pPr>
      <w:r>
        <w:rPr>
          <w:rFonts w:ascii="Arial" w:cs="Arial" w:eastAsia="Arial" w:hAnsi="Arial"/>
          <w:sz w:val="22"/>
          <w:szCs w:val="22"/>
        </w:rPr>
        <w:t xml:space="preserve">Telemedicine consultation is an invaluable resource for rural facilities managing critically ill children. Pediatric critical care telemedicine programs provide real-time expert guidance on resuscitation management, ventilator settings, medication dosing, procedural support, and disposition decisions. The most effective telemedicine interactions occur when the rural team has already initiated resuscitation, has specific questions or decision points requiring expert input, and can provide real-time vital signs, laboratory data, and video of the patient. Telemedicine does not replace the need for self-sufficient clinical decision support tools (connectivity may fail during critical moments), but it significantly enhances the quality of care when available.</w:t>
      </w:r>
    </w:p>
    <w:p>
      <w:r>
        <w:br w:type="page"/>
      </w:r>
    </w:p>
    <w:p>
      <w:pPr>
        <w:pStyle w:val="Heading2"/>
        <w:spacing w:after="120" w:before="240"/>
      </w:pPr>
      <w:r>
        <w:rPr>
          <w:b/>
          <w:bCs/>
        </w:rPr>
        <w:t xml:space="preserve">Chapter 14: Quality, Readiness, and Ongoing Preparedness</w:t>
      </w:r>
    </w:p>
    <w:p>
      <w:pPr>
        <w:pStyle w:val="Heading3"/>
        <w:spacing w:after="120" w:before="240"/>
      </w:pPr>
      <w:r>
        <w:rPr>
          <w:b/>
          <w:bCs/>
        </w:rPr>
        <w:t xml:space="preserve">14.1 Simulation-Based Training</w:t>
      </w:r>
    </w:p>
    <w:p>
      <w:pPr>
        <w:spacing w:after="160" w:line="276"/>
      </w:pPr>
      <w:r>
        <w:rPr>
          <w:rFonts w:ascii="Arial" w:cs="Arial" w:eastAsia="Arial" w:hAnsi="Arial"/>
          <w:sz w:val="22"/>
          <w:szCs w:val="22"/>
        </w:rPr>
        <w:t xml:space="preserve">Given the low frequency of high-acuity pediatric emergencies in rural settings, simulation-based training is the most important strategy for maintaining readiness. Quarterly simulation exercises should cover the most critical pediatric scenarios: pediatric cardiac arrest, pediatric septic shock, neonatal resuscitation, pediatric trauma with hemorrhagic shock, status epilepticus, severe respiratory failure requiring intubation, and anaphylaxis. Simulations should use the actual equipment, medications, and protocols that the team would use in a real emergency, and should be conducted in the actual resuscitation space to identify environmental and systems barriers.</w:t>
      </w:r>
    </w:p>
    <w:p>
      <w:pPr>
        <w:spacing w:after="160" w:line="276"/>
      </w:pPr>
      <w:r>
        <w:rPr>
          <w:rFonts w:ascii="Arial" w:cs="Arial" w:eastAsia="Arial" w:hAnsi="Arial"/>
          <w:sz w:val="22"/>
          <w:szCs w:val="22"/>
        </w:rPr>
        <w:t xml:space="preserve">Debriefing after each simulation is essential and should address both technical performance (was the correct dose calculated, was the airway secured in a timely manner) and teamwork performance (communication, role clarity, situational awareness, workload distribution). The Promoting Excellence and Reflective Learning in Simulation (PEARLS) debriefing framework provides a structured approach that combines learner self-assessment with directive feedback.</w:t>
      </w:r>
    </w:p>
    <w:p>
      <w:pPr>
        <w:pStyle w:val="Heading3"/>
        <w:spacing w:after="120" w:before="240"/>
      </w:pPr>
      <w:r>
        <w:rPr>
          <w:b/>
          <w:bCs/>
        </w:rPr>
        <w:t xml:space="preserve">14.2 Equipment and Medication Readiness</w:t>
      </w:r>
    </w:p>
    <w:p>
      <w:pPr>
        <w:spacing w:after="160" w:line="276"/>
      </w:pPr>
      <w:r>
        <w:rPr>
          <w:rFonts w:ascii="Arial" w:cs="Arial" w:eastAsia="Arial" w:hAnsi="Arial"/>
          <w:sz w:val="22"/>
          <w:szCs w:val="22"/>
        </w:rPr>
        <w:t xml:space="preserve">A dedicated pediatric resuscitation area or cart must be maintained with regular checks. The EDAP (Emergency Department Approved for Pediatrics) guidelines from the ENA/AAP/ACEP Joint Policy Statement provide a comprehensive list of required equipment. At minimum, the following must be immediately available and size-appropriate from neonate through adolescent: BVM with masks in all sizes, oral and nasal airways in all sizes, laryngoscope with functioning bulbs and blades (Miller 0, 1, 2; Macintosh 2, 3, 4), ETTs (cuffed 2.5–8.0), LMAs (sizes 1–5), IO needles (15 mm and 25 mm), chest tubes or pigtail kits, length-based resuscitation tape, and a functioning defibrillator with pediatric pads and paddles.</w:t>
      </w:r>
    </w:p>
    <w:p>
      <w:pPr>
        <w:spacing w:after="160" w:line="276"/>
      </w:pPr>
      <w:r>
        <w:rPr>
          <w:rFonts w:ascii="Arial" w:cs="Arial" w:eastAsia="Arial" w:hAnsi="Arial"/>
          <w:sz w:val="22"/>
          <w:szCs w:val="22"/>
        </w:rPr>
        <w:t xml:space="preserve">Medication readiness includes pre-drawn or rapidly accessible doses of epinephrine, atropine, adenosine, dextrose, midazolam, ketamine, rocuronium, and ceftriaxone. Where pre-drawn medications are not practical, color-coded dosing reference cards matched to the length-based tape provide a rapid dosing reference. All medications should be checked monthly for expiration and replaced proactively.</w:t>
      </w:r>
    </w:p>
    <w:p>
      <w:pPr>
        <w:pStyle w:val="Heading3"/>
        <w:spacing w:after="120" w:before="240"/>
      </w:pPr>
      <w:r>
        <w:rPr>
          <w:b/>
          <w:bCs/>
        </w:rPr>
        <w:t xml:space="preserve">14.3 Clinical Decision Support Tools Implementation</w:t>
      </w:r>
    </w:p>
    <w:p>
      <w:pPr>
        <w:spacing w:after="160" w:line="276"/>
      </w:pPr>
      <w:r>
        <w:rPr>
          <w:rFonts w:ascii="Arial" w:cs="Arial" w:eastAsia="Arial" w:hAnsi="Arial"/>
          <w:sz w:val="22"/>
          <w:szCs w:val="22"/>
        </w:rPr>
        <w:t xml:space="preserve">The protocols and guidelines in this document should be adapted to the specific resources, capabilities, and transport arrangements of each individual facility. Implementation requires several key steps: a multidisciplinary review committee (physicians, advanced practice providers, nursing, pharmacy, respiratory therapy, EMS) to adapt protocols to local context; integration of decision support tools into the physical resuscitation environment (wall-mounted reference posters, tabletop reference cards, laminated pocket guides, or electronic decision support integrated into the EHR); regular review and updating of protocols based on new evidence, simulation feedback, and post-event quality review; and establishment of a formal relationship with the regional pediatric critical care center for ongoing education, quality review, and real-time consultation support.</w:t>
      </w:r>
    </w:p>
    <w:p>
      <w:pPr>
        <w:pStyle w:val="Heading3"/>
        <w:spacing w:after="120" w:before="240"/>
      </w:pPr>
      <w:r>
        <w:rPr>
          <w:b/>
          <w:bCs/>
        </w:rPr>
        <w:t xml:space="preserve">14.4 Post-Event Review and Continuous Improvement</w:t>
      </w:r>
    </w:p>
    <w:p>
      <w:pPr>
        <w:spacing w:after="160" w:line="276"/>
      </w:pPr>
      <w:r>
        <w:rPr>
          <w:rFonts w:ascii="Arial" w:cs="Arial" w:eastAsia="Arial" w:hAnsi="Arial"/>
          <w:sz w:val="22"/>
          <w:szCs w:val="22"/>
        </w:rPr>
        <w:t xml:space="preserve">Every pediatric critical care event should be followed by a structured post-event review within 72 hours. The review should address recognition and activation (was the team activated promptly, were warning signs identified early), resuscitation quality (were protocols followed, were medications dosed correctly, was the airway secured appropriately), systems performance (was equipment available and functioning, did communication systems work, was the transfer process efficient), and emotional well-being (was psychological support offered to the team, were staff stress reactions recognized and addressed). The goal of the review is not blame but system improvement. Findings should be translated into specific action items with assigned responsibility and follow-up timelines.</w:t>
      </w:r>
    </w:p>
    <w:p>
      <w:r>
        <w:br w:type="page"/>
      </w:r>
    </w:p>
    <w:p>
      <w:pPr>
        <w:pStyle w:val="Heading1"/>
        <w:spacing w:after="120" w:before="360"/>
      </w:pPr>
      <w:r>
        <w:rPr>
          <w:b/>
          <w:bCs/>
        </w:rPr>
        <w:t xml:space="preserve">APPENDICES</w:t>
      </w:r>
    </w:p>
    <w:p>
      <w:pPr>
        <w:pStyle w:val="Heading2"/>
        <w:spacing w:after="120" w:before="240"/>
      </w:pPr>
      <w:r>
        <w:rPr>
          <w:b/>
          <w:bCs/>
        </w:rPr>
        <w:t xml:space="preserve">Appendix A: Age-Specific Vital Signs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200"/>
      </w:tblGrid>
      <w:tr>
        <w:trPr>
          <w:tblHeader/>
        </w:trPr>
        <w:tc>
          <w:tcPr>
            <w:tcW w:type="dxa" w:w="156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Age</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HR (bpm)</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RR (/min)</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SBP (mmHg)</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DBP (mmHg)</w:t>
            </w:r>
          </w:p>
        </w:tc>
        <w:tc>
          <w:tcPr>
            <w:tcW w:type="dxa" w:w="13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Weight (kg)</w:t>
            </w:r>
          </w:p>
        </w:tc>
        <w:tc>
          <w:tcPr>
            <w:tcW w:type="dxa" w:w="120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UOP (mL/kg/hr)</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Premature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120–180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Term neonate</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100–180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30–60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60–80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30–50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2.5–4</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≥1–2</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1–12 months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100–160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24‐40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70–100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40–70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1–3 years</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90–150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22–30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80–110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50–80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10–15</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 years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80–140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20–26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85–115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50–80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15–20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156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6–12 years</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70–120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16–22</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90–130</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55–85</w:t>
            </w:r>
          </w:p>
        </w:tc>
        <w:tc>
          <w:tcPr>
            <w:tcW w:type="dxa" w:w="13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20–40</w:t>
            </w:r>
          </w:p>
        </w:tc>
        <w:tc>
          <w:tcPr>
            <w:tcW w:type="dxa" w:w="120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≥0.5–1</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13–18 years</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55–110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12–20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100–140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60–90</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40–70+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≥0.5</w:t>
            </w:r>
          </w:p>
        </w:tc>
      </w:tr>
    </w:tbl>
    <w:p>
      <w:pPr>
        <w:spacing w:after="80"/>
      </w:pPr>
    </w:p>
    <w:p>
      <w:pPr>
        <w:pStyle w:val="Heading2"/>
        <w:spacing w:after="120" w:before="240"/>
      </w:pPr>
      <w:r>
        <w:rPr>
          <w:b/>
          <w:bCs/>
        </w:rPr>
        <w:t xml:space="preserve">Appendix B: Glasgow Coma Scale — Pediatric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Response</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Score</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Adult/Child (&gt;2 yr)</w:t>
            </w:r>
          </w:p>
        </w:tc>
        <w:tc>
          <w:tcPr>
            <w:tcW w:type="dxa" w:w="2340"/>
            <w:tcBorders>
              <w:top w:val="single" w:color="999999" w:sz="1"/>
              <w:left w:val="single" w:color="999999" w:sz="1"/>
              <w:bottom w:val="single" w:color="999999" w:sz="1"/>
              <w:right w:val="single" w:color="999999"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Infant (&lt;2 yr)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Eye Opening</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Spontaneous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Spontaneous</w:t>
            </w:r>
          </w:p>
        </w:tc>
      </w:tr>
      <w:tr>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To voice</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To voice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 pain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To pain</w:t>
            </w:r>
          </w:p>
        </w:tc>
      </w:tr>
      <w:tr>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1</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None</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None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Verbal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Oriented/appropriate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Coos/babbles, age-appropriate</w:t>
            </w:r>
          </w:p>
        </w:tc>
      </w:tr>
      <w:tr>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4</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Confused</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Irritable, inconsolable cry</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Inappropriate words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Cries to pain</w:t>
            </w:r>
          </w:p>
        </w:tc>
      </w:tr>
      <w:tr>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Incomprehensible sounds</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Moans to pain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r>
      <w:tr>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Motor</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6</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Obeys commands</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Normal spontaneous movement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Localizes pain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Withdraws to touch</w:t>
            </w:r>
          </w:p>
        </w:tc>
      </w:tr>
      <w:tr>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4</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Withdraws from pain</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Withdraws from pain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Abnormal flexion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Abnormal flexion</w:t>
            </w:r>
          </w:p>
        </w:tc>
      </w:tr>
      <w:tr>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2</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Extension</w:t>
            </w:r>
          </w:p>
        </w:tc>
        <w:tc>
          <w:tcPr>
            <w:tcW w:type="dxa" w:w="2340"/>
            <w:tcBorders>
              <w:top w:val="single" w:color="999999" w:sz="1"/>
              <w:left w:val="single" w:color="999999" w:sz="1"/>
              <w:bottom w:val="single" w:color="999999" w:sz="1"/>
              <w:right w:val="single" w:color="999999" w:sz="1"/>
            </w:tcBorders>
            <w:shd w:fill="EDF3F8" w:val="clear"/>
            <w:tcMar>
              <w:top w:type="dxa" w:w="60"/>
              <w:left w:type="dxa" w:w="100"/>
              <w:bottom w:type="dxa" w:w="60"/>
              <w:right w:type="dxa" w:w="100"/>
            </w:tcMar>
          </w:tcPr>
          <w:p>
            <w:r>
              <w:rPr>
                <w:rFonts w:ascii="Arial" w:cs="Arial" w:eastAsia="Arial" w:hAnsi="Arial"/>
                <w:sz w:val="20"/>
                <w:szCs w:val="20"/>
              </w:rPr>
              <w:t xml:space="preserve">Extension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None</w:t>
            </w:r>
          </w:p>
        </w:tc>
      </w:tr>
    </w:tbl>
    <w:p>
      <w:pPr>
        <w:spacing w:after="80"/>
      </w:pPr>
    </w:p>
    <w:p>
      <w:pPr>
        <w:pStyle w:val="Heading2"/>
        <w:spacing w:after="120" w:before="240"/>
      </w:pPr>
      <w:r>
        <w:rPr>
          <w:b/>
          <w:bCs/>
        </w:rPr>
        <w:t xml:space="preserve">Appendix C: Rapid Sequence Intubation Checklist</w:t>
      </w:r>
    </w:p>
    <w:p>
      <w:pPr>
        <w:pStyle w:val="ListParagraph"/>
        <w:numPr>
          <w:ilvl w:val="0"/>
          <w:numId w:val="3"/>
        </w:numPr>
        <w:spacing w:after="80" w:line="276"/>
      </w:pPr>
      <w:r>
        <w:rPr>
          <w:rFonts w:ascii="Arial" w:cs="Arial" w:eastAsia="Arial" w:hAnsi="Arial"/>
          <w:sz w:val="22"/>
          <w:szCs w:val="22"/>
        </w:rPr>
        <w:t xml:space="preserve">Verify indication for intubation; alert team leader</w:t>
      </w:r>
    </w:p>
    <w:p>
      <w:pPr>
        <w:pStyle w:val="ListParagraph"/>
        <w:numPr>
          <w:ilvl w:val="0"/>
          <w:numId w:val="3"/>
        </w:numPr>
        <w:spacing w:after="80" w:line="276"/>
      </w:pPr>
      <w:r>
        <w:rPr>
          <w:rFonts w:ascii="Arial" w:cs="Arial" w:eastAsia="Arial" w:hAnsi="Arial"/>
          <w:sz w:val="22"/>
          <w:szCs w:val="22"/>
        </w:rPr>
        <w:t xml:space="preserve">Assign roles: airway operator, medication nurse, monitoring/documentation nurse, assistant</w:t>
      </w:r>
    </w:p>
    <w:p>
      <w:pPr>
        <w:pStyle w:val="ListParagraph"/>
        <w:numPr>
          <w:ilvl w:val="0"/>
          <w:numId w:val="3"/>
        </w:numPr>
        <w:spacing w:after="80" w:line="276"/>
      </w:pPr>
      <w:r>
        <w:rPr>
          <w:rFonts w:ascii="Arial" w:cs="Arial" w:eastAsia="Arial" w:hAnsi="Arial"/>
          <w:sz w:val="22"/>
          <w:szCs w:val="22"/>
        </w:rPr>
        <w:t xml:space="preserve">Estimate weight (Broselow tape or formula); select ETT size and confirm with team</w:t>
      </w:r>
    </w:p>
    <w:p>
      <w:pPr>
        <w:pStyle w:val="ListParagraph"/>
        <w:numPr>
          <w:ilvl w:val="0"/>
          <w:numId w:val="3"/>
        </w:numPr>
        <w:spacing w:after="80" w:line="276"/>
      </w:pPr>
      <w:r>
        <w:rPr>
          <w:rFonts w:ascii="Arial" w:cs="Arial" w:eastAsia="Arial" w:hAnsi="Arial"/>
          <w:sz w:val="22"/>
          <w:szCs w:val="22"/>
        </w:rPr>
        <w:t xml:space="preserve">Assemble SOAP-ME: Suction (Yankauer + flexible catheter), Oxygen (BVM + mask, set flow to 15 L/min), Airway equipment (laryngoscope blade + handle tested, ETT + stylet, one size above and below, LMA backup), Pharmacology (induction + paralytic drawn, labeled, dose verified by second person), Monitoring/Equipment (SpO2, ETCO2, cardiac monitor, BP cuff)</w:t>
      </w:r>
    </w:p>
    <w:p>
      <w:pPr>
        <w:pStyle w:val="ListParagraph"/>
        <w:numPr>
          <w:ilvl w:val="0"/>
          <w:numId w:val="3"/>
        </w:numPr>
        <w:spacing w:after="80" w:line="276"/>
      </w:pPr>
      <w:r>
        <w:rPr>
          <w:rFonts w:ascii="Arial" w:cs="Arial" w:eastAsia="Arial" w:hAnsi="Arial"/>
          <w:sz w:val="22"/>
          <w:szCs w:val="22"/>
        </w:rPr>
        <w:t xml:space="preserve">Position patient: sniffing position (shoulder roll for infants, head elevation for older children)</w:t>
      </w:r>
    </w:p>
    <w:p>
      <w:pPr>
        <w:pStyle w:val="ListParagraph"/>
        <w:numPr>
          <w:ilvl w:val="0"/>
          <w:numId w:val="3"/>
        </w:numPr>
        <w:spacing w:after="80" w:line="276"/>
      </w:pPr>
      <w:r>
        <w:rPr>
          <w:rFonts w:ascii="Arial" w:cs="Arial" w:eastAsia="Arial" w:hAnsi="Arial"/>
          <w:sz w:val="22"/>
          <w:szCs w:val="22"/>
        </w:rPr>
        <w:t xml:space="preserve">Preoxygenate for 3–5 minutes with 100% FiO2 via NRB or BVM (avoid positive-pressure ventilation if possible to reduce gastric distension and aspiration risk)</w:t>
      </w:r>
    </w:p>
    <w:p>
      <w:pPr>
        <w:pStyle w:val="ListParagraph"/>
        <w:numPr>
          <w:ilvl w:val="0"/>
          <w:numId w:val="3"/>
        </w:numPr>
        <w:spacing w:after="80" w:line="276"/>
      </w:pPr>
      <w:r>
        <w:rPr>
          <w:rFonts w:ascii="Arial" w:cs="Arial" w:eastAsia="Arial" w:hAnsi="Arial"/>
          <w:sz w:val="22"/>
          <w:szCs w:val="22"/>
        </w:rPr>
        <w:t xml:space="preserve">Administer induction agent: Ketamine 1–2 mg/kg IV (preferred in most pediatric emergencies)</w:t>
      </w:r>
    </w:p>
    <w:p>
      <w:pPr>
        <w:pStyle w:val="ListParagraph"/>
        <w:numPr>
          <w:ilvl w:val="0"/>
          <w:numId w:val="3"/>
        </w:numPr>
        <w:spacing w:after="80" w:line="276"/>
      </w:pPr>
      <w:r>
        <w:rPr>
          <w:rFonts w:ascii="Arial" w:cs="Arial" w:eastAsia="Arial" w:hAnsi="Arial"/>
          <w:sz w:val="22"/>
          <w:szCs w:val="22"/>
        </w:rPr>
        <w:t xml:space="preserve">Administer paralytic: Rocuronium 1 mg/kg IV (onset 45–60 seconds)</w:t>
      </w:r>
    </w:p>
    <w:p>
      <w:pPr>
        <w:pStyle w:val="ListParagraph"/>
        <w:numPr>
          <w:ilvl w:val="0"/>
          <w:numId w:val="3"/>
        </w:numPr>
        <w:spacing w:after="80" w:line="276"/>
      </w:pPr>
      <w:r>
        <w:rPr>
          <w:rFonts w:ascii="Arial" w:cs="Arial" w:eastAsia="Arial" w:hAnsi="Arial"/>
          <w:sz w:val="22"/>
          <w:szCs w:val="22"/>
        </w:rPr>
        <w:t xml:space="preserve">Apply cricoid pressure (Sellick maneuver) if assistant available — controversial but commonly practiced</w:t>
      </w:r>
    </w:p>
    <w:p>
      <w:pPr>
        <w:pStyle w:val="ListParagraph"/>
        <w:numPr>
          <w:ilvl w:val="0"/>
          <w:numId w:val="3"/>
        </w:numPr>
        <w:spacing w:after="80" w:line="276"/>
      </w:pPr>
      <w:r>
        <w:rPr>
          <w:rFonts w:ascii="Arial" w:cs="Arial" w:eastAsia="Arial" w:hAnsi="Arial"/>
          <w:sz w:val="22"/>
          <w:szCs w:val="22"/>
        </w:rPr>
        <w:t xml:space="preserve">Perform laryngoscopy and intubation; visualize vocal cords; pass ETT to appropriate depth</w:t>
      </w:r>
    </w:p>
    <w:p>
      <w:pPr>
        <w:pStyle w:val="ListParagraph"/>
        <w:numPr>
          <w:ilvl w:val="0"/>
          <w:numId w:val="3"/>
        </w:numPr>
        <w:spacing w:after="80" w:line="276"/>
      </w:pPr>
      <w:r>
        <w:rPr>
          <w:rFonts w:ascii="Arial" w:cs="Arial" w:eastAsia="Arial" w:hAnsi="Arial"/>
          <w:sz w:val="22"/>
          <w:szCs w:val="22"/>
        </w:rPr>
        <w:t xml:space="preserve">Confirm placement: ETCO2 (gold standard), bilateral breath sounds, chest rise, absence of epigastric sounds, SpO2 trending</w:t>
      </w:r>
    </w:p>
    <w:p>
      <w:pPr>
        <w:pStyle w:val="ListParagraph"/>
        <w:numPr>
          <w:ilvl w:val="0"/>
          <w:numId w:val="3"/>
        </w:numPr>
        <w:spacing w:after="80" w:line="276"/>
      </w:pPr>
      <w:r>
        <w:rPr>
          <w:rFonts w:ascii="Arial" w:cs="Arial" w:eastAsia="Arial" w:hAnsi="Arial"/>
          <w:sz w:val="22"/>
          <w:szCs w:val="22"/>
        </w:rPr>
        <w:t xml:space="preserve">Secure tube (commercial holder + tape); note depth at lip; obtain chest radiograph</w:t>
      </w:r>
    </w:p>
    <w:p>
      <w:pPr>
        <w:pStyle w:val="ListParagraph"/>
        <w:numPr>
          <w:ilvl w:val="0"/>
          <w:numId w:val="3"/>
        </w:numPr>
        <w:spacing w:after="80" w:line="276"/>
      </w:pPr>
      <w:r>
        <w:rPr>
          <w:rFonts w:ascii="Arial" w:cs="Arial" w:eastAsia="Arial" w:hAnsi="Arial"/>
          <w:sz w:val="22"/>
          <w:szCs w:val="22"/>
        </w:rPr>
        <w:t xml:space="preserve">Initiate post-intubation sedation and ventilator management; set initial ventilator parameters</w:t>
      </w:r>
    </w:p>
    <w:p>
      <w:pPr>
        <w:spacing w:after="80"/>
      </w:pPr>
    </w:p>
    <w:p>
      <w:pPr>
        <w:pStyle w:val="Heading2"/>
        <w:spacing w:after="120" w:before="240"/>
      </w:pPr>
      <w:r>
        <w:rPr>
          <w:b/>
          <w:bCs/>
        </w:rPr>
        <w:t xml:space="preserve">Appendix D: Pediatric Sepsis First-Hour Checklist</w:t>
      </w:r>
    </w:p>
    <w:p>
      <w:pPr>
        <w:pStyle w:val="ListParagraph"/>
        <w:numPr>
          <w:ilvl w:val="0"/>
          <w:numId w:val="3"/>
        </w:numPr>
        <w:spacing w:after="80" w:line="276"/>
      </w:pPr>
      <w:r>
        <w:rPr>
          <w:rFonts w:ascii="Arial" w:cs="Arial" w:eastAsia="Arial" w:hAnsi="Arial"/>
          <w:sz w:val="22"/>
          <w:szCs w:val="22"/>
        </w:rPr>
        <w:t xml:space="preserve">TIME ZERO: Recognize suspected sepsis (infection + organ dysfunction)</w:t>
      </w:r>
    </w:p>
    <w:p>
      <w:pPr>
        <w:pStyle w:val="ListParagraph"/>
        <w:numPr>
          <w:ilvl w:val="0"/>
          <w:numId w:val="3"/>
        </w:numPr>
        <w:spacing w:after="80" w:line="276"/>
      </w:pPr>
      <w:r>
        <w:rPr>
          <w:rFonts w:ascii="Arial" w:cs="Arial" w:eastAsia="Arial" w:hAnsi="Arial"/>
          <w:sz w:val="22"/>
          <w:szCs w:val="22"/>
        </w:rPr>
        <w:t xml:space="preserve">Draw blood culture (do NOT delay antibiotics for culture)</w:t>
      </w:r>
    </w:p>
    <w:p>
      <w:pPr>
        <w:pStyle w:val="ListParagraph"/>
        <w:numPr>
          <w:ilvl w:val="0"/>
          <w:numId w:val="3"/>
        </w:numPr>
        <w:spacing w:after="80" w:line="276"/>
      </w:pPr>
      <w:r>
        <w:rPr>
          <w:rFonts w:ascii="Arial" w:cs="Arial" w:eastAsia="Arial" w:hAnsi="Arial"/>
          <w:sz w:val="22"/>
          <w:szCs w:val="22"/>
        </w:rPr>
        <w:t xml:space="preserve">Administer IV/IO broad-spectrum antibiotics within 60 minutes (goal: 30 minutes)</w:t>
      </w:r>
    </w:p>
    <w:p>
      <w:pPr>
        <w:pStyle w:val="ListParagraph"/>
        <w:numPr>
          <w:ilvl w:val="0"/>
          <w:numId w:val="3"/>
        </w:numPr>
        <w:spacing w:after="80" w:line="276"/>
      </w:pPr>
      <w:r>
        <w:rPr>
          <w:rFonts w:ascii="Arial" w:cs="Arial" w:eastAsia="Arial" w:hAnsi="Arial"/>
          <w:sz w:val="22"/>
          <w:szCs w:val="22"/>
        </w:rPr>
        <w:t xml:space="preserve">Check point-of-care glucose and lactate; correct hypoglycemia</w:t>
      </w:r>
    </w:p>
    <w:p>
      <w:pPr>
        <w:pStyle w:val="ListParagraph"/>
        <w:numPr>
          <w:ilvl w:val="0"/>
          <w:numId w:val="3"/>
        </w:numPr>
        <w:spacing w:after="80" w:line="276"/>
      </w:pPr>
      <w:r>
        <w:rPr>
          <w:rFonts w:ascii="Arial" w:cs="Arial" w:eastAsia="Arial" w:hAnsi="Arial"/>
          <w:sz w:val="22"/>
          <w:szCs w:val="22"/>
        </w:rPr>
        <w:t xml:space="preserve">Administer 10–20 mL/kg NS or LR bolus over 5–10 minutes; reassess after each bolus</w:t>
      </w:r>
    </w:p>
    <w:p>
      <w:pPr>
        <w:pStyle w:val="ListParagraph"/>
        <w:numPr>
          <w:ilvl w:val="0"/>
          <w:numId w:val="3"/>
        </w:numPr>
        <w:spacing w:after="80" w:line="276"/>
      </w:pPr>
      <w:r>
        <w:rPr>
          <w:rFonts w:ascii="Arial" w:cs="Arial" w:eastAsia="Arial" w:hAnsi="Arial"/>
          <w:sz w:val="22"/>
          <w:szCs w:val="22"/>
        </w:rPr>
        <w:t xml:space="preserve">Repeat fluid boluses up to 40–60 mL/kg if shock persists without fluid overload signs</w:t>
      </w:r>
    </w:p>
    <w:p>
      <w:pPr>
        <w:pStyle w:val="ListParagraph"/>
        <w:numPr>
          <w:ilvl w:val="0"/>
          <w:numId w:val="3"/>
        </w:numPr>
        <w:spacing w:after="80" w:line="276"/>
      </w:pPr>
      <w:r>
        <w:rPr>
          <w:rFonts w:ascii="Arial" w:cs="Arial" w:eastAsia="Arial" w:hAnsi="Arial"/>
          <w:sz w:val="22"/>
          <w:szCs w:val="22"/>
        </w:rPr>
        <w:t xml:space="preserve">If fluid-refractory shock (persistent hypotension or poor perfusion after 40–60 mL/kg): start vasoactive infusion</w:t>
      </w:r>
    </w:p>
    <w:p>
      <w:pPr>
        <w:pStyle w:val="ListParagraph"/>
        <w:numPr>
          <w:ilvl w:val="0"/>
          <w:numId w:val="3"/>
        </w:numPr>
        <w:spacing w:after="80" w:line="276"/>
      </w:pPr>
      <w:r>
        <w:rPr>
          <w:rFonts w:ascii="Arial" w:cs="Arial" w:eastAsia="Arial" w:hAnsi="Arial"/>
          <w:sz w:val="22"/>
          <w:szCs w:val="22"/>
        </w:rPr>
        <w:t xml:space="preserve">Epinephrine 0.05–0.3 mcg/kg/min for COLD shock (vasoconstricted, cool, narrow pulse pressure)</w:t>
      </w:r>
    </w:p>
    <w:p>
      <w:pPr>
        <w:pStyle w:val="ListParagraph"/>
        <w:numPr>
          <w:ilvl w:val="0"/>
          <w:numId w:val="3"/>
        </w:numPr>
        <w:spacing w:after="80" w:line="276"/>
      </w:pPr>
      <w:r>
        <w:rPr>
          <w:rFonts w:ascii="Arial" w:cs="Arial" w:eastAsia="Arial" w:hAnsi="Arial"/>
          <w:sz w:val="22"/>
          <w:szCs w:val="22"/>
        </w:rPr>
        <w:t xml:space="preserve">Norepinephrine 0.05–2 mcg/kg/min for WARM shock (vasodilated, bounding, wide pulse pressure)</w:t>
      </w:r>
    </w:p>
    <w:p>
      <w:pPr>
        <w:pStyle w:val="ListParagraph"/>
        <w:numPr>
          <w:ilvl w:val="0"/>
          <w:numId w:val="3"/>
        </w:numPr>
        <w:spacing w:after="80" w:line="276"/>
      </w:pPr>
      <w:r>
        <w:rPr>
          <w:rFonts w:ascii="Arial" w:cs="Arial" w:eastAsia="Arial" w:hAnsi="Arial"/>
          <w:sz w:val="22"/>
          <w:szCs w:val="22"/>
        </w:rPr>
        <w:t xml:space="preserve">Place Foley catheter; monitor urine output (target &gt;1 mL/kg/hr)</w:t>
      </w:r>
    </w:p>
    <w:p>
      <w:pPr>
        <w:pStyle w:val="ListParagraph"/>
        <w:numPr>
          <w:ilvl w:val="0"/>
          <w:numId w:val="3"/>
        </w:numPr>
        <w:spacing w:after="80" w:line="276"/>
      </w:pPr>
      <w:r>
        <w:rPr>
          <w:rFonts w:ascii="Arial" w:cs="Arial" w:eastAsia="Arial" w:hAnsi="Arial"/>
          <w:sz w:val="22"/>
          <w:szCs w:val="22"/>
        </w:rPr>
        <w:t xml:space="preserve">Reassess vital signs every 5 minutes during active resuscitation</w:t>
      </w:r>
    </w:p>
    <w:p>
      <w:pPr>
        <w:pStyle w:val="ListParagraph"/>
        <w:numPr>
          <w:ilvl w:val="0"/>
          <w:numId w:val="3"/>
        </w:numPr>
        <w:spacing w:after="80" w:line="276"/>
      </w:pPr>
      <w:r>
        <w:rPr>
          <w:rFonts w:ascii="Arial" w:cs="Arial" w:eastAsia="Arial" w:hAnsi="Arial"/>
          <w:sz w:val="22"/>
          <w:szCs w:val="22"/>
        </w:rPr>
        <w:t xml:space="preserve">Consider stress-dose hydrocortisone 1–2 mg/kg IV if catecholamine-resistant shock</w:t>
      </w:r>
    </w:p>
    <w:p>
      <w:pPr>
        <w:pStyle w:val="ListParagraph"/>
        <w:numPr>
          <w:ilvl w:val="0"/>
          <w:numId w:val="3"/>
        </w:numPr>
        <w:spacing w:after="80" w:line="276"/>
      </w:pPr>
      <w:r>
        <w:rPr>
          <w:rFonts w:ascii="Arial" w:cs="Arial" w:eastAsia="Arial" w:hAnsi="Arial"/>
          <w:sz w:val="22"/>
          <w:szCs w:val="22"/>
        </w:rPr>
        <w:t xml:space="preserve">Repeat lactate at 2–4 hours; target lactate clearance &gt;10%</w:t>
      </w:r>
    </w:p>
    <w:p>
      <w:pPr>
        <w:pStyle w:val="ListParagraph"/>
        <w:numPr>
          <w:ilvl w:val="0"/>
          <w:numId w:val="3"/>
        </w:numPr>
        <w:spacing w:after="80" w:line="276"/>
      </w:pPr>
      <w:r>
        <w:rPr>
          <w:rFonts w:ascii="Arial" w:cs="Arial" w:eastAsia="Arial" w:hAnsi="Arial"/>
          <w:sz w:val="22"/>
          <w:szCs w:val="22"/>
        </w:rPr>
        <w:t xml:space="preserve">Activate transfer to PICU early; do not wait for full stabilization to begin coordination</w:t>
      </w:r>
    </w:p>
    <w:p>
      <w:pPr>
        <w:spacing w:after="80"/>
      </w:pPr>
    </w:p>
    <w:p>
      <w:pPr>
        <w:spacing w:after="160" w:line="276"/>
      </w:pPr>
      <w:r>
        <w:rPr>
          <w:rFonts w:ascii="Arial" w:cs="Arial" w:eastAsia="Arial" w:hAnsi="Arial"/>
          <w:i/>
          <w:iCs/>
          <w:color w:val="666666"/>
          <w:sz w:val="20"/>
          <w:szCs w:val="20"/>
        </w:rPr>
        <w:t xml:space="preserve">This document is intended as a clinical decision support reference for rural and remote healthcare facilities. It does not replace clinical judgment, institutional protocols, or real-time specialist consultation. All protocols should be adapted to local resources, reviewed regularly, and updated as new evidence emerges.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Clinical Decision Support — Pediatric Resuscitation in Rural Settings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375F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2026-03-02T20:01:17.401Z</dcterms:created>
  <dcterms:modified xsi:type="dcterms:W3CDTF">2026-03-02T20:01:17.402Z</dcterms:modified>
</cp:coreProperties>
</file>

<file path=docProps/custom.xml><?xml version="1.0" encoding="utf-8"?>
<Properties xmlns="http://schemas.openxmlformats.org/officeDocument/2006/custom-properties" xmlns:vt="http://schemas.openxmlformats.org/officeDocument/2006/docPropsVTypes"/>
</file>