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after="0" w:before="1440"/>
        <w:jc w:val="center"/>
      </w:pPr>
      <w:r>
        <w:rPr>
          <w:rFonts w:ascii="Arial" w:cs="Arial" w:eastAsia="Arial" w:hAnsi="Arial"/>
          <w:sz w:val="12"/>
          <w:szCs w:val="12"/>
        </w:rPr>
        <w:t xml:space="preserve"/>
      </w:r>
    </w:p>
    <w:p>
      <w:pPr>
        <w:shd w:fill="1F4E79" w:val="clear"/>
        <w:spacing w:after="0" w:before="0"/>
        <w:jc w:val="center"/>
      </w:pPr>
      <w:r>
        <w:rPr>
          <w:rFonts w:ascii="Arial" w:cs="Arial" w:eastAsia="Arial" w:hAnsi="Arial"/>
          <w:b/>
          <w:bCs/>
          <w:color w:val="FFFFFF"/>
          <w:sz w:val="52"/>
          <w:szCs w:val="52"/>
        </w:rPr>
        <w:t xml:space="preserve">Computational Methods in</w:t>
      </w:r>
    </w:p>
    <w:p>
      <w:pPr>
        <w:shd w:fill="1F4E79" w:val="clear"/>
        <w:spacing w:after="0" w:before="80"/>
        <w:jc w:val="center"/>
      </w:pPr>
      <w:r>
        <w:rPr>
          <w:rFonts w:ascii="Arial" w:cs="Arial" w:eastAsia="Arial" w:hAnsi="Arial"/>
          <w:b/>
          <w:bCs/>
          <w:color w:val="BDD7EE"/>
          <w:sz w:val="52"/>
          <w:szCs w:val="52"/>
        </w:rPr>
        <w:t xml:space="preserve">Pediatric &amp; Neonatal</w:t>
      </w:r>
    </w:p>
    <w:p>
      <w:pPr>
        <w:shd w:fill="1F4E79" w:val="clear"/>
        <w:spacing w:after="0" w:before="80"/>
        <w:jc w:val="center"/>
      </w:pPr>
      <w:r>
        <w:rPr>
          <w:rFonts w:ascii="Arial" w:cs="Arial" w:eastAsia="Arial" w:hAnsi="Arial"/>
          <w:b/>
          <w:bCs/>
          <w:color w:val="FFFFFF"/>
          <w:sz w:val="52"/>
          <w:szCs w:val="52"/>
        </w:rPr>
        <w:t xml:space="preserve">Respiratory Medicine</w:t>
      </w:r>
    </w:p>
    <w:p>
      <w:pPr>
        <w:shd w:fill="1F4E79" w:val="clear"/>
        <w:spacing w:after="0" w:before="200"/>
        <w:jc w:val="center"/>
      </w:pPr>
      <w:r>
        <w:rPr>
          <w:rFonts w:ascii="Arial" w:cs="Arial" w:eastAsia="Arial" w:hAnsi="Arial"/>
          <w:color w:val="BDD7EE"/>
          <w:sz w:val="20"/>
          <w:szCs w:val="20"/>
        </w:rPr>
        <w:t xml:space="preserve">─────────────────────────────────────────</w:t>
      </w:r>
    </w:p>
    <w:p>
      <w:pPr>
        <w:shd w:fill="1F4E79" w:val="clear"/>
        <w:spacing w:after="0" w:before="160"/>
        <w:jc w:val="center"/>
      </w:pPr>
      <w:r>
        <w:rPr>
          <w:rFonts w:ascii="Arial" w:cs="Arial" w:eastAsia="Arial" w:hAnsi="Arial"/>
          <w:color w:val="DEEAF1"/>
          <w:sz w:val="24"/>
          <w:szCs w:val="24"/>
        </w:rPr>
        <w:t xml:space="preserve">Respiratory Scoring Systems, Ventilator Monitoring Calculations,</w:t>
      </w:r>
    </w:p>
    <w:p>
      <w:pPr>
        <w:shd w:fill="1F4E79" w:val="clear"/>
        <w:spacing w:after="0" w:before="80"/>
        <w:jc w:val="center"/>
      </w:pPr>
      <w:r>
        <w:rPr>
          <w:rFonts w:ascii="Arial" w:cs="Arial" w:eastAsia="Arial" w:hAnsi="Arial"/>
          <w:color w:val="DEEAF1"/>
          <w:sz w:val="24"/>
          <w:szCs w:val="24"/>
        </w:rPr>
        <w:t xml:space="preserve">and Evidence-Based Clinical Decision Tools</w:t>
      </w:r>
    </w:p>
    <w:p>
      <w:pPr>
        <w:shd w:fill="1F4E79" w:val="clear"/>
        <w:spacing w:after="0" w:before="160"/>
        <w:jc w:val="center"/>
      </w:pPr>
      <w:r>
        <w:rPr>
          <w:rFonts w:ascii="Arial" w:cs="Arial" w:eastAsia="Arial" w:hAnsi="Arial"/>
          <w:color w:val="BDD7EE"/>
          <w:sz w:val="22"/>
          <w:szCs w:val="22"/>
        </w:rPr>
        <w:t xml:space="preserve">A 10-Year PubMed Evidence Synthesis (2014–2024)</w:t>
      </w:r>
    </w:p>
    <w:p>
      <w:pPr>
        <w:shd w:fill="1F4E79" w:val="clear"/>
        <w:spacing w:after="0" w:before="1440"/>
        <w:jc w:val="center"/>
      </w:pPr>
      <w:r>
        <w:rPr>
          <w:rFonts w:ascii="Arial" w:cs="Arial" w:eastAsia="Arial" w:hAnsi="Arial"/>
          <w:sz w:val="12"/>
          <w:szCs w:val="12"/>
        </w:rPr>
        <w:t xml:space="preserve"/>
      </w:r>
    </w:p>
    <w:p>
      <w:r>
        <w:br w:type="page"/>
      </w:r>
    </w:p>
    <w:p>
      <w:pPr>
        <w:pStyle w:val="Heading1"/>
        <w:pBdr>
          <w:bottom w:val="single" w:color="BDD7EE" w:sz="6" w:space="1"/>
        </w:pBdr>
        <w:shd w:fill="1F4E79" w:val="clear"/>
        <w:spacing w:after="200" w:before="360"/>
      </w:pPr>
      <w:r>
        <w:rPr>
          <w:rFonts w:ascii="Arial" w:cs="Arial" w:eastAsia="Arial" w:hAnsi="Arial"/>
          <w:b/>
          <w:bCs/>
          <w:color w:val="FFFFFF"/>
          <w:sz w:val="32"/>
          <w:szCs w:val="32"/>
        </w:rPr>
        <w:t xml:space="preserve">I. NEONATAL RESPIRATORY SCORING SYSTEMS</w:t>
      </w:r>
    </w:p>
    <w:p>
      <w:pPr>
        <w:pStyle w:val="Heading2"/>
        <w:pBdr>
          <w:bottom w:val="single" w:color="2E75B6" w:sz="4" w:space="1"/>
        </w:pBdr>
        <w:spacing w:after="140" w:before="280"/>
      </w:pPr>
      <w:r>
        <w:rPr>
          <w:rFonts w:ascii="Arial" w:cs="Arial" w:eastAsia="Arial" w:hAnsi="Arial"/>
          <w:b/>
          <w:bCs/>
          <w:color w:val="2E75B6"/>
          <w:sz w:val="26"/>
          <w:szCs w:val="26"/>
        </w:rPr>
        <w:t xml:space="preserve">1.1 Silverman-Andersen Retraction Score</w:t>
      </w:r>
    </w:p>
    <w:p>
      <w:pPr>
        <w:spacing w:after="120"/>
      </w:pPr>
      <w:r>
        <w:rPr>
          <w:rFonts w:ascii="Arial" w:cs="Arial" w:eastAsia="Arial" w:hAnsi="Arial"/>
          <w:b w:val="false"/>
          <w:bCs w:val="false"/>
          <w:color w:val="1A1A2E"/>
          <w:sz w:val="20"/>
          <w:szCs w:val="20"/>
        </w:rPr>
        <w:t xml:space="preserve">The Silverman-Andersen Retraction Score, introduced in 1956 and subsequently validated in neonatal RDS trials, remains among the most widely used bedside tools for quantifying the severity of respiratory distress in newborns. It evaluates five components of respiratory mechanics observed at the bedside, each scored 0–2, for a maximum total of 10. A score of 0 indicates no respiratory distress; scores of 1–3 indicate mild distress; 4–6 moderate distress; and 7–10 severe distress potentially requiring immediate escalation of respiratory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200"/>
        </w:tblCellMar>
      </w:tblPr>
      <w:tblGrid>
        <w:gridCol w:w="2340"/>
        <w:gridCol w:w="2340"/>
        <w:gridCol w:w="2340"/>
        <w:gridCol w:w="2340"/>
      </w:tblGrid>
      <w:tr>
        <w:trPr>
          <w:tblHeader/>
        </w:trPr>
        <w:tc>
          <w:tcPr>
            <w:tcW w:type="dxa" w:w="234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Component</w:t>
            </w:r>
          </w:p>
        </w:tc>
        <w:tc>
          <w:tcPr>
            <w:tcW w:type="dxa" w:w="234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Score 0</w:t>
            </w:r>
          </w:p>
        </w:tc>
        <w:tc>
          <w:tcPr>
            <w:tcW w:type="dxa" w:w="234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Score 1</w:t>
            </w:r>
          </w:p>
        </w:tc>
        <w:tc>
          <w:tcPr>
            <w:tcW w:type="dxa" w:w="234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Score 2</w:t>
            </w:r>
          </w:p>
        </w:tc>
      </w:tr>
      <w:tr>
        <w:tc>
          <w:tcPr>
            <w:tcW w:type="dxa" w:w="234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Upper Chest</w:t>
            </w:r>
          </w:p>
        </w:tc>
        <w:tc>
          <w:tcPr>
            <w:tcW w:type="dxa" w:w="234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No lag; synchronized chest-abdomen movement</w:t>
            </w:r>
          </w:p>
        </w:tc>
        <w:tc>
          <w:tcPr>
            <w:tcW w:type="dxa" w:w="234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Lag on inspiration</w:t>
            </w:r>
          </w:p>
        </w:tc>
        <w:tc>
          <w:tcPr>
            <w:tcW w:type="dxa" w:w="234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See-saw movement (chest retracts while abdomen protrudes)</w:t>
            </w:r>
          </w:p>
        </w:tc>
      </w:tr>
      <w:tr>
        <w:tc>
          <w:tcPr>
            <w:tcW w:type="dxa" w:w="234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Lower Chest</w:t>
            </w:r>
          </w:p>
        </w:tc>
        <w:tc>
          <w:tcPr>
            <w:tcW w:type="dxa" w:w="234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No intercostal retraction</w:t>
            </w:r>
          </w:p>
        </w:tc>
        <w:tc>
          <w:tcPr>
            <w:tcW w:type="dxa" w:w="234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Just visible retraction</w:t>
            </w:r>
          </w:p>
        </w:tc>
        <w:tc>
          <w:tcPr>
            <w:tcW w:type="dxa" w:w="234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Marked retraction</w:t>
            </w:r>
          </w:p>
        </w:tc>
      </w:tr>
      <w:tr>
        <w:tc>
          <w:tcPr>
            <w:tcW w:type="dxa" w:w="234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Xiphoid Retraction</w:t>
            </w:r>
          </w:p>
        </w:tc>
        <w:tc>
          <w:tcPr>
            <w:tcW w:type="dxa" w:w="234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None</w:t>
            </w:r>
          </w:p>
        </w:tc>
        <w:tc>
          <w:tcPr>
            <w:tcW w:type="dxa" w:w="234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Just visible</w:t>
            </w:r>
          </w:p>
        </w:tc>
        <w:tc>
          <w:tcPr>
            <w:tcW w:type="dxa" w:w="234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Marked, continuous</w:t>
            </w:r>
          </w:p>
        </w:tc>
      </w:tr>
      <w:tr>
        <w:tc>
          <w:tcPr>
            <w:tcW w:type="dxa" w:w="234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Nasal Flaring / Dilation</w:t>
            </w:r>
          </w:p>
        </w:tc>
        <w:tc>
          <w:tcPr>
            <w:tcW w:type="dxa" w:w="234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None</w:t>
            </w:r>
          </w:p>
        </w:tc>
        <w:tc>
          <w:tcPr>
            <w:tcW w:type="dxa" w:w="234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Minimal flaring</w:t>
            </w:r>
          </w:p>
        </w:tc>
        <w:tc>
          <w:tcPr>
            <w:tcW w:type="dxa" w:w="234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Marked flaring</w:t>
            </w:r>
          </w:p>
        </w:tc>
      </w:tr>
      <w:tr>
        <w:tc>
          <w:tcPr>
            <w:tcW w:type="dxa" w:w="234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Expiratory Grunt</w:t>
            </w:r>
          </w:p>
        </w:tc>
        <w:tc>
          <w:tcPr>
            <w:tcW w:type="dxa" w:w="234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None</w:t>
            </w:r>
          </w:p>
        </w:tc>
        <w:tc>
          <w:tcPr>
            <w:tcW w:type="dxa" w:w="234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Audible with stethoscope only</w:t>
            </w:r>
          </w:p>
        </w:tc>
        <w:tc>
          <w:tcPr>
            <w:tcW w:type="dxa" w:w="234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Audible without stethoscope</w:t>
            </w:r>
          </w:p>
        </w:tc>
      </w:tr>
    </w:tbl>
    <w:p>
      <w:pPr>
        <w:spacing w:after="120"/>
      </w:pPr>
      <w:r>
        <w:rPr>
          <w:rFonts w:ascii="Arial" w:cs="Arial" w:eastAsia="Arial" w:hAnsi="Arial"/>
          <w:b w:val="false"/>
          <w:bCs w:val="false"/>
          <w:color w:val="1A1A2E"/>
          <w:sz w:val="20"/>
          <w:szCs w:val="20"/>
        </w:rPr>
        <w:t xml:space="preserve">The Silverman-Andersen score correlates with arterial blood gas values: scores ≥6 are associated with PaO₂ &lt;50 mmHg on room air and PaCO₂ &gt;55 mmHg in the majority of term neonates studied in the original validation cohort. A 2019 systematic review (PMID: 31350765) confirmed that in 11 studies encompassing 3,187 neonates, the score predicted need for intubation with pooled sensitivity of 79% (95% CI 71–85%) and specificity of 84% (77–89%), AUC 0.88. The score's primary limitation is its subjectivity for the intermediate (score 1) categories, and its inability to account for specific etiology (transient tachypnea, RDS, pneumonia, meconium aspiration) or gestational age–specific baselines.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60"/>
        </w:tblCellMar>
      </w:tblPr>
      <w:tblGrid>
        <w:gridCol w:w="360"/>
        <w:gridCol w:w="9000"/>
      </w:tblGrid>
      <w:tr>
        <w:tc>
          <w:tcPr>
            <w:tcW w:type="dxa" w:w="360"/>
            <w:tcBorders>
              <w:top w:val="none" w:color="FFFFFF" w:sz="0"/>
              <w:left w:val="none" w:color="FFFFFF" w:sz="0"/>
              <w:bottom w:val="none" w:color="FFFFFF" w:sz="0"/>
              <w:right w:val="none" w:color="FFFFFF" w:sz="0"/>
            </w:tcBorders>
            <w:shd w:fill="2E75B6" w:val="clear"/>
            <w:tcMar>
              <w:top w:type="dxa" w:w="100"/>
              <w:left w:type="dxa" w:w="80"/>
              <w:bottom w:type="dxa" w:w="100"/>
              <w:right w:type="dxa" w:w="80"/>
            </w:tcMar>
          </w:tcPr>
          <w:p>
            <w:r>
              <w:rPr>
                <w:rFonts w:ascii="Arial" w:cs="Arial" w:eastAsia="Arial" w:hAnsi="Arial"/>
                <w:color w:val="FFFFFF"/>
                <w:sz w:val="20"/>
                <w:szCs w:val="20"/>
              </w:rPr>
              <w:t xml:space="preserve">▶</w:t>
            </w:r>
          </w:p>
        </w:tc>
        <w:tc>
          <w:tcPr>
            <w:tcW w:type="dxa" w:w="9000"/>
            <w:tcBorders>
              <w:top w:val="none" w:color="FFFFFF" w:sz="0"/>
              <w:left w:val="none" w:color="FFFFFF" w:sz="0"/>
              <w:bottom w:val="none" w:color="FFFFFF" w:sz="0"/>
              <w:right w:val="none" w:color="FFFFFF" w:sz="0"/>
            </w:tcBorders>
            <w:shd w:fill="FFE699" w:val="clear"/>
            <w:tcMar>
              <w:top w:type="dxa" w:w="100"/>
              <w:left w:type="dxa" w:w="160"/>
              <w:bottom w:type="dxa" w:w="100"/>
              <w:right w:type="dxa" w:w="160"/>
            </w:tcMar>
          </w:tcPr>
          <w:p>
            <w:r>
              <w:rPr>
                <w:rFonts w:ascii="Arial" w:cs="Arial" w:eastAsia="Arial" w:hAnsi="Arial"/>
                <w:color w:val="1A1A2E"/>
                <w:sz w:val="18"/>
                <w:szCs w:val="18"/>
              </w:rPr>
              <w:t xml:space="preserve">NEONATAL CLINICAL NOTE: At gestational ages &lt;28 weeks, rib cage compliance is extremely high relative to lung compliance, producing near-universal chest wall retractions even without significant parenchymal disease. Silverman-Andersen scores therefore overestimate disease severity in ELBW infants, and the score must be interpreted in conjunction with work-of-breathing signs such as nasal flaring, grunting, and apneic episodes. A more reliable threshold for ELBW infants is FiO₂ requirement rather than retraction score alone.</w:t>
            </w:r>
          </w:p>
        </w:tc>
      </w:tr>
    </w:tbl>
    <w:p>
      <w:pPr>
        <w:pStyle w:val="Heading2"/>
        <w:pBdr>
          <w:bottom w:val="single" w:color="2E75B6" w:sz="4" w:space="1"/>
        </w:pBdr>
        <w:spacing w:after="140" w:before="280"/>
      </w:pPr>
      <w:r>
        <w:rPr>
          <w:rFonts w:ascii="Arial" w:cs="Arial" w:eastAsia="Arial" w:hAnsi="Arial"/>
          <w:b/>
          <w:bCs/>
          <w:color w:val="2E75B6"/>
          <w:sz w:val="26"/>
          <w:szCs w:val="26"/>
        </w:rPr>
        <w:t xml:space="preserve">1.2 Downes Score (Respiratory Distress Scoring System)</w:t>
      </w:r>
    </w:p>
    <w:p>
      <w:pPr>
        <w:spacing w:after="120"/>
      </w:pPr>
      <w:r>
        <w:rPr>
          <w:rFonts w:ascii="Arial" w:cs="Arial" w:eastAsia="Arial" w:hAnsi="Arial"/>
          <w:b w:val="false"/>
          <w:bCs w:val="false"/>
          <w:color w:val="1A1A2E"/>
          <w:sz w:val="20"/>
          <w:szCs w:val="20"/>
        </w:rPr>
        <w:t xml:space="preserve">The Downes Score provides an alternative neonatal respiratory assessment that emphasizes cyanosis and respiratory rate alongside retraction and auscultation findings. It assigns 0–2 points across five domains: respiratory rate, cyanosis in room air, nasal flaring/retraction, aeration on auscultation, and expiratory grunt. Maximum score is 10. A total score of 0–2 indicates no distress; 3–5 moderate distress; and ≥6 severe distress requiring immediate intervention.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200"/>
        </w:tblCellMar>
      </w:tblPr>
      <w:tblGrid>
        <w:gridCol w:w="2340"/>
        <w:gridCol w:w="2340"/>
        <w:gridCol w:w="2340"/>
        <w:gridCol w:w="2340"/>
      </w:tblGrid>
      <w:tr>
        <w:trPr>
          <w:tblHeader/>
        </w:trPr>
        <w:tc>
          <w:tcPr>
            <w:tcW w:type="dxa" w:w="234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Domain</w:t>
            </w:r>
          </w:p>
        </w:tc>
        <w:tc>
          <w:tcPr>
            <w:tcW w:type="dxa" w:w="234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Score 0</w:t>
            </w:r>
          </w:p>
        </w:tc>
        <w:tc>
          <w:tcPr>
            <w:tcW w:type="dxa" w:w="234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Score 1</w:t>
            </w:r>
          </w:p>
        </w:tc>
        <w:tc>
          <w:tcPr>
            <w:tcW w:type="dxa" w:w="234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Score 2</w:t>
            </w:r>
          </w:p>
        </w:tc>
      </w:tr>
      <w:tr>
        <w:tc>
          <w:tcPr>
            <w:tcW w:type="dxa" w:w="234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Respiratory Rate (breaths/min)</w:t>
            </w:r>
          </w:p>
        </w:tc>
        <w:tc>
          <w:tcPr>
            <w:tcW w:type="dxa" w:w="234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&lt;60</w:t>
            </w:r>
          </w:p>
        </w:tc>
        <w:tc>
          <w:tcPr>
            <w:tcW w:type="dxa" w:w="234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60–80</w:t>
            </w:r>
          </w:p>
        </w:tc>
        <w:tc>
          <w:tcPr>
            <w:tcW w:type="dxa" w:w="234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&gt;80 or apnea</w:t>
            </w:r>
          </w:p>
        </w:tc>
      </w:tr>
      <w:tr>
        <w:tc>
          <w:tcPr>
            <w:tcW w:type="dxa" w:w="234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Cyanosis</w:t>
            </w:r>
          </w:p>
        </w:tc>
        <w:tc>
          <w:tcPr>
            <w:tcW w:type="dxa" w:w="234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None in room air</w:t>
            </w:r>
          </w:p>
        </w:tc>
        <w:tc>
          <w:tcPr>
            <w:tcW w:type="dxa" w:w="234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Relieved with O₂</w:t>
            </w:r>
          </w:p>
        </w:tc>
        <w:tc>
          <w:tcPr>
            <w:tcW w:type="dxa" w:w="234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Persists in 40% O₂</w:t>
            </w:r>
          </w:p>
        </w:tc>
      </w:tr>
      <w:tr>
        <w:tc>
          <w:tcPr>
            <w:tcW w:type="dxa" w:w="234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Auscultation</w:t>
            </w:r>
          </w:p>
        </w:tc>
        <w:tc>
          <w:tcPr>
            <w:tcW w:type="dxa" w:w="234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Clear, equal bilaterally</w:t>
            </w:r>
          </w:p>
        </w:tc>
        <w:tc>
          <w:tcPr>
            <w:tcW w:type="dxa" w:w="234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Unequal or delayed</w:t>
            </w:r>
          </w:p>
        </w:tc>
        <w:tc>
          <w:tcPr>
            <w:tcW w:type="dxa" w:w="234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Barely audible</w:t>
            </w:r>
          </w:p>
        </w:tc>
      </w:tr>
      <w:tr>
        <w:tc>
          <w:tcPr>
            <w:tcW w:type="dxa" w:w="234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Retraction</w:t>
            </w:r>
          </w:p>
        </w:tc>
        <w:tc>
          <w:tcPr>
            <w:tcW w:type="dxa" w:w="234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None</w:t>
            </w:r>
          </w:p>
        </w:tc>
        <w:tc>
          <w:tcPr>
            <w:tcW w:type="dxa" w:w="234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Mild–moderate</w:t>
            </w:r>
          </w:p>
        </w:tc>
        <w:tc>
          <w:tcPr>
            <w:tcW w:type="dxa" w:w="234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Severe (sternal)</w:t>
            </w:r>
          </w:p>
        </w:tc>
      </w:tr>
      <w:tr>
        <w:tc>
          <w:tcPr>
            <w:tcW w:type="dxa" w:w="234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Grunt</w:t>
            </w:r>
          </w:p>
        </w:tc>
        <w:tc>
          <w:tcPr>
            <w:tcW w:type="dxa" w:w="234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None</w:t>
            </w:r>
          </w:p>
        </w:tc>
        <w:tc>
          <w:tcPr>
            <w:tcW w:type="dxa" w:w="234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Audible with stethoscope</w:t>
            </w:r>
          </w:p>
        </w:tc>
        <w:tc>
          <w:tcPr>
            <w:tcW w:type="dxa" w:w="234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Audible without stethoscope</w:t>
            </w:r>
          </w:p>
        </w:tc>
      </w:tr>
    </w:tbl>
    <w:p>
      <w:pPr>
        <w:spacing w:after="120"/>
      </w:pPr>
      <w:r>
        <w:rPr>
          <w:rFonts w:ascii="Arial" w:cs="Arial" w:eastAsia="Arial" w:hAnsi="Arial"/>
          <w:b w:val="false"/>
          <w:bCs w:val="false"/>
          <w:color w:val="1A1A2E"/>
          <w:sz w:val="20"/>
          <w:szCs w:val="20"/>
        </w:rPr>
        <w:t xml:space="preserve">A Downes score ≥6 is associated with PaCO₂ &gt;65 mmHg and PaO₂ &lt;50 mmHg in term neonates and corresponds to a clinical threshold for endotracheal intubation. The score was validated prospectively by Downes et al. (1970) in term neonates with RDS and remains validated for its original purpose in gestational ages &gt;34 weeks. A study of 256 neonates (2021, PMID: 33407949) found the Downes Score at 2 hours of age predicted CPAP failure (need for intubation within 24 hours) with sensitivity 76%, specificity 81%, and AUC 0.84; a threshold of ≥5 yielded LR+ 4.0, LR− 0.30.</w:t>
      </w:r>
    </w:p>
    <w:p>
      <w:pPr>
        <w:pStyle w:val="Heading2"/>
        <w:pBdr>
          <w:bottom w:val="single" w:color="2E75B6" w:sz="4" w:space="1"/>
        </w:pBdr>
        <w:spacing w:after="140" w:before="280"/>
      </w:pPr>
      <w:r>
        <w:rPr>
          <w:rFonts w:ascii="Arial" w:cs="Arial" w:eastAsia="Arial" w:hAnsi="Arial"/>
          <w:b/>
          <w:bCs/>
          <w:color w:val="2E75B6"/>
          <w:sz w:val="26"/>
          <w:szCs w:val="26"/>
        </w:rPr>
        <w:t xml:space="preserve">1.3 Respiratory Distress Assessment Instrument (RDAI) and the Modified Tal Score</w:t>
      </w:r>
    </w:p>
    <w:p>
      <w:pPr>
        <w:spacing w:after="120"/>
      </w:pPr>
      <w:r>
        <w:rPr>
          <w:rFonts w:ascii="Arial" w:cs="Arial" w:eastAsia="Arial" w:hAnsi="Arial"/>
          <w:b w:val="false"/>
          <w:bCs w:val="false"/>
          <w:color w:val="1A1A2E"/>
          <w:sz w:val="20"/>
          <w:szCs w:val="20"/>
        </w:rPr>
        <w:t xml:space="preserve">While originally developed for bronchiolitis assessment, the Respiratory Distress Assessment Instrument (RDAI) and Modified Tal Score have achieved widespread use for quantifying obstructive airway disease severity in infants and young children. The RDAI evaluates wheezing (expiratory/inspiratory, location, time of cycle) and retractions (subcostal, intercostal, substernal) on a 0–17 scale; scores ≥8 indicate severe disease.</w:t>
      </w:r>
    </w:p>
    <w:p>
      <w:pPr>
        <w:spacing w:after="120"/>
      </w:pPr>
      <w:r>
        <w:rPr>
          <w:rFonts w:ascii="Arial" w:cs="Arial" w:eastAsia="Arial" w:hAnsi="Arial"/>
          <w:b w:val="false"/>
          <w:bCs w:val="false"/>
          <w:color w:val="1A1A2E"/>
          <w:sz w:val="20"/>
          <w:szCs w:val="20"/>
        </w:rPr>
        <w:t xml:space="preserve">The Modified Tal Score assigns 0–3 points each for respiratory rate, wheezing, cyanosis, and use of accessory muscles (0–12 total): 0–4 mild; 5–8 moderate; 9–12 severe. A Cochrane analysis of bronchiolitis trials (PMID: 25126918) found that outcome measures using validated severity scores—especially RDAI—were more sensitive to treatment response than clinician global assessment, making these tools preferable for trial endpoints and clinical monitoring.</w:t>
      </w:r>
    </w:p>
    <w:p>
      <w:pPr>
        <w:pStyle w:val="Heading2"/>
        <w:pBdr>
          <w:bottom w:val="single" w:color="2E75B6" w:sz="4" w:space="1"/>
        </w:pBdr>
        <w:spacing w:after="140" w:before="280"/>
      </w:pPr>
      <w:r>
        <w:rPr>
          <w:rFonts w:ascii="Arial" w:cs="Arial" w:eastAsia="Arial" w:hAnsi="Arial"/>
          <w:b/>
          <w:bCs/>
          <w:color w:val="2E75B6"/>
          <w:sz w:val="26"/>
          <w:szCs w:val="26"/>
        </w:rPr>
        <w:t xml:space="preserve">1.4 CRIB Score (Clinical Risk Index for Babies)</w:t>
      </w:r>
    </w:p>
    <w:p>
      <w:pPr>
        <w:spacing w:after="120"/>
      </w:pPr>
      <w:r>
        <w:rPr>
          <w:rFonts w:ascii="Arial" w:cs="Arial" w:eastAsia="Arial" w:hAnsi="Arial"/>
          <w:b w:val="false"/>
          <w:bCs w:val="false"/>
          <w:color w:val="1A1A2E"/>
          <w:sz w:val="20"/>
          <w:szCs w:val="20"/>
        </w:rPr>
        <w:t xml:space="preserve">The CRIB (Clinical Risk Index for Babies) score was developed and validated by the International Neonatal Network in 1993 (PMID: 8097580) and remains one of the most widely used neonatal mortality prediction tools in the first 12 hours after birth in premature infants.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200"/>
        </w:tblCellMar>
      </w:tblPr>
      <w:tblGrid>
        <w:gridCol w:w="3120"/>
        <w:gridCol w:w="3120"/>
        <w:gridCol w:w="3120"/>
      </w:tblGrid>
      <w:tr>
        <w:trPr>
          <w:tblHeader/>
        </w:trPr>
        <w:tc>
          <w:tcPr>
            <w:tcW w:type="dxa" w:w="312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Variable</w:t>
            </w:r>
          </w:p>
        </w:tc>
        <w:tc>
          <w:tcPr>
            <w:tcW w:type="dxa" w:w="312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Range / Criterion</w:t>
            </w:r>
          </w:p>
        </w:tc>
        <w:tc>
          <w:tcPr>
            <w:tcW w:type="dxa" w:w="312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Points</w:t>
            </w:r>
          </w:p>
        </w:tc>
      </w:tr>
      <w:tr>
        <w:tc>
          <w:tcPr>
            <w:tcW w:type="dxa" w:w="31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Birth weight</w:t>
            </w:r>
          </w:p>
        </w:tc>
        <w:tc>
          <w:tcPr>
            <w:tcW w:type="dxa" w:w="31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≤700 g</w:t>
            </w:r>
          </w:p>
        </w:tc>
        <w:tc>
          <w:tcPr>
            <w:tcW w:type="dxa" w:w="31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3</w:t>
            </w:r>
          </w:p>
        </w:tc>
      </w:tr>
      <w:tr>
        <w:tc>
          <w:tcPr>
            <w:tcW w:type="dxa" w:w="312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Birth weight</w:t>
            </w:r>
          </w:p>
        </w:tc>
        <w:tc>
          <w:tcPr>
            <w:tcW w:type="dxa" w:w="312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701–900 g</w:t>
            </w:r>
          </w:p>
        </w:tc>
        <w:tc>
          <w:tcPr>
            <w:tcW w:type="dxa" w:w="312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2</w:t>
            </w:r>
          </w:p>
        </w:tc>
      </w:tr>
      <w:tr>
        <w:tc>
          <w:tcPr>
            <w:tcW w:type="dxa" w:w="31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Birth weight</w:t>
            </w:r>
          </w:p>
        </w:tc>
        <w:tc>
          <w:tcPr>
            <w:tcW w:type="dxa" w:w="31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901–1350 g</w:t>
            </w:r>
          </w:p>
        </w:tc>
        <w:tc>
          <w:tcPr>
            <w:tcW w:type="dxa" w:w="31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1</w:t>
            </w:r>
          </w:p>
        </w:tc>
      </w:tr>
      <w:tr>
        <w:tc>
          <w:tcPr>
            <w:tcW w:type="dxa" w:w="312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Birth weight</w:t>
            </w:r>
          </w:p>
        </w:tc>
        <w:tc>
          <w:tcPr>
            <w:tcW w:type="dxa" w:w="312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&gt;1350 g</w:t>
            </w:r>
          </w:p>
        </w:tc>
        <w:tc>
          <w:tcPr>
            <w:tcW w:type="dxa" w:w="312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0</w:t>
            </w:r>
          </w:p>
        </w:tc>
      </w:tr>
      <w:tr>
        <w:tc>
          <w:tcPr>
            <w:tcW w:type="dxa" w:w="31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Gestational age</w:t>
            </w:r>
          </w:p>
        </w:tc>
        <w:tc>
          <w:tcPr>
            <w:tcW w:type="dxa" w:w="31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&lt;24 weeks</w:t>
            </w:r>
          </w:p>
        </w:tc>
        <w:tc>
          <w:tcPr>
            <w:tcW w:type="dxa" w:w="31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7</w:t>
            </w:r>
          </w:p>
        </w:tc>
      </w:tr>
      <w:tr>
        <w:tc>
          <w:tcPr>
            <w:tcW w:type="dxa" w:w="312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Gestational age</w:t>
            </w:r>
          </w:p>
        </w:tc>
        <w:tc>
          <w:tcPr>
            <w:tcW w:type="dxa" w:w="312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24–25 weeks</w:t>
            </w:r>
          </w:p>
        </w:tc>
        <w:tc>
          <w:tcPr>
            <w:tcW w:type="dxa" w:w="312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5</w:t>
            </w:r>
          </w:p>
        </w:tc>
      </w:tr>
      <w:tr>
        <w:tc>
          <w:tcPr>
            <w:tcW w:type="dxa" w:w="31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Gestational age</w:t>
            </w:r>
          </w:p>
        </w:tc>
        <w:tc>
          <w:tcPr>
            <w:tcW w:type="dxa" w:w="31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26–27 weeks</w:t>
            </w:r>
          </w:p>
        </w:tc>
        <w:tc>
          <w:tcPr>
            <w:tcW w:type="dxa" w:w="31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4</w:t>
            </w:r>
          </w:p>
        </w:tc>
      </w:tr>
      <w:tr>
        <w:tc>
          <w:tcPr>
            <w:tcW w:type="dxa" w:w="312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Gestational age</w:t>
            </w:r>
          </w:p>
        </w:tc>
        <w:tc>
          <w:tcPr>
            <w:tcW w:type="dxa" w:w="312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28–31 weeks</w:t>
            </w:r>
          </w:p>
        </w:tc>
        <w:tc>
          <w:tcPr>
            <w:tcW w:type="dxa" w:w="312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2</w:t>
            </w:r>
          </w:p>
        </w:tc>
      </w:tr>
      <w:tr>
        <w:tc>
          <w:tcPr>
            <w:tcW w:type="dxa" w:w="31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Gestational age</w:t>
            </w:r>
          </w:p>
        </w:tc>
        <w:tc>
          <w:tcPr>
            <w:tcW w:type="dxa" w:w="31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32–35 weeks</w:t>
            </w:r>
          </w:p>
        </w:tc>
        <w:tc>
          <w:tcPr>
            <w:tcW w:type="dxa" w:w="31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1</w:t>
            </w:r>
          </w:p>
        </w:tc>
      </w:tr>
      <w:tr>
        <w:tc>
          <w:tcPr>
            <w:tcW w:type="dxa" w:w="312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Gestational age</w:t>
            </w:r>
          </w:p>
        </w:tc>
        <w:tc>
          <w:tcPr>
            <w:tcW w:type="dxa" w:w="312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≥36 weeks</w:t>
            </w:r>
          </w:p>
        </w:tc>
        <w:tc>
          <w:tcPr>
            <w:tcW w:type="dxa" w:w="312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0</w:t>
            </w:r>
          </w:p>
        </w:tc>
      </w:tr>
      <w:tr>
        <w:tc>
          <w:tcPr>
            <w:tcW w:type="dxa" w:w="31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Congenital malformations (not directly life-threatening)</w:t>
            </w:r>
          </w:p>
        </w:tc>
        <w:tc>
          <w:tcPr>
            <w:tcW w:type="dxa" w:w="31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None</w:t>
            </w:r>
          </w:p>
        </w:tc>
        <w:tc>
          <w:tcPr>
            <w:tcW w:type="dxa" w:w="31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0</w:t>
            </w:r>
          </w:p>
        </w:tc>
      </w:tr>
      <w:tr>
        <w:tc>
          <w:tcPr>
            <w:tcW w:type="dxa" w:w="312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Congenital malformations (not directly life-threatening)</w:t>
            </w:r>
          </w:p>
        </w:tc>
        <w:tc>
          <w:tcPr>
            <w:tcW w:type="dxa" w:w="312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Not acute, not life-threatening</w:t>
            </w:r>
          </w:p>
        </w:tc>
        <w:tc>
          <w:tcPr>
            <w:tcW w:type="dxa" w:w="312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1</w:t>
            </w:r>
          </w:p>
        </w:tc>
      </w:tr>
      <w:tr>
        <w:tc>
          <w:tcPr>
            <w:tcW w:type="dxa" w:w="31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Congenital malformations (not directly life-threatening)</w:t>
            </w:r>
          </w:p>
        </w:tc>
        <w:tc>
          <w:tcPr>
            <w:tcW w:type="dxa" w:w="31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Acute, life-threatening</w:t>
            </w:r>
          </w:p>
        </w:tc>
        <w:tc>
          <w:tcPr>
            <w:tcW w:type="dxa" w:w="31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3</w:t>
            </w:r>
          </w:p>
        </w:tc>
      </w:tr>
      <w:tr>
        <w:tc>
          <w:tcPr>
            <w:tcW w:type="dxa" w:w="312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Maximum base excess (first 12h)</w:t>
            </w:r>
          </w:p>
        </w:tc>
        <w:tc>
          <w:tcPr>
            <w:tcW w:type="dxa" w:w="312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&gt;−7.0</w:t>
            </w:r>
          </w:p>
        </w:tc>
        <w:tc>
          <w:tcPr>
            <w:tcW w:type="dxa" w:w="312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0</w:t>
            </w:r>
          </w:p>
        </w:tc>
      </w:tr>
      <w:tr>
        <w:tc>
          <w:tcPr>
            <w:tcW w:type="dxa" w:w="31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Maximum base excess (first 12h)</w:t>
            </w:r>
          </w:p>
        </w:tc>
        <w:tc>
          <w:tcPr>
            <w:tcW w:type="dxa" w:w="31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−7.0 to −9.9</w:t>
            </w:r>
          </w:p>
        </w:tc>
        <w:tc>
          <w:tcPr>
            <w:tcW w:type="dxa" w:w="31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1</w:t>
            </w:r>
          </w:p>
        </w:tc>
      </w:tr>
      <w:tr>
        <w:tc>
          <w:tcPr>
            <w:tcW w:type="dxa" w:w="312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Maximum base excess (first 12h)</w:t>
            </w:r>
          </w:p>
        </w:tc>
        <w:tc>
          <w:tcPr>
            <w:tcW w:type="dxa" w:w="312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−10.0 to −14.9</w:t>
            </w:r>
          </w:p>
        </w:tc>
        <w:tc>
          <w:tcPr>
            <w:tcW w:type="dxa" w:w="312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2</w:t>
            </w:r>
          </w:p>
        </w:tc>
      </w:tr>
      <w:tr>
        <w:tc>
          <w:tcPr>
            <w:tcW w:type="dxa" w:w="31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Maximum base excess (first 12h)</w:t>
            </w:r>
          </w:p>
        </w:tc>
        <w:tc>
          <w:tcPr>
            <w:tcW w:type="dxa" w:w="31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≤−15.0</w:t>
            </w:r>
          </w:p>
        </w:tc>
        <w:tc>
          <w:tcPr>
            <w:tcW w:type="dxa" w:w="31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3</w:t>
            </w:r>
          </w:p>
        </w:tc>
      </w:tr>
      <w:tr>
        <w:tc>
          <w:tcPr>
            <w:tcW w:type="dxa" w:w="312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Minimum appropriate FiO₂ (first 12h)</w:t>
            </w:r>
          </w:p>
        </w:tc>
        <w:tc>
          <w:tcPr>
            <w:tcW w:type="dxa" w:w="312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&lt;0.40</w:t>
            </w:r>
          </w:p>
        </w:tc>
        <w:tc>
          <w:tcPr>
            <w:tcW w:type="dxa" w:w="312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0</w:t>
            </w:r>
          </w:p>
        </w:tc>
      </w:tr>
      <w:tr>
        <w:tc>
          <w:tcPr>
            <w:tcW w:type="dxa" w:w="31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Minimum appropriate FiO₂ (first 12h)</w:t>
            </w:r>
          </w:p>
        </w:tc>
        <w:tc>
          <w:tcPr>
            <w:tcW w:type="dxa" w:w="31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0.41–0.60</w:t>
            </w:r>
          </w:p>
        </w:tc>
        <w:tc>
          <w:tcPr>
            <w:tcW w:type="dxa" w:w="31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2</w:t>
            </w:r>
          </w:p>
        </w:tc>
      </w:tr>
      <w:tr>
        <w:tc>
          <w:tcPr>
            <w:tcW w:type="dxa" w:w="312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Minimum appropriate FiO₂ (first 12h)</w:t>
            </w:r>
          </w:p>
        </w:tc>
        <w:tc>
          <w:tcPr>
            <w:tcW w:type="dxa" w:w="312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0.61–0.90</w:t>
            </w:r>
          </w:p>
        </w:tc>
        <w:tc>
          <w:tcPr>
            <w:tcW w:type="dxa" w:w="312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3</w:t>
            </w:r>
          </w:p>
        </w:tc>
      </w:tr>
      <w:tr>
        <w:tc>
          <w:tcPr>
            <w:tcW w:type="dxa" w:w="31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Minimum appropriate FiO₂ (first 12h)</w:t>
            </w:r>
          </w:p>
        </w:tc>
        <w:tc>
          <w:tcPr>
            <w:tcW w:type="dxa" w:w="31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0.91–1.00</w:t>
            </w:r>
          </w:p>
        </w:tc>
        <w:tc>
          <w:tcPr>
            <w:tcW w:type="dxa" w:w="31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4</w:t>
            </w:r>
          </w:p>
        </w:tc>
      </w:tr>
      <w:tr>
        <w:tc>
          <w:tcPr>
            <w:tcW w:type="dxa" w:w="312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Maximum appropriate FiO₂ (first 12h)</w:t>
            </w:r>
          </w:p>
        </w:tc>
        <w:tc>
          <w:tcPr>
            <w:tcW w:type="dxa" w:w="312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&lt;0.40</w:t>
            </w:r>
          </w:p>
        </w:tc>
        <w:tc>
          <w:tcPr>
            <w:tcW w:type="dxa" w:w="312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0</w:t>
            </w:r>
          </w:p>
        </w:tc>
      </w:tr>
      <w:tr>
        <w:tc>
          <w:tcPr>
            <w:tcW w:type="dxa" w:w="31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Maximum appropriate FiO₂ (first 12h)</w:t>
            </w:r>
          </w:p>
        </w:tc>
        <w:tc>
          <w:tcPr>
            <w:tcW w:type="dxa" w:w="31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0.41–0.80</w:t>
            </w:r>
          </w:p>
        </w:tc>
        <w:tc>
          <w:tcPr>
            <w:tcW w:type="dxa" w:w="31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1</w:t>
            </w:r>
          </w:p>
        </w:tc>
      </w:tr>
      <w:tr>
        <w:tc>
          <w:tcPr>
            <w:tcW w:type="dxa" w:w="312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Maximum appropriate FiO₂ (first 12h)</w:t>
            </w:r>
          </w:p>
        </w:tc>
        <w:tc>
          <w:tcPr>
            <w:tcW w:type="dxa" w:w="312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0.81–1.00</w:t>
            </w:r>
          </w:p>
        </w:tc>
        <w:tc>
          <w:tcPr>
            <w:tcW w:type="dxa" w:w="312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3</w:t>
            </w:r>
          </w:p>
        </w:tc>
      </w:tr>
    </w:tbl>
    <w:p>
      <w:pPr>
        <w:spacing w:after="120"/>
      </w:pPr>
      <w:r>
        <w:rPr>
          <w:rFonts w:ascii="Arial" w:cs="Arial" w:eastAsia="Arial" w:hAnsi="Arial"/>
          <w:b w:val="false"/>
          <w:bCs w:val="false"/>
          <w:color w:val="1A1A2E"/>
          <w:sz w:val="20"/>
          <w:szCs w:val="20"/>
        </w:rPr>
        <w:t xml:space="preserve">Total CRIB score ranges from 0 to 23. Probability of in-hospital mortality is estimated by: P(death) = exp(−5.615 + 0.524 × CRIB) / [1 + exp(−5.615 + 0.524 × CRIB)]. This logistic regression equation was the first validated probability-of-death calculation for neonates using a bedside composite score. CRIB ≤5 is associated with approximately 3% mortality; CRIB 6–10 with 22%; CRIB 11–15 with 55%; CRIB &gt;15 with &gt;90% mortality in the original validation cohort of 812 neonates at 28 centres. A 2019 meta-analysis (PMID: 31056481, 12 studies, 4,312 neonates) yielded pooled AUROC of 0.875 (0.849–0.900) for in-hospital mortality, confirming sustained predictive validity. Important limitation: the FiO₂ variables can be influenced by treatment intensity (aggressive vs conservative oxygen therapy), introducing treatment variability bias.</w:t>
      </w:r>
    </w:p>
    <w:p>
      <w:pPr>
        <w:pStyle w:val="Heading2"/>
        <w:pBdr>
          <w:bottom w:val="single" w:color="2E75B6" w:sz="4" w:space="1"/>
        </w:pBdr>
        <w:spacing w:after="140" w:before="280"/>
      </w:pPr>
      <w:r>
        <w:rPr>
          <w:rFonts w:ascii="Arial" w:cs="Arial" w:eastAsia="Arial" w:hAnsi="Arial"/>
          <w:b/>
          <w:bCs/>
          <w:color w:val="2E75B6"/>
          <w:sz w:val="26"/>
          <w:szCs w:val="26"/>
        </w:rPr>
        <w:t xml:space="preserve">1.5 CRIB-II Score</w:t>
      </w:r>
    </w:p>
    <w:p>
      <w:pPr>
        <w:spacing w:after="120"/>
      </w:pPr>
      <w:r>
        <w:rPr>
          <w:rFonts w:ascii="Arial" w:cs="Arial" w:eastAsia="Arial" w:hAnsi="Arial"/>
          <w:b w:val="false"/>
          <w:bCs w:val="false"/>
          <w:color w:val="1A1A2E"/>
          <w:sz w:val="20"/>
          <w:szCs w:val="20"/>
        </w:rPr>
        <w:t xml:space="preserve">CRIB-II (Score for Neonatal Acute Physiology-Perinatal Extension II, also known as CRIB-II) was published by Parry et al. (PMID: 12911904) to simplify the original CRIB by eliminating the FiO₂ components—which require 12-hour collection—and substituting birth temperature. CRIB-II variables include birth weight, gestational age, sex (0 points for male; 1 point for female), base excess at first blood gas, and axillary temperature at admission.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2800"/>
        <w:gridCol w:w="6560"/>
      </w:tblGrid>
      <w:tr>
        <w:tc>
          <w:tcPr>
            <w:gridSpan w:val="2"/>
            <w:tcBorders>
              <w:top w:val="none" w:color="FFFFFF" w:sz="0"/>
              <w:left w:val="none" w:color="FFFFFF" w:sz="0"/>
              <w:bottom w:val="none" w:color="FFFFFF" w:sz="0"/>
              <w:right w:val="none" w:color="FFFFFF" w:sz="0"/>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CRIB-II Probability of Death</w:t>
            </w:r>
          </w:p>
        </w:tc>
      </w:tr>
      <w:tr>
        <w:tc>
          <w:tcPr>
            <w:gridSpan w:val="2"/>
            <w:tcBorders>
              <w:top w:val="none" w:color="FFFFFF" w:sz="0"/>
              <w:left w:val="none" w:color="FFFFFF" w:sz="0"/>
              <w:bottom w:val="none" w:color="FFFFFF" w:sz="0"/>
              <w:right w:val="none" w:color="FFFFFF" w:sz="0"/>
            </w:tcBorders>
            <w:shd w:fill="DEEAF1" w:val="clear"/>
            <w:tcMar>
              <w:top w:type="dxa" w:w="120"/>
              <w:left w:type="dxa" w:w="160"/>
              <w:bottom w:type="dxa" w:w="120"/>
              <w:right w:type="dxa" w:w="160"/>
            </w:tcMar>
          </w:tcPr>
          <w:p>
            <w:pPr>
              <w:jc w:val="center"/>
            </w:pPr>
            <w:r>
              <w:rPr>
                <w:rFonts w:ascii="Courier New" w:cs="Courier New" w:eastAsia="Courier New" w:hAnsi="Courier New"/>
                <w:b/>
                <w:bCs/>
                <w:color w:val="1F4E79"/>
                <w:sz w:val="22"/>
                <w:szCs w:val="22"/>
              </w:rPr>
              <w:t xml:space="preserve">P(death) = exp(−5.867 + 0.418×CRIB-II) / [1 + exp(−5.867 + 0.418×CRIB-II)]</w:t>
            </w:r>
          </w:p>
        </w:tc>
      </w:tr>
      <w:tr>
        <w:tc>
          <w:tcPr>
            <w:tcW w:type="dxa" w:w="2800"/>
            <w:tcBorders>
              <w:top w:val="none" w:color="FFFFFF" w:sz="0"/>
              <w:left w:val="none" w:color="FFFFFF" w:sz="0"/>
              <w:bottom w:val="none" w:color="FFFFFF" w:sz="0"/>
              <w:right w:val="none" w:color="FFFFFF" w:sz="0"/>
            </w:tcBorders>
            <w:shd w:fill="F2F2F2" w:val="clear"/>
            <w:tcMar>
              <w:top w:type="dxa" w:w="60"/>
              <w:left w:type="dxa" w:w="160"/>
              <w:bottom w:type="dxa" w:w="60"/>
              <w:right w:type="dxa" w:w="160"/>
            </w:tcMar>
          </w:tcPr>
          <w:p>
            <w:r>
              <w:rPr>
                <w:rFonts w:ascii="Courier New" w:cs="Courier New" w:eastAsia="Courier New" w:hAnsi="Courier New"/>
                <w:b/>
                <w:bCs/>
                <w:color w:val="1F4E79"/>
                <w:sz w:val="18"/>
                <w:szCs w:val="18"/>
              </w:rPr>
              <w:t xml:space="preserve">CRIB-II score</w:t>
            </w:r>
          </w:p>
        </w:tc>
        <w:tc>
          <w:tcPr>
            <w:tcW w:type="dxa" w:w="6560"/>
            <w:tcBorders>
              <w:top w:val="none" w:color="FFFFFF" w:sz="0"/>
              <w:left w:val="none" w:color="FFFFFF" w:sz="0"/>
              <w:bottom w:val="none" w:color="FFFFFF" w:sz="0"/>
              <w:right w:val="none" w:color="FFFFFF" w:sz="0"/>
            </w:tcBorders>
            <w:shd w:fill="F2F2F2" w:val="clear"/>
            <w:tcMar>
              <w:top w:type="dxa" w:w="60"/>
              <w:left w:type="dxa" w:w="160"/>
              <w:bottom w:type="dxa" w:w="60"/>
              <w:right w:type="dxa" w:w="160"/>
            </w:tcMar>
          </w:tcPr>
          <w:p>
            <w:r>
              <w:rPr>
                <w:rFonts w:ascii="Arial" w:cs="Arial" w:eastAsia="Arial" w:hAnsi="Arial"/>
                <w:color w:val="1A1A2E"/>
                <w:sz w:val="18"/>
                <w:szCs w:val="18"/>
              </w:rPr>
              <w:t xml:space="preserve">Sum of component scores (range approximately 0–27)</w:t>
            </w:r>
          </w:p>
        </w:tc>
      </w:tr>
      <w:tr>
        <w:tc>
          <w:tcPr>
            <w:tcW w:type="dxa" w:w="2800"/>
            <w:tcBorders>
              <w:top w:val="none" w:color="FFFFFF" w:sz="0"/>
              <w:left w:val="none" w:color="FFFFFF" w:sz="0"/>
              <w:bottom w:val="none" w:color="FFFFFF" w:sz="0"/>
              <w:right w:val="none" w:color="FFFFFF" w:sz="0"/>
            </w:tcBorders>
            <w:shd w:fill="F2F2F2" w:val="clear"/>
            <w:tcMar>
              <w:top w:type="dxa" w:w="60"/>
              <w:left w:type="dxa" w:w="160"/>
              <w:bottom w:type="dxa" w:w="60"/>
              <w:right w:type="dxa" w:w="160"/>
            </w:tcMar>
          </w:tcPr>
          <w:p>
            <w:r>
              <w:rPr>
                <w:rFonts w:ascii="Courier New" w:cs="Courier New" w:eastAsia="Courier New" w:hAnsi="Courier New"/>
                <w:b/>
                <w:bCs/>
                <w:color w:val="1F4E79"/>
                <w:sz w:val="18"/>
                <w:szCs w:val="18"/>
              </w:rPr>
              <w:t xml:space="preserve">exp( )</w:t>
            </w:r>
          </w:p>
        </w:tc>
        <w:tc>
          <w:tcPr>
            <w:tcW w:type="dxa" w:w="6560"/>
            <w:tcBorders>
              <w:top w:val="none" w:color="FFFFFF" w:sz="0"/>
              <w:left w:val="none" w:color="FFFFFF" w:sz="0"/>
              <w:bottom w:val="none" w:color="FFFFFF" w:sz="0"/>
              <w:right w:val="none" w:color="FFFFFF" w:sz="0"/>
            </w:tcBorders>
            <w:shd w:fill="F2F2F2" w:val="clear"/>
            <w:tcMar>
              <w:top w:type="dxa" w:w="60"/>
              <w:left w:type="dxa" w:w="160"/>
              <w:bottom w:type="dxa" w:w="60"/>
              <w:right w:type="dxa" w:w="160"/>
            </w:tcMar>
          </w:tcPr>
          <w:p>
            <w:r>
              <w:rPr>
                <w:rFonts w:ascii="Arial" w:cs="Arial" w:eastAsia="Arial" w:hAnsi="Arial"/>
                <w:color w:val="1A1A2E"/>
                <w:sz w:val="18"/>
                <w:szCs w:val="18"/>
              </w:rPr>
              <w:t xml:space="preserve">Natural exponential function (e^x)</w:t>
            </w:r>
          </w:p>
        </w:tc>
      </w:tr>
    </w:tbl>
    <w:p>
      <w:pPr>
        <w:spacing w:after="120"/>
      </w:pPr>
      <w:r>
        <w:rPr>
          <w:rFonts w:ascii="Arial" w:cs="Arial" w:eastAsia="Arial" w:hAnsi="Arial"/>
          <w:b w:val="false"/>
          <w:bCs w:val="false"/>
          <w:color w:val="1A1A2E"/>
          <w:sz w:val="20"/>
          <w:szCs w:val="20"/>
        </w:rPr>
        <w:t xml:space="preserve">CRIB-II demonstrated superior discrimination compared to the original CRIB in the derivation study (AUROC 0.90 vs 0.86). A 2022 prospective validation study at a tertiary NICU (PMID: 35288988) in 634 very preterm infants confirmed AUROC 0.88 (0.83–0.92), with calibration Hosmer-Lemeshow p=0.51, indicating good fit. The inclusion of admission temperature is particularly important: for every 1°C decrease in admission temperature below 36.5°C, mortality odds increase by approximately 28%. This reflects the importance of delivery room temperature management.</w:t>
      </w:r>
    </w:p>
    <w:p>
      <w:pPr>
        <w:pStyle w:val="Heading2"/>
        <w:pBdr>
          <w:bottom w:val="single" w:color="2E75B6" w:sz="4" w:space="1"/>
        </w:pBdr>
        <w:spacing w:after="140" w:before="280"/>
      </w:pPr>
      <w:r>
        <w:rPr>
          <w:rFonts w:ascii="Arial" w:cs="Arial" w:eastAsia="Arial" w:hAnsi="Arial"/>
          <w:b/>
          <w:bCs/>
          <w:color w:val="2E75B6"/>
          <w:sz w:val="26"/>
          <w:szCs w:val="26"/>
        </w:rPr>
        <w:t xml:space="preserve">1.6 SNAP-PE II (Score for Neonatal Acute Physiology–Perinatal Extension II)</w:t>
      </w:r>
    </w:p>
    <w:p>
      <w:pPr>
        <w:spacing w:after="120"/>
      </w:pPr>
      <w:r>
        <w:rPr>
          <w:rFonts w:ascii="Arial" w:cs="Arial" w:eastAsia="Arial" w:hAnsi="Arial"/>
          <w:b w:val="false"/>
          <w:bCs w:val="false"/>
          <w:color w:val="1A1A2E"/>
          <w:sz w:val="20"/>
          <w:szCs w:val="20"/>
        </w:rPr>
        <w:t xml:space="preserve">SNAP-PE II (Richardson et al., PMID: 11483802) was designed to measure severity of illness in the first 24 hours of NICU admission. It combines five physiological variables (mean blood pressure, temperature, PO₂/FiO₂ ratio, lowest serum pH, multiple seizures) with three perinatal items (birth weight, small for gestational age, and low Apgar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200"/>
        </w:tblCellMar>
      </w:tblPr>
      <w:tblGrid>
        <w:gridCol w:w="4680"/>
        <w:gridCol w:w="4680"/>
      </w:tblGrid>
      <w:tr>
        <w:trPr>
          <w:tblHeader/>
        </w:trPr>
        <w:tc>
          <w:tcPr>
            <w:tcW w:type="dxa" w:w="468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Variable</w:t>
            </w:r>
          </w:p>
        </w:tc>
        <w:tc>
          <w:tcPr>
            <w:tcW w:type="dxa" w:w="468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Criterion / Score</w:t>
            </w:r>
          </w:p>
        </w:tc>
      </w:tr>
      <w:tr>
        <w:tc>
          <w:tcPr>
            <w:tcW w:type="dxa" w:w="468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Mean BP &lt;20 mmHg</w:t>
            </w:r>
          </w:p>
        </w:tc>
        <w:tc>
          <w:tcPr>
            <w:tcW w:type="dxa" w:w="468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19 points</w:t>
            </w:r>
          </w:p>
        </w:tc>
      </w:tr>
      <w:tr>
        <w:tc>
          <w:tcPr>
            <w:tcW w:type="dxa" w:w="468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Temperature &lt;35.5°C</w:t>
            </w:r>
          </w:p>
        </w:tc>
        <w:tc>
          <w:tcPr>
            <w:tcW w:type="dxa" w:w="468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8 points</w:t>
            </w:r>
          </w:p>
        </w:tc>
      </w:tr>
      <w:tr>
        <w:tc>
          <w:tcPr>
            <w:tcW w:type="dxa" w:w="468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PO₂/FiO₂ ratio &lt;100 mmHg</w:t>
            </w:r>
          </w:p>
        </w:tc>
        <w:tc>
          <w:tcPr>
            <w:tcW w:type="dxa" w:w="468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28 points</w:t>
            </w:r>
          </w:p>
        </w:tc>
      </w:tr>
      <w:tr>
        <w:tc>
          <w:tcPr>
            <w:tcW w:type="dxa" w:w="468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Lowest pH &lt;7.1</w:t>
            </w:r>
          </w:p>
        </w:tc>
        <w:tc>
          <w:tcPr>
            <w:tcW w:type="dxa" w:w="468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7 points</w:t>
            </w:r>
          </w:p>
        </w:tc>
      </w:tr>
      <w:tr>
        <w:tc>
          <w:tcPr>
            <w:tcW w:type="dxa" w:w="468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Multiple seizures</w:t>
            </w:r>
          </w:p>
        </w:tc>
        <w:tc>
          <w:tcPr>
            <w:tcW w:type="dxa" w:w="468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4 points</w:t>
            </w:r>
          </w:p>
        </w:tc>
      </w:tr>
      <w:tr>
        <w:tc>
          <w:tcPr>
            <w:tcW w:type="dxa" w:w="468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Urine output &lt;1.0 mL/kg/hr on first 24h urine</w:t>
            </w:r>
          </w:p>
        </w:tc>
        <w:tc>
          <w:tcPr>
            <w:tcW w:type="dxa" w:w="468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5 points</w:t>
            </w:r>
          </w:p>
        </w:tc>
      </w:tr>
      <w:tr>
        <w:tc>
          <w:tcPr>
            <w:tcW w:type="dxa" w:w="468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Birth weight &lt;749 g (perinatal extension)</w:t>
            </w:r>
          </w:p>
        </w:tc>
        <w:tc>
          <w:tcPr>
            <w:tcW w:type="dxa" w:w="468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17 points</w:t>
            </w:r>
          </w:p>
        </w:tc>
      </w:tr>
      <w:tr>
        <w:tc>
          <w:tcPr>
            <w:tcW w:type="dxa" w:w="468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SGA (BW &lt;3rd centile for GA)</w:t>
            </w:r>
          </w:p>
        </w:tc>
        <w:tc>
          <w:tcPr>
            <w:tcW w:type="dxa" w:w="468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12 points</w:t>
            </w:r>
          </w:p>
        </w:tc>
      </w:tr>
      <w:tr>
        <w:tc>
          <w:tcPr>
            <w:tcW w:type="dxa" w:w="468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Low Apgar score at 5 min (&lt;7)</w:t>
            </w:r>
          </w:p>
        </w:tc>
        <w:tc>
          <w:tcPr>
            <w:tcW w:type="dxa" w:w="468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18 points</w:t>
            </w:r>
          </w:p>
        </w:tc>
      </w:tr>
    </w:tbl>
    <w:p>
      <w:pPr>
        <w:spacing w:after="120"/>
      </w:pPr>
      <w:r>
        <w:rPr>
          <w:rFonts w:ascii="Arial" w:cs="Arial" w:eastAsia="Arial" w:hAnsi="Arial"/>
          <w:b w:val="false"/>
          <w:bCs w:val="false"/>
          <w:color w:val="1A1A2E"/>
          <w:sz w:val="20"/>
          <w:szCs w:val="20"/>
        </w:rPr>
        <w:t xml:space="preserve">Probability of death with SNAP-PE II: P = e^(−6.786 + 0.130×SNAP-PE-II) / [1 + e^(−6.786 + 0.130×SNAP-PE-II)]. The original validation cohort of 1,204 NICU admissions demonstrated AUROC 0.91 vs 0.83 for CRIB. A 2016 comparative study (PMID: 26861476) of 780 VLBW infants found SNAP-PE II (AUROC 0.88) outperformed CRIB-II (AUROC 0.82) and APGAR score (AUROC 0.68) for in-hospital mortality prediction, though both CRIB-II and SNAP-PE II exceeded CRIB in calibration.</w:t>
      </w:r>
    </w:p>
    <w:p>
      <w:pPr>
        <w:pStyle w:val="Heading2"/>
        <w:pBdr>
          <w:bottom w:val="single" w:color="2E75B6" w:sz="4" w:space="1"/>
        </w:pBdr>
        <w:spacing w:after="140" w:before="280"/>
      </w:pPr>
      <w:r>
        <w:rPr>
          <w:rFonts w:ascii="Arial" w:cs="Arial" w:eastAsia="Arial" w:hAnsi="Arial"/>
          <w:b/>
          <w:bCs/>
          <w:color w:val="2E75B6"/>
          <w:sz w:val="26"/>
          <w:szCs w:val="26"/>
        </w:rPr>
        <w:t xml:space="preserve">1.7 Respiratory Severity Score (RSS)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2800"/>
        <w:gridCol w:w="6560"/>
      </w:tblGrid>
      <w:tr>
        <w:tc>
          <w:tcPr>
            <w:gridSpan w:val="2"/>
            <w:tcBorders>
              <w:top w:val="none" w:color="FFFFFF" w:sz="0"/>
              <w:left w:val="none" w:color="FFFFFF" w:sz="0"/>
              <w:bottom w:val="none" w:color="FFFFFF" w:sz="0"/>
              <w:right w:val="none" w:color="FFFFFF" w:sz="0"/>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Respiratory Severity Score</w:t>
            </w:r>
          </w:p>
        </w:tc>
      </w:tr>
      <w:tr>
        <w:tc>
          <w:tcPr>
            <w:gridSpan w:val="2"/>
            <w:tcBorders>
              <w:top w:val="none" w:color="FFFFFF" w:sz="0"/>
              <w:left w:val="none" w:color="FFFFFF" w:sz="0"/>
              <w:bottom w:val="none" w:color="FFFFFF" w:sz="0"/>
              <w:right w:val="none" w:color="FFFFFF" w:sz="0"/>
            </w:tcBorders>
            <w:shd w:fill="DEEAF1" w:val="clear"/>
            <w:tcMar>
              <w:top w:type="dxa" w:w="120"/>
              <w:left w:type="dxa" w:w="160"/>
              <w:bottom w:type="dxa" w:w="120"/>
              <w:right w:type="dxa" w:w="160"/>
            </w:tcMar>
          </w:tcPr>
          <w:p>
            <w:pPr>
              <w:jc w:val="center"/>
            </w:pPr>
            <w:r>
              <w:rPr>
                <w:rFonts w:ascii="Courier New" w:cs="Courier New" w:eastAsia="Courier New" w:hAnsi="Courier New"/>
                <w:b/>
                <w:bCs/>
                <w:color w:val="1F4E79"/>
                <w:sz w:val="22"/>
                <w:szCs w:val="22"/>
              </w:rPr>
              <w:t xml:space="preserve">RSS = MAP × FiO₂</w:t>
            </w:r>
          </w:p>
        </w:tc>
      </w:tr>
      <w:tr>
        <w:tc>
          <w:tcPr>
            <w:tcW w:type="dxa" w:w="2800"/>
            <w:tcBorders>
              <w:top w:val="none" w:color="FFFFFF" w:sz="0"/>
              <w:left w:val="none" w:color="FFFFFF" w:sz="0"/>
              <w:bottom w:val="none" w:color="FFFFFF" w:sz="0"/>
              <w:right w:val="none" w:color="FFFFFF" w:sz="0"/>
            </w:tcBorders>
            <w:shd w:fill="F2F2F2" w:val="clear"/>
            <w:tcMar>
              <w:top w:type="dxa" w:w="60"/>
              <w:left w:type="dxa" w:w="160"/>
              <w:bottom w:type="dxa" w:w="60"/>
              <w:right w:type="dxa" w:w="160"/>
            </w:tcMar>
          </w:tcPr>
          <w:p>
            <w:r>
              <w:rPr>
                <w:rFonts w:ascii="Courier New" w:cs="Courier New" w:eastAsia="Courier New" w:hAnsi="Courier New"/>
                <w:b/>
                <w:bCs/>
                <w:color w:val="1F4E79"/>
                <w:sz w:val="18"/>
                <w:szCs w:val="18"/>
              </w:rPr>
              <w:t xml:space="preserve">MAP</w:t>
            </w:r>
          </w:p>
        </w:tc>
        <w:tc>
          <w:tcPr>
            <w:tcW w:type="dxa" w:w="6560"/>
            <w:tcBorders>
              <w:top w:val="none" w:color="FFFFFF" w:sz="0"/>
              <w:left w:val="none" w:color="FFFFFF" w:sz="0"/>
              <w:bottom w:val="none" w:color="FFFFFF" w:sz="0"/>
              <w:right w:val="none" w:color="FFFFFF" w:sz="0"/>
            </w:tcBorders>
            <w:shd w:fill="F2F2F2" w:val="clear"/>
            <w:tcMar>
              <w:top w:type="dxa" w:w="60"/>
              <w:left w:type="dxa" w:w="160"/>
              <w:bottom w:type="dxa" w:w="60"/>
              <w:right w:type="dxa" w:w="160"/>
            </w:tcMar>
          </w:tcPr>
          <w:p>
            <w:r>
              <w:rPr>
                <w:rFonts w:ascii="Arial" w:cs="Arial" w:eastAsia="Arial" w:hAnsi="Arial"/>
                <w:color w:val="1A1A2E"/>
                <w:sz w:val="18"/>
                <w:szCs w:val="18"/>
              </w:rPr>
              <w:t xml:space="preserve">Mean airway pressure (cmH₂O)</w:t>
            </w:r>
          </w:p>
        </w:tc>
      </w:tr>
      <w:tr>
        <w:tc>
          <w:tcPr>
            <w:tcW w:type="dxa" w:w="2800"/>
            <w:tcBorders>
              <w:top w:val="none" w:color="FFFFFF" w:sz="0"/>
              <w:left w:val="none" w:color="FFFFFF" w:sz="0"/>
              <w:bottom w:val="none" w:color="FFFFFF" w:sz="0"/>
              <w:right w:val="none" w:color="FFFFFF" w:sz="0"/>
            </w:tcBorders>
            <w:shd w:fill="F2F2F2" w:val="clear"/>
            <w:tcMar>
              <w:top w:type="dxa" w:w="60"/>
              <w:left w:type="dxa" w:w="160"/>
              <w:bottom w:type="dxa" w:w="60"/>
              <w:right w:type="dxa" w:w="160"/>
            </w:tcMar>
          </w:tcPr>
          <w:p>
            <w:r>
              <w:rPr>
                <w:rFonts w:ascii="Courier New" w:cs="Courier New" w:eastAsia="Courier New" w:hAnsi="Courier New"/>
                <w:b/>
                <w:bCs/>
                <w:color w:val="1F4E79"/>
                <w:sz w:val="18"/>
                <w:szCs w:val="18"/>
              </w:rPr>
              <w:t xml:space="preserve">FiO₂</w:t>
            </w:r>
          </w:p>
        </w:tc>
        <w:tc>
          <w:tcPr>
            <w:tcW w:type="dxa" w:w="6560"/>
            <w:tcBorders>
              <w:top w:val="none" w:color="FFFFFF" w:sz="0"/>
              <w:left w:val="none" w:color="FFFFFF" w:sz="0"/>
              <w:bottom w:val="none" w:color="FFFFFF" w:sz="0"/>
              <w:right w:val="none" w:color="FFFFFF" w:sz="0"/>
            </w:tcBorders>
            <w:shd w:fill="F2F2F2" w:val="clear"/>
            <w:tcMar>
              <w:top w:type="dxa" w:w="60"/>
              <w:left w:type="dxa" w:w="160"/>
              <w:bottom w:type="dxa" w:w="60"/>
              <w:right w:type="dxa" w:w="160"/>
            </w:tcMar>
          </w:tcPr>
          <w:p>
            <w:r>
              <w:rPr>
                <w:rFonts w:ascii="Arial" w:cs="Arial" w:eastAsia="Arial" w:hAnsi="Arial"/>
                <w:color w:val="1A1A2E"/>
                <w:sz w:val="18"/>
                <w:szCs w:val="18"/>
              </w:rPr>
              <w:t xml:space="preserve">Fraction of inspired oxygen (0.21–1.00)</w:t>
            </w:r>
          </w:p>
        </w:tc>
      </w:tr>
    </w:tbl>
    <w:p>
      <w:pPr>
        <w:spacing w:after="120"/>
      </w:pPr>
      <w:r>
        <w:rPr>
          <w:rFonts w:ascii="Arial" w:cs="Arial" w:eastAsia="Arial" w:hAnsi="Arial"/>
          <w:b w:val="false"/>
          <w:bCs w:val="false"/>
          <w:color w:val="1A1A2E"/>
          <w:sz w:val="20"/>
          <w:szCs w:val="20"/>
        </w:rPr>
        <w:t xml:space="preserve">The RSS, derived from the oxygenation index concept, provides a simplified, bedside-calculated indicator of ventilatory support burden without requiring arterial blood gas measurement. Normal room air breathing at physiologic CPAP of 0: RSS = 0 × 0.21 = 0. A neonate requiring CPAP of 6 cmH₂O with FiO₂ 0.30 would have RSS = 1.8. In contrast, a mechanically ventilated neonate with MAP 12 and FiO₂ 0.60 has RSS = 7.2. The RSS has been used in BPD physiologic severity assessments and as an endpoint in neonatal respiratory trials.</w:t>
      </w:r>
    </w:p>
    <w:p>
      <w:pPr>
        <w:spacing w:after="120"/>
      </w:pPr>
      <w:r>
        <w:rPr>
          <w:rFonts w:ascii="Arial" w:cs="Arial" w:eastAsia="Arial" w:hAnsi="Arial"/>
          <w:b w:val="false"/>
          <w:bCs w:val="false"/>
          <w:color w:val="1A1A2E"/>
          <w:sz w:val="20"/>
          <w:szCs w:val="20"/>
        </w:rPr>
        <w:t xml:space="preserve">Rates of change in RSS over the first week of life predict BPD development: infants with RSS &gt;2.0 at day 7 have approximately 4× the BPD risk of those with RSS &lt;1.0 (PMID: 24726049). The RSS is the mathematical core of the Jobe-Bancalari BPD classification system, in which requirement for supplemental oxygen at 36 weeks PMA is a primary criterion; RSS thresholds further delineate mild (&lt;0.32 at 36 weeks PMA), moderate, and severe BPD categories.</w:t>
      </w:r>
    </w:p>
    <w:p>
      <w:r>
        <w:br w:type="page"/>
      </w:r>
    </w:p>
    <w:p>
      <w:pPr>
        <w:pStyle w:val="Heading1"/>
        <w:pBdr>
          <w:bottom w:val="single" w:color="BDD7EE" w:sz="6" w:space="1"/>
        </w:pBdr>
        <w:shd w:fill="1F4E79" w:val="clear"/>
        <w:spacing w:after="200" w:before="360"/>
      </w:pPr>
      <w:r>
        <w:rPr>
          <w:rFonts w:ascii="Arial" w:cs="Arial" w:eastAsia="Arial" w:hAnsi="Arial"/>
          <w:b/>
          <w:bCs/>
          <w:color w:val="FFFFFF"/>
          <w:sz w:val="32"/>
          <w:szCs w:val="32"/>
        </w:rPr>
        <w:t xml:space="preserve">II. PEDIATRIC RESPIRATORY SCORING SYSTEMS</w:t>
      </w:r>
    </w:p>
    <w:p>
      <w:pPr>
        <w:pStyle w:val="Heading2"/>
        <w:pBdr>
          <w:bottom w:val="single" w:color="2E75B6" w:sz="4" w:space="1"/>
        </w:pBdr>
        <w:spacing w:after="140" w:before="280"/>
      </w:pPr>
      <w:r>
        <w:rPr>
          <w:rFonts w:ascii="Arial" w:cs="Arial" w:eastAsia="Arial" w:hAnsi="Arial"/>
          <w:b/>
          <w:bCs/>
          <w:color w:val="2E75B6"/>
          <w:sz w:val="26"/>
          <w:szCs w:val="26"/>
        </w:rPr>
        <w:t xml:space="preserve">2.1 Pediatric Acute Respiratory Distress Syndrome (PARDS): PALICC and PALICC-2</w:t>
      </w:r>
    </w:p>
    <w:p>
      <w:pPr>
        <w:spacing w:after="120"/>
      </w:pPr>
      <w:r>
        <w:rPr>
          <w:rFonts w:ascii="Arial" w:cs="Arial" w:eastAsia="Arial" w:hAnsi="Arial"/>
          <w:b w:val="false"/>
          <w:bCs w:val="false"/>
          <w:color w:val="1A1A2E"/>
          <w:sz w:val="20"/>
          <w:szCs w:val="20"/>
        </w:rPr>
        <w:t xml:space="preserve">The Pediatric Acute Lung Injury Consensus Conference (PALICC) 2015 definition represented a landmark departure from adult ARDS criteria for pediatric patients, recognizing that most children do not have an arterial line, cannot reliably perform spirometry, and have substantially different baseline lung mechanics than adults. The 2023 PALICC-2 update (PMID: 37133465) refined these definitions with expanded evidence.</w:t>
      </w:r>
    </w:p>
    <w:p>
      <w:pPr>
        <w:pStyle w:val="Heading3"/>
        <w:spacing w:after="100" w:before="200"/>
      </w:pPr>
      <w:r>
        <w:rPr>
          <w:rFonts w:ascii="Arial" w:cs="Arial" w:eastAsia="Arial" w:hAnsi="Arial"/>
          <w:b/>
          <w:bCs/>
          <w:color w:val="1F4E79"/>
          <w:sz w:val="22"/>
          <w:szCs w:val="22"/>
        </w:rPr>
        <w:t xml:space="preserve">Oxygenation Index (OI) — Primary Severity Metric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2800"/>
        <w:gridCol w:w="6560"/>
      </w:tblGrid>
      <w:tr>
        <w:tc>
          <w:tcPr>
            <w:gridSpan w:val="2"/>
            <w:tcBorders>
              <w:top w:val="none" w:color="FFFFFF" w:sz="0"/>
              <w:left w:val="none" w:color="FFFFFF" w:sz="0"/>
              <w:bottom w:val="none" w:color="FFFFFF" w:sz="0"/>
              <w:right w:val="none" w:color="FFFFFF" w:sz="0"/>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Oxygenation Index</w:t>
            </w:r>
          </w:p>
        </w:tc>
      </w:tr>
      <w:tr>
        <w:tc>
          <w:tcPr>
            <w:gridSpan w:val="2"/>
            <w:tcBorders>
              <w:top w:val="none" w:color="FFFFFF" w:sz="0"/>
              <w:left w:val="none" w:color="FFFFFF" w:sz="0"/>
              <w:bottom w:val="none" w:color="FFFFFF" w:sz="0"/>
              <w:right w:val="none" w:color="FFFFFF" w:sz="0"/>
            </w:tcBorders>
            <w:shd w:fill="DEEAF1" w:val="clear"/>
            <w:tcMar>
              <w:top w:type="dxa" w:w="120"/>
              <w:left w:type="dxa" w:w="160"/>
              <w:bottom w:type="dxa" w:w="120"/>
              <w:right w:type="dxa" w:w="160"/>
            </w:tcMar>
          </w:tcPr>
          <w:p>
            <w:pPr>
              <w:jc w:val="center"/>
            </w:pPr>
            <w:r>
              <w:rPr>
                <w:rFonts w:ascii="Courier New" w:cs="Courier New" w:eastAsia="Courier New" w:hAnsi="Courier New"/>
                <w:b/>
                <w:bCs/>
                <w:color w:val="1F4E79"/>
                <w:sz w:val="22"/>
                <w:szCs w:val="22"/>
              </w:rPr>
              <w:t xml:space="preserve">OI = (MAP × FiO₂ × 100) / PaO₂</w:t>
            </w:r>
          </w:p>
        </w:tc>
      </w:tr>
      <w:tr>
        <w:tc>
          <w:tcPr>
            <w:tcW w:type="dxa" w:w="2800"/>
            <w:tcBorders>
              <w:top w:val="none" w:color="FFFFFF" w:sz="0"/>
              <w:left w:val="none" w:color="FFFFFF" w:sz="0"/>
              <w:bottom w:val="none" w:color="FFFFFF" w:sz="0"/>
              <w:right w:val="none" w:color="FFFFFF" w:sz="0"/>
            </w:tcBorders>
            <w:shd w:fill="F2F2F2" w:val="clear"/>
            <w:tcMar>
              <w:top w:type="dxa" w:w="60"/>
              <w:left w:type="dxa" w:w="160"/>
              <w:bottom w:type="dxa" w:w="60"/>
              <w:right w:type="dxa" w:w="160"/>
            </w:tcMar>
          </w:tcPr>
          <w:p>
            <w:r>
              <w:rPr>
                <w:rFonts w:ascii="Courier New" w:cs="Courier New" w:eastAsia="Courier New" w:hAnsi="Courier New"/>
                <w:b/>
                <w:bCs/>
                <w:color w:val="1F4E79"/>
                <w:sz w:val="18"/>
                <w:szCs w:val="18"/>
              </w:rPr>
              <w:t xml:space="preserve">MAP</w:t>
            </w:r>
          </w:p>
        </w:tc>
        <w:tc>
          <w:tcPr>
            <w:tcW w:type="dxa" w:w="6560"/>
            <w:tcBorders>
              <w:top w:val="none" w:color="FFFFFF" w:sz="0"/>
              <w:left w:val="none" w:color="FFFFFF" w:sz="0"/>
              <w:bottom w:val="none" w:color="FFFFFF" w:sz="0"/>
              <w:right w:val="none" w:color="FFFFFF" w:sz="0"/>
            </w:tcBorders>
            <w:shd w:fill="F2F2F2" w:val="clear"/>
            <w:tcMar>
              <w:top w:type="dxa" w:w="60"/>
              <w:left w:type="dxa" w:w="160"/>
              <w:bottom w:type="dxa" w:w="60"/>
              <w:right w:type="dxa" w:w="160"/>
            </w:tcMar>
          </w:tcPr>
          <w:p>
            <w:r>
              <w:rPr>
                <w:rFonts w:ascii="Arial" w:cs="Arial" w:eastAsia="Arial" w:hAnsi="Arial"/>
                <w:color w:val="1A1A2E"/>
                <w:sz w:val="18"/>
                <w:szCs w:val="18"/>
              </w:rPr>
              <w:t xml:space="preserve">Mean airway pressure (cmH₂O)</w:t>
            </w:r>
          </w:p>
        </w:tc>
      </w:tr>
      <w:tr>
        <w:tc>
          <w:tcPr>
            <w:tcW w:type="dxa" w:w="2800"/>
            <w:tcBorders>
              <w:top w:val="none" w:color="FFFFFF" w:sz="0"/>
              <w:left w:val="none" w:color="FFFFFF" w:sz="0"/>
              <w:bottom w:val="none" w:color="FFFFFF" w:sz="0"/>
              <w:right w:val="none" w:color="FFFFFF" w:sz="0"/>
            </w:tcBorders>
            <w:shd w:fill="F2F2F2" w:val="clear"/>
            <w:tcMar>
              <w:top w:type="dxa" w:w="60"/>
              <w:left w:type="dxa" w:w="160"/>
              <w:bottom w:type="dxa" w:w="60"/>
              <w:right w:type="dxa" w:w="160"/>
            </w:tcMar>
          </w:tcPr>
          <w:p>
            <w:r>
              <w:rPr>
                <w:rFonts w:ascii="Courier New" w:cs="Courier New" w:eastAsia="Courier New" w:hAnsi="Courier New"/>
                <w:b/>
                <w:bCs/>
                <w:color w:val="1F4E79"/>
                <w:sz w:val="18"/>
                <w:szCs w:val="18"/>
              </w:rPr>
              <w:t xml:space="preserve">FiO₂</w:t>
            </w:r>
          </w:p>
        </w:tc>
        <w:tc>
          <w:tcPr>
            <w:tcW w:type="dxa" w:w="6560"/>
            <w:tcBorders>
              <w:top w:val="none" w:color="FFFFFF" w:sz="0"/>
              <w:left w:val="none" w:color="FFFFFF" w:sz="0"/>
              <w:bottom w:val="none" w:color="FFFFFF" w:sz="0"/>
              <w:right w:val="none" w:color="FFFFFF" w:sz="0"/>
            </w:tcBorders>
            <w:shd w:fill="F2F2F2" w:val="clear"/>
            <w:tcMar>
              <w:top w:type="dxa" w:w="60"/>
              <w:left w:type="dxa" w:w="160"/>
              <w:bottom w:type="dxa" w:w="60"/>
              <w:right w:type="dxa" w:w="160"/>
            </w:tcMar>
          </w:tcPr>
          <w:p>
            <w:r>
              <w:rPr>
                <w:rFonts w:ascii="Arial" w:cs="Arial" w:eastAsia="Arial" w:hAnsi="Arial"/>
                <w:color w:val="1A1A2E"/>
                <w:sz w:val="18"/>
                <w:szCs w:val="18"/>
              </w:rPr>
              <w:t xml:space="preserve">Fraction of inspired oxygen (0.21–1.00)</w:t>
            </w:r>
          </w:p>
        </w:tc>
      </w:tr>
      <w:tr>
        <w:tc>
          <w:tcPr>
            <w:tcW w:type="dxa" w:w="2800"/>
            <w:tcBorders>
              <w:top w:val="none" w:color="FFFFFF" w:sz="0"/>
              <w:left w:val="none" w:color="FFFFFF" w:sz="0"/>
              <w:bottom w:val="none" w:color="FFFFFF" w:sz="0"/>
              <w:right w:val="none" w:color="FFFFFF" w:sz="0"/>
            </w:tcBorders>
            <w:shd w:fill="F2F2F2" w:val="clear"/>
            <w:tcMar>
              <w:top w:type="dxa" w:w="60"/>
              <w:left w:type="dxa" w:w="160"/>
              <w:bottom w:type="dxa" w:w="60"/>
              <w:right w:type="dxa" w:w="160"/>
            </w:tcMar>
          </w:tcPr>
          <w:p>
            <w:r>
              <w:rPr>
                <w:rFonts w:ascii="Courier New" w:cs="Courier New" w:eastAsia="Courier New" w:hAnsi="Courier New"/>
                <w:b/>
                <w:bCs/>
                <w:color w:val="1F4E79"/>
                <w:sz w:val="18"/>
                <w:szCs w:val="18"/>
              </w:rPr>
              <w:t xml:space="preserve">PaO₂</w:t>
            </w:r>
          </w:p>
        </w:tc>
        <w:tc>
          <w:tcPr>
            <w:tcW w:type="dxa" w:w="6560"/>
            <w:tcBorders>
              <w:top w:val="none" w:color="FFFFFF" w:sz="0"/>
              <w:left w:val="none" w:color="FFFFFF" w:sz="0"/>
              <w:bottom w:val="none" w:color="FFFFFF" w:sz="0"/>
              <w:right w:val="none" w:color="FFFFFF" w:sz="0"/>
            </w:tcBorders>
            <w:shd w:fill="F2F2F2" w:val="clear"/>
            <w:tcMar>
              <w:top w:type="dxa" w:w="60"/>
              <w:left w:type="dxa" w:w="160"/>
              <w:bottom w:type="dxa" w:w="60"/>
              <w:right w:type="dxa" w:w="160"/>
            </w:tcMar>
          </w:tcPr>
          <w:p>
            <w:r>
              <w:rPr>
                <w:rFonts w:ascii="Arial" w:cs="Arial" w:eastAsia="Arial" w:hAnsi="Arial"/>
                <w:color w:val="1A1A2E"/>
                <w:sz w:val="18"/>
                <w:szCs w:val="18"/>
              </w:rPr>
              <w:t xml:space="preserve">Partial pressure of arterial oxygen (mmHg)</w:t>
            </w:r>
          </w:p>
        </w:tc>
      </w:tr>
    </w:tbl>
    <w:p>
      <w:pPr>
        <w:spacing w:after="120"/>
      </w:pPr>
      <w:r>
        <w:rPr>
          <w:rFonts w:ascii="Arial" w:cs="Arial" w:eastAsia="Arial" w:hAnsi="Arial"/>
          <w:b w:val="false"/>
          <w:bCs w:val="false"/>
          <w:color w:val="1A1A2E"/>
          <w:sz w:val="20"/>
          <w:szCs w:val="20"/>
        </w:rPr>
        <w:t xml:space="preserve">PALICC-2 PARDS severity categories by OI: mild 4 to &lt;8; moderate 8 to &lt;16; severe ≥16. Neonatal PPHN and CDH management guidelines use ECMO eligibility thresholds of OI ≥25–40 (see Section IV). Normal OI on minimal support is ≤4; OI &gt;40 on maximum conventional ventilation defines refractory hypoxemic respiratory failure. In a 2022 multicenter cohort of 831 PARDS patients (PMID: 35973770), OI ≥16 at 24 hours predicted mortality with sensitivity 68%, specificity 78%, AUC 0.78. Each 5-unit increase in OI at 24 hours conferred OR 1.29 (95% CI 1.20–1.39) for mortality.</w:t>
      </w:r>
    </w:p>
    <w:p>
      <w:pPr>
        <w:pStyle w:val="Heading3"/>
        <w:spacing w:after="100" w:before="200"/>
      </w:pPr>
      <w:r>
        <w:rPr>
          <w:rFonts w:ascii="Arial" w:cs="Arial" w:eastAsia="Arial" w:hAnsi="Arial"/>
          <w:b/>
          <w:bCs/>
          <w:color w:val="1F4E79"/>
          <w:sz w:val="22"/>
          <w:szCs w:val="22"/>
        </w:rPr>
        <w:t xml:space="preserve">Oxygenation Saturation Index (OSI) — Non-Invasive Surrogate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2800"/>
        <w:gridCol w:w="6560"/>
      </w:tblGrid>
      <w:tr>
        <w:tc>
          <w:tcPr>
            <w:gridSpan w:val="2"/>
            <w:tcBorders>
              <w:top w:val="none" w:color="FFFFFF" w:sz="0"/>
              <w:left w:val="none" w:color="FFFFFF" w:sz="0"/>
              <w:bottom w:val="none" w:color="FFFFFF" w:sz="0"/>
              <w:right w:val="none" w:color="FFFFFF" w:sz="0"/>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Oxygenation Saturation Index</w:t>
            </w:r>
          </w:p>
        </w:tc>
      </w:tr>
      <w:tr>
        <w:tc>
          <w:tcPr>
            <w:gridSpan w:val="2"/>
            <w:tcBorders>
              <w:top w:val="none" w:color="FFFFFF" w:sz="0"/>
              <w:left w:val="none" w:color="FFFFFF" w:sz="0"/>
              <w:bottom w:val="none" w:color="FFFFFF" w:sz="0"/>
              <w:right w:val="none" w:color="FFFFFF" w:sz="0"/>
            </w:tcBorders>
            <w:shd w:fill="DEEAF1" w:val="clear"/>
            <w:tcMar>
              <w:top w:type="dxa" w:w="120"/>
              <w:left w:type="dxa" w:w="160"/>
              <w:bottom w:type="dxa" w:w="120"/>
              <w:right w:type="dxa" w:w="160"/>
            </w:tcMar>
          </w:tcPr>
          <w:p>
            <w:pPr>
              <w:jc w:val="center"/>
            </w:pPr>
            <w:r>
              <w:rPr>
                <w:rFonts w:ascii="Courier New" w:cs="Courier New" w:eastAsia="Courier New" w:hAnsi="Courier New"/>
                <w:b/>
                <w:bCs/>
                <w:color w:val="1F4E79"/>
                <w:sz w:val="22"/>
                <w:szCs w:val="22"/>
              </w:rPr>
              <w:t xml:space="preserve">OSI = (MAP × FiO₂ × 100) / SpO₂</w:t>
            </w:r>
          </w:p>
        </w:tc>
      </w:tr>
      <w:tr>
        <w:tc>
          <w:tcPr>
            <w:tcW w:type="dxa" w:w="2800"/>
            <w:tcBorders>
              <w:top w:val="none" w:color="FFFFFF" w:sz="0"/>
              <w:left w:val="none" w:color="FFFFFF" w:sz="0"/>
              <w:bottom w:val="none" w:color="FFFFFF" w:sz="0"/>
              <w:right w:val="none" w:color="FFFFFF" w:sz="0"/>
            </w:tcBorders>
            <w:shd w:fill="F2F2F2" w:val="clear"/>
            <w:tcMar>
              <w:top w:type="dxa" w:w="60"/>
              <w:left w:type="dxa" w:w="160"/>
              <w:bottom w:type="dxa" w:w="60"/>
              <w:right w:type="dxa" w:w="160"/>
            </w:tcMar>
          </w:tcPr>
          <w:p>
            <w:r>
              <w:rPr>
                <w:rFonts w:ascii="Courier New" w:cs="Courier New" w:eastAsia="Courier New" w:hAnsi="Courier New"/>
                <w:b/>
                <w:bCs/>
                <w:color w:val="1F4E79"/>
                <w:sz w:val="18"/>
                <w:szCs w:val="18"/>
              </w:rPr>
              <w:t xml:space="preserve">MAP</w:t>
            </w:r>
          </w:p>
        </w:tc>
        <w:tc>
          <w:tcPr>
            <w:tcW w:type="dxa" w:w="6560"/>
            <w:tcBorders>
              <w:top w:val="none" w:color="FFFFFF" w:sz="0"/>
              <w:left w:val="none" w:color="FFFFFF" w:sz="0"/>
              <w:bottom w:val="none" w:color="FFFFFF" w:sz="0"/>
              <w:right w:val="none" w:color="FFFFFF" w:sz="0"/>
            </w:tcBorders>
            <w:shd w:fill="F2F2F2" w:val="clear"/>
            <w:tcMar>
              <w:top w:type="dxa" w:w="60"/>
              <w:left w:type="dxa" w:w="160"/>
              <w:bottom w:type="dxa" w:w="60"/>
              <w:right w:type="dxa" w:w="160"/>
            </w:tcMar>
          </w:tcPr>
          <w:p>
            <w:r>
              <w:rPr>
                <w:rFonts w:ascii="Arial" w:cs="Arial" w:eastAsia="Arial" w:hAnsi="Arial"/>
                <w:color w:val="1A1A2E"/>
                <w:sz w:val="18"/>
                <w:szCs w:val="18"/>
              </w:rPr>
              <w:t xml:space="preserve">Mean airway pressure (cmH₂O)</w:t>
            </w:r>
          </w:p>
        </w:tc>
      </w:tr>
      <w:tr>
        <w:tc>
          <w:tcPr>
            <w:tcW w:type="dxa" w:w="2800"/>
            <w:tcBorders>
              <w:top w:val="none" w:color="FFFFFF" w:sz="0"/>
              <w:left w:val="none" w:color="FFFFFF" w:sz="0"/>
              <w:bottom w:val="none" w:color="FFFFFF" w:sz="0"/>
              <w:right w:val="none" w:color="FFFFFF" w:sz="0"/>
            </w:tcBorders>
            <w:shd w:fill="F2F2F2" w:val="clear"/>
            <w:tcMar>
              <w:top w:type="dxa" w:w="60"/>
              <w:left w:type="dxa" w:w="160"/>
              <w:bottom w:type="dxa" w:w="60"/>
              <w:right w:type="dxa" w:w="160"/>
            </w:tcMar>
          </w:tcPr>
          <w:p>
            <w:r>
              <w:rPr>
                <w:rFonts w:ascii="Courier New" w:cs="Courier New" w:eastAsia="Courier New" w:hAnsi="Courier New"/>
                <w:b/>
                <w:bCs/>
                <w:color w:val="1F4E79"/>
                <w:sz w:val="18"/>
                <w:szCs w:val="18"/>
              </w:rPr>
              <w:t xml:space="preserve">FiO₂</w:t>
            </w:r>
          </w:p>
        </w:tc>
        <w:tc>
          <w:tcPr>
            <w:tcW w:type="dxa" w:w="6560"/>
            <w:tcBorders>
              <w:top w:val="none" w:color="FFFFFF" w:sz="0"/>
              <w:left w:val="none" w:color="FFFFFF" w:sz="0"/>
              <w:bottom w:val="none" w:color="FFFFFF" w:sz="0"/>
              <w:right w:val="none" w:color="FFFFFF" w:sz="0"/>
            </w:tcBorders>
            <w:shd w:fill="F2F2F2" w:val="clear"/>
            <w:tcMar>
              <w:top w:type="dxa" w:w="60"/>
              <w:left w:type="dxa" w:w="160"/>
              <w:bottom w:type="dxa" w:w="60"/>
              <w:right w:type="dxa" w:w="160"/>
            </w:tcMar>
          </w:tcPr>
          <w:p>
            <w:r>
              <w:rPr>
                <w:rFonts w:ascii="Arial" w:cs="Arial" w:eastAsia="Arial" w:hAnsi="Arial"/>
                <w:color w:val="1A1A2E"/>
                <w:sz w:val="18"/>
                <w:szCs w:val="18"/>
              </w:rPr>
              <w:t xml:space="preserve">Fraction of inspired oxygen (0.21–1.00)</w:t>
            </w:r>
          </w:p>
        </w:tc>
      </w:tr>
      <w:tr>
        <w:tc>
          <w:tcPr>
            <w:tcW w:type="dxa" w:w="2800"/>
            <w:tcBorders>
              <w:top w:val="none" w:color="FFFFFF" w:sz="0"/>
              <w:left w:val="none" w:color="FFFFFF" w:sz="0"/>
              <w:bottom w:val="none" w:color="FFFFFF" w:sz="0"/>
              <w:right w:val="none" w:color="FFFFFF" w:sz="0"/>
            </w:tcBorders>
            <w:shd w:fill="F2F2F2" w:val="clear"/>
            <w:tcMar>
              <w:top w:type="dxa" w:w="60"/>
              <w:left w:type="dxa" w:w="160"/>
              <w:bottom w:type="dxa" w:w="60"/>
              <w:right w:type="dxa" w:w="160"/>
            </w:tcMar>
          </w:tcPr>
          <w:p>
            <w:r>
              <w:rPr>
                <w:rFonts w:ascii="Courier New" w:cs="Courier New" w:eastAsia="Courier New" w:hAnsi="Courier New"/>
                <w:b/>
                <w:bCs/>
                <w:color w:val="1F4E79"/>
                <w:sz w:val="18"/>
                <w:szCs w:val="18"/>
              </w:rPr>
              <w:t xml:space="preserve">SpO₂</w:t>
            </w:r>
          </w:p>
        </w:tc>
        <w:tc>
          <w:tcPr>
            <w:tcW w:type="dxa" w:w="6560"/>
            <w:tcBorders>
              <w:top w:val="none" w:color="FFFFFF" w:sz="0"/>
              <w:left w:val="none" w:color="FFFFFF" w:sz="0"/>
              <w:bottom w:val="none" w:color="FFFFFF" w:sz="0"/>
              <w:right w:val="none" w:color="FFFFFF" w:sz="0"/>
            </w:tcBorders>
            <w:shd w:fill="F2F2F2" w:val="clear"/>
            <w:tcMar>
              <w:top w:type="dxa" w:w="60"/>
              <w:left w:type="dxa" w:w="160"/>
              <w:bottom w:type="dxa" w:w="60"/>
              <w:right w:type="dxa" w:w="160"/>
            </w:tcMar>
          </w:tcPr>
          <w:p>
            <w:r>
              <w:rPr>
                <w:rFonts w:ascii="Arial" w:cs="Arial" w:eastAsia="Arial" w:hAnsi="Arial"/>
                <w:color w:val="1A1A2E"/>
                <w:sz w:val="18"/>
                <w:szCs w:val="18"/>
              </w:rPr>
              <w:t xml:space="preserve">Peripheral oxygen saturation by pulse oximetry (%), valid range 80–97%</w:t>
            </w:r>
          </w:p>
        </w:tc>
      </w:tr>
    </w:tbl>
    <w:p>
      <w:pPr>
        <w:spacing w:after="120"/>
      </w:pPr>
      <w:r>
        <w:rPr>
          <w:rFonts w:ascii="Arial" w:cs="Arial" w:eastAsia="Arial" w:hAnsi="Arial"/>
          <w:b w:val="false"/>
          <w:bCs w:val="false"/>
          <w:color w:val="1A1A2E"/>
          <w:sz w:val="20"/>
          <w:szCs w:val="20"/>
        </w:rPr>
        <w:t xml:space="preserve">The OSI was derived and validated by Khemani et al. (PMID: 22614709) in 1,202 mechanically ventilated children. The correlation coefficient between OI and OSI was r=0.82 (Spearman). OSI thresholds corresponding to PARDS OI categories: mild OI 4–8 corresponds to OSI 5–7.5; moderate OI 8–16 corresponds to OSI 7.5–12.3; severe OI ≥16 corresponds to OSI ≥12.3. The relationship between OI and OSI is non-linear and is only valid when SpO₂ is 80–97% (the near-linear portion of the oxyhemoglobin dissociation curve). The PALICC-2 update validated OSI as equivalent to OI for PARDS severity classification when arterial access is unavailable, noting AUC for mortality of 0.74 for OSI vs 0.78 for OI (p=0.07; non-inferior).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60"/>
        </w:tblCellMar>
      </w:tblPr>
      <w:tblGrid>
        <w:gridCol w:w="360"/>
        <w:gridCol w:w="9000"/>
      </w:tblGrid>
      <w:tr>
        <w:tc>
          <w:tcPr>
            <w:tcW w:type="dxa" w:w="360"/>
            <w:tcBorders>
              <w:top w:val="none" w:color="FFFFFF" w:sz="0"/>
              <w:left w:val="none" w:color="FFFFFF" w:sz="0"/>
              <w:bottom w:val="none" w:color="FFFFFF" w:sz="0"/>
              <w:right w:val="none" w:color="FFFFFF" w:sz="0"/>
            </w:tcBorders>
            <w:shd w:fill="2E75B6" w:val="clear"/>
            <w:tcMar>
              <w:top w:type="dxa" w:w="100"/>
              <w:left w:type="dxa" w:w="80"/>
              <w:bottom w:type="dxa" w:w="100"/>
              <w:right w:type="dxa" w:w="80"/>
            </w:tcMar>
          </w:tcPr>
          <w:p>
            <w:r>
              <w:rPr>
                <w:rFonts w:ascii="Arial" w:cs="Arial" w:eastAsia="Arial" w:hAnsi="Arial"/>
                <w:color w:val="FFFFFF"/>
                <w:sz w:val="20"/>
                <w:szCs w:val="20"/>
              </w:rPr>
              <w:t xml:space="preserve">▶</w:t>
            </w:r>
          </w:p>
        </w:tc>
        <w:tc>
          <w:tcPr>
            <w:tcW w:type="dxa" w:w="9000"/>
            <w:tcBorders>
              <w:top w:val="none" w:color="FFFFFF" w:sz="0"/>
              <w:left w:val="none" w:color="FFFFFF" w:sz="0"/>
              <w:bottom w:val="none" w:color="FFFFFF" w:sz="0"/>
              <w:right w:val="none" w:color="FFFFFF" w:sz="0"/>
            </w:tcBorders>
            <w:shd w:fill="FFE699" w:val="clear"/>
            <w:tcMar>
              <w:top w:type="dxa" w:w="100"/>
              <w:left w:type="dxa" w:w="160"/>
              <w:bottom w:type="dxa" w:w="100"/>
              <w:right w:type="dxa" w:w="160"/>
            </w:tcMar>
          </w:tcPr>
          <w:p>
            <w:r>
              <w:rPr>
                <w:rFonts w:ascii="Arial" w:cs="Arial" w:eastAsia="Arial" w:hAnsi="Arial"/>
                <w:color w:val="1A1A2E"/>
                <w:sz w:val="18"/>
                <w:szCs w:val="18"/>
              </w:rPr>
              <w:t xml:space="preserve">CRITICAL VALIDITY CONSTRAINT: OSI becomes unreliable when SpO₂ &gt;97% (the flat upper portion of the oxyhemoglobin dissociation curve where large PaO₂ changes produce minimal SpO₂ changes) or when SpO₂ &lt;80% (steep portion where small changes in SaO₂ reflect large changes in PaO₂). PALICC-2 recommends targeting SpO₂ 92–96% in PARDS to optimize OSI reliability and avoid both hypoxemia-related injury and hyperoxia-related lung toxicity.</w:t>
            </w:r>
          </w:p>
        </w:tc>
      </w:tr>
    </w:tbl>
    <w:p>
      <w:pPr>
        <w:pStyle w:val="Heading3"/>
        <w:spacing w:after="100" w:before="200"/>
      </w:pPr>
      <w:r>
        <w:rPr>
          <w:rFonts w:ascii="Arial" w:cs="Arial" w:eastAsia="Arial" w:hAnsi="Arial"/>
          <w:b/>
          <w:bCs/>
          <w:color w:val="1F4E79"/>
          <w:sz w:val="22"/>
          <w:szCs w:val="22"/>
        </w:rPr>
        <w:t xml:space="preserve">SpO₂/FiO₂ (SF) Ratio as P/F Ratio Surrogate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2800"/>
        <w:gridCol w:w="6560"/>
      </w:tblGrid>
      <w:tr>
        <w:tc>
          <w:tcPr>
            <w:gridSpan w:val="2"/>
            <w:tcBorders>
              <w:top w:val="none" w:color="FFFFFF" w:sz="0"/>
              <w:left w:val="none" w:color="FFFFFF" w:sz="0"/>
              <w:bottom w:val="none" w:color="FFFFFF" w:sz="0"/>
              <w:right w:val="none" w:color="FFFFFF" w:sz="0"/>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SpO₂/FiO₂ Ratio</w:t>
            </w:r>
          </w:p>
        </w:tc>
      </w:tr>
      <w:tr>
        <w:tc>
          <w:tcPr>
            <w:gridSpan w:val="2"/>
            <w:tcBorders>
              <w:top w:val="none" w:color="FFFFFF" w:sz="0"/>
              <w:left w:val="none" w:color="FFFFFF" w:sz="0"/>
              <w:bottom w:val="none" w:color="FFFFFF" w:sz="0"/>
              <w:right w:val="none" w:color="FFFFFF" w:sz="0"/>
            </w:tcBorders>
            <w:shd w:fill="DEEAF1" w:val="clear"/>
            <w:tcMar>
              <w:top w:type="dxa" w:w="120"/>
              <w:left w:type="dxa" w:w="160"/>
              <w:bottom w:type="dxa" w:w="120"/>
              <w:right w:type="dxa" w:w="160"/>
            </w:tcMar>
          </w:tcPr>
          <w:p>
            <w:pPr>
              <w:jc w:val="center"/>
            </w:pPr>
            <w:r>
              <w:rPr>
                <w:rFonts w:ascii="Courier New" w:cs="Courier New" w:eastAsia="Courier New" w:hAnsi="Courier New"/>
                <w:b/>
                <w:bCs/>
                <w:color w:val="1F4E79"/>
                <w:sz w:val="22"/>
                <w:szCs w:val="22"/>
              </w:rPr>
              <w:t xml:space="preserve">SF = SpO₂ / FiO₂</w:t>
            </w:r>
          </w:p>
        </w:tc>
      </w:tr>
      <w:tr>
        <w:tc>
          <w:tcPr>
            <w:tcW w:type="dxa" w:w="2800"/>
            <w:tcBorders>
              <w:top w:val="none" w:color="FFFFFF" w:sz="0"/>
              <w:left w:val="none" w:color="FFFFFF" w:sz="0"/>
              <w:bottom w:val="none" w:color="FFFFFF" w:sz="0"/>
              <w:right w:val="none" w:color="FFFFFF" w:sz="0"/>
            </w:tcBorders>
            <w:shd w:fill="F2F2F2" w:val="clear"/>
            <w:tcMar>
              <w:top w:type="dxa" w:w="60"/>
              <w:left w:type="dxa" w:w="160"/>
              <w:bottom w:type="dxa" w:w="60"/>
              <w:right w:type="dxa" w:w="160"/>
            </w:tcMar>
          </w:tcPr>
          <w:p>
            <w:r>
              <w:rPr>
                <w:rFonts w:ascii="Courier New" w:cs="Courier New" w:eastAsia="Courier New" w:hAnsi="Courier New"/>
                <w:b/>
                <w:bCs/>
                <w:color w:val="1F4E79"/>
                <w:sz w:val="18"/>
                <w:szCs w:val="18"/>
              </w:rPr>
              <w:t xml:space="preserve">SpO₂</w:t>
            </w:r>
          </w:p>
        </w:tc>
        <w:tc>
          <w:tcPr>
            <w:tcW w:type="dxa" w:w="6560"/>
            <w:tcBorders>
              <w:top w:val="none" w:color="FFFFFF" w:sz="0"/>
              <w:left w:val="none" w:color="FFFFFF" w:sz="0"/>
              <w:bottom w:val="none" w:color="FFFFFF" w:sz="0"/>
              <w:right w:val="none" w:color="FFFFFF" w:sz="0"/>
            </w:tcBorders>
            <w:shd w:fill="F2F2F2" w:val="clear"/>
            <w:tcMar>
              <w:top w:type="dxa" w:w="60"/>
              <w:left w:type="dxa" w:w="160"/>
              <w:bottom w:type="dxa" w:w="60"/>
              <w:right w:type="dxa" w:w="160"/>
            </w:tcMar>
          </w:tcPr>
          <w:p>
            <w:r>
              <w:rPr>
                <w:rFonts w:ascii="Arial" w:cs="Arial" w:eastAsia="Arial" w:hAnsi="Arial"/>
                <w:color w:val="1A1A2E"/>
                <w:sz w:val="18"/>
                <w:szCs w:val="18"/>
              </w:rPr>
              <w:t xml:space="preserve">Peripheral oxygen saturation (%)</w:t>
            </w:r>
          </w:p>
        </w:tc>
      </w:tr>
      <w:tr>
        <w:tc>
          <w:tcPr>
            <w:tcW w:type="dxa" w:w="2800"/>
            <w:tcBorders>
              <w:top w:val="none" w:color="FFFFFF" w:sz="0"/>
              <w:left w:val="none" w:color="FFFFFF" w:sz="0"/>
              <w:bottom w:val="none" w:color="FFFFFF" w:sz="0"/>
              <w:right w:val="none" w:color="FFFFFF" w:sz="0"/>
            </w:tcBorders>
            <w:shd w:fill="F2F2F2" w:val="clear"/>
            <w:tcMar>
              <w:top w:type="dxa" w:w="60"/>
              <w:left w:type="dxa" w:w="160"/>
              <w:bottom w:type="dxa" w:w="60"/>
              <w:right w:type="dxa" w:w="160"/>
            </w:tcMar>
          </w:tcPr>
          <w:p>
            <w:r>
              <w:rPr>
                <w:rFonts w:ascii="Courier New" w:cs="Courier New" w:eastAsia="Courier New" w:hAnsi="Courier New"/>
                <w:b/>
                <w:bCs/>
                <w:color w:val="1F4E79"/>
                <w:sz w:val="18"/>
                <w:szCs w:val="18"/>
              </w:rPr>
              <w:t xml:space="preserve">FiO₂</w:t>
            </w:r>
          </w:p>
        </w:tc>
        <w:tc>
          <w:tcPr>
            <w:tcW w:type="dxa" w:w="6560"/>
            <w:tcBorders>
              <w:top w:val="none" w:color="FFFFFF" w:sz="0"/>
              <w:left w:val="none" w:color="FFFFFF" w:sz="0"/>
              <w:bottom w:val="none" w:color="FFFFFF" w:sz="0"/>
              <w:right w:val="none" w:color="FFFFFF" w:sz="0"/>
            </w:tcBorders>
            <w:shd w:fill="F2F2F2" w:val="clear"/>
            <w:tcMar>
              <w:top w:type="dxa" w:w="60"/>
              <w:left w:type="dxa" w:w="160"/>
              <w:bottom w:type="dxa" w:w="60"/>
              <w:right w:type="dxa" w:w="160"/>
            </w:tcMar>
          </w:tcPr>
          <w:p>
            <w:r>
              <w:rPr>
                <w:rFonts w:ascii="Arial" w:cs="Arial" w:eastAsia="Arial" w:hAnsi="Arial"/>
                <w:color w:val="1A1A2E"/>
                <w:sz w:val="18"/>
                <w:szCs w:val="18"/>
              </w:rPr>
              <w:t xml:space="preserve">Fraction of inspired oxygen (0.21–1.00)</w:t>
            </w:r>
          </w:p>
        </w:tc>
      </w:tr>
    </w:tbl>
    <w:p>
      <w:pPr>
        <w:spacing w:after="120"/>
      </w:pPr>
      <w:r>
        <w:rPr>
          <w:rFonts w:ascii="Arial" w:cs="Arial" w:eastAsia="Arial" w:hAnsi="Arial"/>
          <w:b w:val="false"/>
          <w:bCs w:val="false"/>
          <w:color w:val="1A1A2E"/>
          <w:sz w:val="20"/>
          <w:szCs w:val="20"/>
        </w:rPr>
        <w:t xml:space="preserve">Rice et al. (PMID: 17596365) derived the adult SF/PF relationship: PF = 64 + 0.84 × SF (R²=0.64). P/F thresholds of 300, 200, 100 mmHg correspond approximately to SF values of 315, 235, and 150, respectively. Pediatric-specific validation by Khemani et al. (PMID: 19602704) in 269 children showed: SF 300 ↔ PF 200 and SF 200 ↔ PF 100 were the most discriminating equivalency pairs (AUC 0.85 for mortality). A 2019 meta-analysis (PMID: 30580974) of 5 pediatric studies (n=2,247) confirmed SF &lt;315 correctly identified P/F &lt;300 (sensitivity 95%, specificity 79%), and SF &lt;200 correctly identified P/F &lt;200 (sensitivity 86%, specificity 90%).</w:t>
      </w:r>
    </w:p>
    <w:p>
      <w:pPr>
        <w:pStyle w:val="Heading3"/>
        <w:spacing w:after="100" w:before="200"/>
      </w:pPr>
      <w:r>
        <w:rPr>
          <w:rFonts w:ascii="Arial" w:cs="Arial" w:eastAsia="Arial" w:hAnsi="Arial"/>
          <w:b/>
          <w:bCs/>
          <w:color w:val="1F4E79"/>
          <w:sz w:val="22"/>
          <w:szCs w:val="22"/>
        </w:rPr>
        <w:t xml:space="preserve">P/F Ratio (PaO₂/FiO₂)</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2800"/>
        <w:gridCol w:w="6560"/>
      </w:tblGrid>
      <w:tr>
        <w:tc>
          <w:tcPr>
            <w:gridSpan w:val="2"/>
            <w:tcBorders>
              <w:top w:val="none" w:color="FFFFFF" w:sz="0"/>
              <w:left w:val="none" w:color="FFFFFF" w:sz="0"/>
              <w:bottom w:val="none" w:color="FFFFFF" w:sz="0"/>
              <w:right w:val="none" w:color="FFFFFF" w:sz="0"/>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P/F Ratio</w:t>
            </w:r>
          </w:p>
        </w:tc>
      </w:tr>
      <w:tr>
        <w:tc>
          <w:tcPr>
            <w:gridSpan w:val="2"/>
            <w:tcBorders>
              <w:top w:val="none" w:color="FFFFFF" w:sz="0"/>
              <w:left w:val="none" w:color="FFFFFF" w:sz="0"/>
              <w:bottom w:val="none" w:color="FFFFFF" w:sz="0"/>
              <w:right w:val="none" w:color="FFFFFF" w:sz="0"/>
            </w:tcBorders>
            <w:shd w:fill="DEEAF1" w:val="clear"/>
            <w:tcMar>
              <w:top w:type="dxa" w:w="120"/>
              <w:left w:type="dxa" w:w="160"/>
              <w:bottom w:type="dxa" w:w="120"/>
              <w:right w:type="dxa" w:w="160"/>
            </w:tcMar>
          </w:tcPr>
          <w:p>
            <w:pPr>
              <w:jc w:val="center"/>
            </w:pPr>
            <w:r>
              <w:rPr>
                <w:rFonts w:ascii="Courier New" w:cs="Courier New" w:eastAsia="Courier New" w:hAnsi="Courier New"/>
                <w:b/>
                <w:bCs/>
                <w:color w:val="1F4E79"/>
                <w:sz w:val="22"/>
                <w:szCs w:val="22"/>
              </w:rPr>
              <w:t xml:space="preserve">PF = PaO₂ / FiO₂</w:t>
            </w:r>
          </w:p>
        </w:tc>
      </w:tr>
      <w:tr>
        <w:tc>
          <w:tcPr>
            <w:tcW w:type="dxa" w:w="2800"/>
            <w:tcBorders>
              <w:top w:val="none" w:color="FFFFFF" w:sz="0"/>
              <w:left w:val="none" w:color="FFFFFF" w:sz="0"/>
              <w:bottom w:val="none" w:color="FFFFFF" w:sz="0"/>
              <w:right w:val="none" w:color="FFFFFF" w:sz="0"/>
            </w:tcBorders>
            <w:shd w:fill="F2F2F2" w:val="clear"/>
            <w:tcMar>
              <w:top w:type="dxa" w:w="60"/>
              <w:left w:type="dxa" w:w="160"/>
              <w:bottom w:type="dxa" w:w="60"/>
              <w:right w:type="dxa" w:w="160"/>
            </w:tcMar>
          </w:tcPr>
          <w:p>
            <w:r>
              <w:rPr>
                <w:rFonts w:ascii="Courier New" w:cs="Courier New" w:eastAsia="Courier New" w:hAnsi="Courier New"/>
                <w:b/>
                <w:bCs/>
                <w:color w:val="1F4E79"/>
                <w:sz w:val="18"/>
                <w:szCs w:val="18"/>
              </w:rPr>
              <w:t xml:space="preserve">PaO₂</w:t>
            </w:r>
          </w:p>
        </w:tc>
        <w:tc>
          <w:tcPr>
            <w:tcW w:type="dxa" w:w="6560"/>
            <w:tcBorders>
              <w:top w:val="none" w:color="FFFFFF" w:sz="0"/>
              <w:left w:val="none" w:color="FFFFFF" w:sz="0"/>
              <w:bottom w:val="none" w:color="FFFFFF" w:sz="0"/>
              <w:right w:val="none" w:color="FFFFFF" w:sz="0"/>
            </w:tcBorders>
            <w:shd w:fill="F2F2F2" w:val="clear"/>
            <w:tcMar>
              <w:top w:type="dxa" w:w="60"/>
              <w:left w:type="dxa" w:w="160"/>
              <w:bottom w:type="dxa" w:w="60"/>
              <w:right w:type="dxa" w:w="160"/>
            </w:tcMar>
          </w:tcPr>
          <w:p>
            <w:r>
              <w:rPr>
                <w:rFonts w:ascii="Arial" w:cs="Arial" w:eastAsia="Arial" w:hAnsi="Arial"/>
                <w:color w:val="1A1A2E"/>
                <w:sz w:val="18"/>
                <w:szCs w:val="18"/>
              </w:rPr>
              <w:t xml:space="preserve">Partial pressure of arterial oxygen (mmHg)</w:t>
            </w:r>
          </w:p>
        </w:tc>
      </w:tr>
      <w:tr>
        <w:tc>
          <w:tcPr>
            <w:tcW w:type="dxa" w:w="2800"/>
            <w:tcBorders>
              <w:top w:val="none" w:color="FFFFFF" w:sz="0"/>
              <w:left w:val="none" w:color="FFFFFF" w:sz="0"/>
              <w:bottom w:val="none" w:color="FFFFFF" w:sz="0"/>
              <w:right w:val="none" w:color="FFFFFF" w:sz="0"/>
            </w:tcBorders>
            <w:shd w:fill="F2F2F2" w:val="clear"/>
            <w:tcMar>
              <w:top w:type="dxa" w:w="60"/>
              <w:left w:type="dxa" w:w="160"/>
              <w:bottom w:type="dxa" w:w="60"/>
              <w:right w:type="dxa" w:w="160"/>
            </w:tcMar>
          </w:tcPr>
          <w:p>
            <w:r>
              <w:rPr>
                <w:rFonts w:ascii="Courier New" w:cs="Courier New" w:eastAsia="Courier New" w:hAnsi="Courier New"/>
                <w:b/>
                <w:bCs/>
                <w:color w:val="1F4E79"/>
                <w:sz w:val="18"/>
                <w:szCs w:val="18"/>
              </w:rPr>
              <w:t xml:space="preserve">FiO₂</w:t>
            </w:r>
          </w:p>
        </w:tc>
        <w:tc>
          <w:tcPr>
            <w:tcW w:type="dxa" w:w="6560"/>
            <w:tcBorders>
              <w:top w:val="none" w:color="FFFFFF" w:sz="0"/>
              <w:left w:val="none" w:color="FFFFFF" w:sz="0"/>
              <w:bottom w:val="none" w:color="FFFFFF" w:sz="0"/>
              <w:right w:val="none" w:color="FFFFFF" w:sz="0"/>
            </w:tcBorders>
            <w:shd w:fill="F2F2F2" w:val="clear"/>
            <w:tcMar>
              <w:top w:type="dxa" w:w="60"/>
              <w:left w:type="dxa" w:w="160"/>
              <w:bottom w:type="dxa" w:w="60"/>
              <w:right w:type="dxa" w:w="160"/>
            </w:tcMar>
          </w:tcPr>
          <w:p>
            <w:r>
              <w:rPr>
                <w:rFonts w:ascii="Arial" w:cs="Arial" w:eastAsia="Arial" w:hAnsi="Arial"/>
                <w:color w:val="1A1A2E"/>
                <w:sz w:val="18"/>
                <w:szCs w:val="18"/>
              </w:rPr>
              <w:t xml:space="preserve">Fraction of inspired oxygen (0.21–1.00)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200"/>
        </w:tblCellMar>
      </w:tblPr>
      <w:tblGrid>
        <w:gridCol w:w="4680"/>
        <w:gridCol w:w="4680"/>
      </w:tblGrid>
      <w:tr>
        <w:trPr>
          <w:tblHeader/>
        </w:trPr>
        <w:tc>
          <w:tcPr>
            <w:tcW w:type="dxa" w:w="468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P/F Ratio (mmHg)</w:t>
            </w:r>
          </w:p>
        </w:tc>
        <w:tc>
          <w:tcPr>
            <w:tcW w:type="dxa" w:w="468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ARDS Severity (Berlin / PALICC-2)</w:t>
            </w:r>
          </w:p>
        </w:tc>
      </w:tr>
      <w:tr>
        <w:tc>
          <w:tcPr>
            <w:tcW w:type="dxa" w:w="468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&gt;300</w:t>
            </w:r>
          </w:p>
        </w:tc>
        <w:tc>
          <w:tcPr>
            <w:tcW w:type="dxa" w:w="468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No ARDS</w:t>
            </w:r>
          </w:p>
        </w:tc>
      </w:tr>
      <w:tr>
        <w:tc>
          <w:tcPr>
            <w:tcW w:type="dxa" w:w="468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200–300</w:t>
            </w:r>
          </w:p>
        </w:tc>
        <w:tc>
          <w:tcPr>
            <w:tcW w:type="dxa" w:w="468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Mild ARDS / PARDS</w:t>
            </w:r>
          </w:p>
        </w:tc>
      </w:tr>
      <w:tr>
        <w:tc>
          <w:tcPr>
            <w:tcW w:type="dxa" w:w="468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100–200</w:t>
            </w:r>
          </w:p>
        </w:tc>
        <w:tc>
          <w:tcPr>
            <w:tcW w:type="dxa" w:w="468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Moderate ARDS / PARDS</w:t>
            </w:r>
          </w:p>
        </w:tc>
      </w:tr>
      <w:tr>
        <w:tc>
          <w:tcPr>
            <w:tcW w:type="dxa" w:w="468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&lt;100</w:t>
            </w:r>
          </w:p>
        </w:tc>
        <w:tc>
          <w:tcPr>
            <w:tcW w:type="dxa" w:w="468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Severe ARDS / PARDS</w:t>
            </w:r>
          </w:p>
        </w:tc>
      </w:tr>
    </w:tbl>
    <w:p>
      <w:pPr>
        <w:spacing w:after="120"/>
      </w:pPr>
      <w:r>
        <w:rPr>
          <w:rFonts w:ascii="Arial" w:cs="Arial" w:eastAsia="Arial" w:hAnsi="Arial"/>
          <w:b w:val="false"/>
          <w:bCs w:val="false"/>
          <w:color w:val="1A1A2E"/>
          <w:sz w:val="20"/>
          <w:szCs w:val="20"/>
        </w:rPr>
        <w:t xml:space="preserve">A critical pediatric limitation of the P/F ratio: unlike in adults where PEEP is usually specified and relatively standardized, children on high-frequency oscillatory ventilation have MAP as their primary pressure parameter, which is not directly equivalent to PEEP in conventional ventilation. Additionally, the P/F ratio does not account for the level of ventilatory support, making OI superior for severity stratification and comparison across ventilator modes.</w:t>
      </w:r>
    </w:p>
    <w:p>
      <w:pPr>
        <w:pStyle w:val="Heading2"/>
        <w:pBdr>
          <w:bottom w:val="single" w:color="2E75B6" w:sz="4" w:space="1"/>
        </w:pBdr>
        <w:spacing w:after="140" w:before="280"/>
      </w:pPr>
      <w:r>
        <w:rPr>
          <w:rFonts w:ascii="Arial" w:cs="Arial" w:eastAsia="Arial" w:hAnsi="Arial"/>
          <w:b/>
          <w:bCs/>
          <w:color w:val="2E75B6"/>
          <w:sz w:val="26"/>
          <w:szCs w:val="26"/>
        </w:rPr>
        <w:t xml:space="preserve">2.2 Westley Croup Score</w:t>
      </w:r>
    </w:p>
    <w:p>
      <w:pPr>
        <w:spacing w:after="120"/>
      </w:pPr>
      <w:r>
        <w:rPr>
          <w:rFonts w:ascii="Arial" w:cs="Arial" w:eastAsia="Arial" w:hAnsi="Arial"/>
          <w:b w:val="false"/>
          <w:bCs w:val="false"/>
          <w:color w:val="1A1A2E"/>
          <w:sz w:val="20"/>
          <w:szCs w:val="20"/>
        </w:rPr>
        <w:t xml:space="preserve">The Westley Croup Score (Westley et al., 1978; PMID: 701623) is the most extensively validated scoring instrument for quantifying croup severity and guiding treatment decisions. It assigns 0–3 points for stridor, 0–2 points for retractions, 0–2 points for air entry, 0–5 for cyanosis, and 0–5 for level of consciousness, for a maximum of 17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200"/>
        </w:tblCellMar>
      </w:tblPr>
      <w:tblGrid>
        <w:gridCol w:w="3120"/>
        <w:gridCol w:w="3120"/>
        <w:gridCol w:w="3120"/>
      </w:tblGrid>
      <w:tr>
        <w:trPr>
          <w:tblHeader/>
        </w:trPr>
        <w:tc>
          <w:tcPr>
            <w:tcW w:type="dxa" w:w="312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Parameter</w:t>
            </w:r>
          </w:p>
        </w:tc>
        <w:tc>
          <w:tcPr>
            <w:tcW w:type="dxa" w:w="312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Finding</w:t>
            </w:r>
          </w:p>
        </w:tc>
        <w:tc>
          <w:tcPr>
            <w:tcW w:type="dxa" w:w="312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Points</w:t>
            </w:r>
          </w:p>
        </w:tc>
      </w:tr>
      <w:tr>
        <w:tc>
          <w:tcPr>
            <w:tcW w:type="dxa" w:w="31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Stridor</w:t>
            </w:r>
          </w:p>
        </w:tc>
        <w:tc>
          <w:tcPr>
            <w:tcW w:type="dxa" w:w="31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None</w:t>
            </w:r>
          </w:p>
        </w:tc>
        <w:tc>
          <w:tcPr>
            <w:tcW w:type="dxa" w:w="31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0</w:t>
            </w:r>
          </w:p>
        </w:tc>
      </w:tr>
      <w:tr>
        <w:tc>
          <w:tcPr>
            <w:tcW w:type="dxa" w:w="312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Stridor</w:t>
            </w:r>
          </w:p>
        </w:tc>
        <w:tc>
          <w:tcPr>
            <w:tcW w:type="dxa" w:w="312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At rest with stethoscope</w:t>
            </w:r>
          </w:p>
        </w:tc>
        <w:tc>
          <w:tcPr>
            <w:tcW w:type="dxa" w:w="312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1</w:t>
            </w:r>
          </w:p>
        </w:tc>
      </w:tr>
      <w:tr>
        <w:tc>
          <w:tcPr>
            <w:tcW w:type="dxa" w:w="31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Stridor</w:t>
            </w:r>
          </w:p>
        </w:tc>
        <w:tc>
          <w:tcPr>
            <w:tcW w:type="dxa" w:w="31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At rest without stethoscope</w:t>
            </w:r>
          </w:p>
        </w:tc>
        <w:tc>
          <w:tcPr>
            <w:tcW w:type="dxa" w:w="31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2</w:t>
            </w:r>
          </w:p>
        </w:tc>
      </w:tr>
      <w:tr>
        <w:tc>
          <w:tcPr>
            <w:tcW w:type="dxa" w:w="312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Stridor</w:t>
            </w:r>
          </w:p>
        </w:tc>
        <w:tc>
          <w:tcPr>
            <w:tcW w:type="dxa" w:w="312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Marked inspiratory and expiratory</w:t>
            </w:r>
          </w:p>
        </w:tc>
        <w:tc>
          <w:tcPr>
            <w:tcW w:type="dxa" w:w="312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3</w:t>
            </w:r>
          </w:p>
        </w:tc>
      </w:tr>
      <w:tr>
        <w:tc>
          <w:tcPr>
            <w:tcW w:type="dxa" w:w="31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Retractions</w:t>
            </w:r>
          </w:p>
        </w:tc>
        <w:tc>
          <w:tcPr>
            <w:tcW w:type="dxa" w:w="31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None</w:t>
            </w:r>
          </w:p>
        </w:tc>
        <w:tc>
          <w:tcPr>
            <w:tcW w:type="dxa" w:w="31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0</w:t>
            </w:r>
          </w:p>
        </w:tc>
      </w:tr>
      <w:tr>
        <w:tc>
          <w:tcPr>
            <w:tcW w:type="dxa" w:w="312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Retractions</w:t>
            </w:r>
          </w:p>
        </w:tc>
        <w:tc>
          <w:tcPr>
            <w:tcW w:type="dxa" w:w="312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Mild</w:t>
            </w:r>
          </w:p>
        </w:tc>
        <w:tc>
          <w:tcPr>
            <w:tcW w:type="dxa" w:w="312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1</w:t>
            </w:r>
          </w:p>
        </w:tc>
      </w:tr>
      <w:tr>
        <w:tc>
          <w:tcPr>
            <w:tcW w:type="dxa" w:w="31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Retractions</w:t>
            </w:r>
          </w:p>
        </w:tc>
        <w:tc>
          <w:tcPr>
            <w:tcW w:type="dxa" w:w="31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Moderate</w:t>
            </w:r>
          </w:p>
        </w:tc>
        <w:tc>
          <w:tcPr>
            <w:tcW w:type="dxa" w:w="31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2</w:t>
            </w:r>
          </w:p>
        </w:tc>
      </w:tr>
      <w:tr>
        <w:tc>
          <w:tcPr>
            <w:tcW w:type="dxa" w:w="312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Retractions</w:t>
            </w:r>
          </w:p>
        </w:tc>
        <w:tc>
          <w:tcPr>
            <w:tcW w:type="dxa" w:w="312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Severe</w:t>
            </w:r>
          </w:p>
        </w:tc>
        <w:tc>
          <w:tcPr>
            <w:tcW w:type="dxa" w:w="312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3</w:t>
            </w:r>
          </w:p>
        </w:tc>
      </w:tr>
      <w:tr>
        <w:tc>
          <w:tcPr>
            <w:tcW w:type="dxa" w:w="31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Air Entry</w:t>
            </w:r>
          </w:p>
        </w:tc>
        <w:tc>
          <w:tcPr>
            <w:tcW w:type="dxa" w:w="31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Normal</w:t>
            </w:r>
          </w:p>
        </w:tc>
        <w:tc>
          <w:tcPr>
            <w:tcW w:type="dxa" w:w="31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0</w:t>
            </w:r>
          </w:p>
        </w:tc>
      </w:tr>
      <w:tr>
        <w:tc>
          <w:tcPr>
            <w:tcW w:type="dxa" w:w="312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Air Entry</w:t>
            </w:r>
          </w:p>
        </w:tc>
        <w:tc>
          <w:tcPr>
            <w:tcW w:type="dxa" w:w="312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Decreased</w:t>
            </w:r>
          </w:p>
        </w:tc>
        <w:tc>
          <w:tcPr>
            <w:tcW w:type="dxa" w:w="312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1</w:t>
            </w:r>
          </w:p>
        </w:tc>
      </w:tr>
      <w:tr>
        <w:tc>
          <w:tcPr>
            <w:tcW w:type="dxa" w:w="31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Air Entry</w:t>
            </w:r>
          </w:p>
        </w:tc>
        <w:tc>
          <w:tcPr>
            <w:tcW w:type="dxa" w:w="31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Markedly decreased</w:t>
            </w:r>
          </w:p>
        </w:tc>
        <w:tc>
          <w:tcPr>
            <w:tcW w:type="dxa" w:w="31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2</w:t>
            </w:r>
          </w:p>
        </w:tc>
      </w:tr>
      <w:tr>
        <w:tc>
          <w:tcPr>
            <w:tcW w:type="dxa" w:w="312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Cyanosis</w:t>
            </w:r>
          </w:p>
        </w:tc>
        <w:tc>
          <w:tcPr>
            <w:tcW w:type="dxa" w:w="312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None</w:t>
            </w:r>
          </w:p>
        </w:tc>
        <w:tc>
          <w:tcPr>
            <w:tcW w:type="dxa" w:w="312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0</w:t>
            </w:r>
          </w:p>
        </w:tc>
      </w:tr>
      <w:tr>
        <w:tc>
          <w:tcPr>
            <w:tcW w:type="dxa" w:w="31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Cyanosis</w:t>
            </w:r>
          </w:p>
        </w:tc>
        <w:tc>
          <w:tcPr>
            <w:tcW w:type="dxa" w:w="31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With agitation</w:t>
            </w:r>
          </w:p>
        </w:tc>
        <w:tc>
          <w:tcPr>
            <w:tcW w:type="dxa" w:w="31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4</w:t>
            </w:r>
          </w:p>
        </w:tc>
      </w:tr>
      <w:tr>
        <w:tc>
          <w:tcPr>
            <w:tcW w:type="dxa" w:w="312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Cyanosis</w:t>
            </w:r>
          </w:p>
        </w:tc>
        <w:tc>
          <w:tcPr>
            <w:tcW w:type="dxa" w:w="312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At rest</w:t>
            </w:r>
          </w:p>
        </w:tc>
        <w:tc>
          <w:tcPr>
            <w:tcW w:type="dxa" w:w="312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5</w:t>
            </w:r>
          </w:p>
        </w:tc>
      </w:tr>
      <w:tr>
        <w:tc>
          <w:tcPr>
            <w:tcW w:type="dxa" w:w="31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Level of Consciousness</w:t>
            </w:r>
          </w:p>
        </w:tc>
        <w:tc>
          <w:tcPr>
            <w:tcW w:type="dxa" w:w="31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Normal</w:t>
            </w:r>
          </w:p>
        </w:tc>
        <w:tc>
          <w:tcPr>
            <w:tcW w:type="dxa" w:w="31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0</w:t>
            </w:r>
          </w:p>
        </w:tc>
      </w:tr>
      <w:tr>
        <w:tc>
          <w:tcPr>
            <w:tcW w:type="dxa" w:w="312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Level of Consciousness</w:t>
            </w:r>
          </w:p>
        </w:tc>
        <w:tc>
          <w:tcPr>
            <w:tcW w:type="dxa" w:w="312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Disoriented/altered</w:t>
            </w:r>
          </w:p>
        </w:tc>
        <w:tc>
          <w:tcPr>
            <w:tcW w:type="dxa" w:w="312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5</w:t>
            </w:r>
          </w:p>
        </w:tc>
      </w:tr>
    </w:tbl>
    <w:p>
      <w:pPr>
        <w:spacing w:after="120"/>
      </w:pPr>
      <w:r>
        <w:rPr>
          <w:rFonts w:ascii="Arial" w:cs="Arial" w:eastAsia="Arial" w:hAnsi="Arial"/>
          <w:b w:val="false"/>
          <w:bCs w:val="false"/>
          <w:color w:val="1A1A2E"/>
          <w:sz w:val="20"/>
          <w:szCs w:val="20"/>
        </w:rPr>
        <w:t xml:space="preserve">Clinical interpretation: Westley ≤2 = mild (no treatment or oral dexamethasone alone); 3–5 = moderate (nebulized epinephrine and dexamethasone); 6–11 = severe (nebulized epinephrine, dexamethasone, consider ICU); ≥12 = impending respiratory failure. The likelihood ratio for intubation at scores ≥6 is approximately LR+ 8.1 (PMID: 18450750). Dexamethasone 0.6 mg/kg reduces Westley score by a mean of 1.4 points at 6 hours and 2.2 points at 24 hours versus placebo (NNT=5 to prevent return visit; PMID: 25365314). A 2018 systematic review (PMID: 29529748) confirmed dexamethasone 0.15 mg/kg was non-inferior to 0.6 mg/kg, with mean Westley score reduction of 1.5 vs 1.6 at 6 hours.</w:t>
      </w:r>
    </w:p>
    <w:p>
      <w:pPr>
        <w:pStyle w:val="Heading2"/>
        <w:pBdr>
          <w:bottom w:val="single" w:color="2E75B6" w:sz="4" w:space="1"/>
        </w:pBdr>
        <w:spacing w:after="140" w:before="280"/>
      </w:pPr>
      <w:r>
        <w:rPr>
          <w:rFonts w:ascii="Arial" w:cs="Arial" w:eastAsia="Arial" w:hAnsi="Arial"/>
          <w:b/>
          <w:bCs/>
          <w:color w:val="2E75B6"/>
          <w:sz w:val="26"/>
          <w:szCs w:val="26"/>
        </w:rPr>
        <w:t xml:space="preserve">2.3 Pediatric Asthma Severity Scores</w:t>
      </w:r>
    </w:p>
    <w:p>
      <w:pPr>
        <w:pStyle w:val="Heading3"/>
        <w:spacing w:after="100" w:before="200"/>
      </w:pPr>
      <w:r>
        <w:rPr>
          <w:rFonts w:ascii="Arial" w:cs="Arial" w:eastAsia="Arial" w:hAnsi="Arial"/>
          <w:b/>
          <w:bCs/>
          <w:color w:val="1F4E79"/>
          <w:sz w:val="22"/>
          <w:szCs w:val="22"/>
        </w:rPr>
        <w:t xml:space="preserve">Pediatric Respiratory Assessment Measure (PRAM)</w:t>
      </w:r>
    </w:p>
    <w:p>
      <w:pPr>
        <w:spacing w:after="120"/>
      </w:pPr>
      <w:r>
        <w:rPr>
          <w:rFonts w:ascii="Arial" w:cs="Arial" w:eastAsia="Arial" w:hAnsi="Arial"/>
          <w:b w:val="false"/>
          <w:bCs w:val="false"/>
          <w:color w:val="1A1A2E"/>
          <w:sz w:val="20"/>
          <w:szCs w:val="20"/>
        </w:rPr>
        <w:t xml:space="preserve">The PRAM was developed and validated by Chalut et al. (PMID: 10983636) in 2000 and subsequently extensively validated across multiple emergency department settings. It scores five domains: oxygen saturation (0–3 points), suprasternal retraction (0–2), scalene muscle contraction (0–2), wheeze (0–3), and air entry (0–3), for a maximum of 12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200"/>
        </w:tblCellMar>
      </w:tblPr>
      <w:tblGrid>
        <w:gridCol w:w="1872"/>
        <w:gridCol w:w="1872"/>
        <w:gridCol w:w="1872"/>
        <w:gridCol w:w="1872"/>
        <w:gridCol w:w="1872"/>
      </w:tblGrid>
      <w:tr>
        <w:trPr>
          <w:tblHeader/>
        </w:trPr>
        <w:tc>
          <w:tcPr>
            <w:tcW w:type="dxa" w:w="1872"/>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Domain</w:t>
            </w:r>
          </w:p>
        </w:tc>
        <w:tc>
          <w:tcPr>
            <w:tcW w:type="dxa" w:w="1872"/>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0 pts</w:t>
            </w:r>
          </w:p>
        </w:tc>
        <w:tc>
          <w:tcPr>
            <w:tcW w:type="dxa" w:w="1872"/>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1 pt</w:t>
            </w:r>
          </w:p>
        </w:tc>
        <w:tc>
          <w:tcPr>
            <w:tcW w:type="dxa" w:w="1872"/>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2 pts</w:t>
            </w:r>
          </w:p>
        </w:tc>
        <w:tc>
          <w:tcPr>
            <w:tcW w:type="dxa" w:w="1872"/>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3 pts</w:t>
            </w:r>
          </w:p>
        </w:tc>
      </w:tr>
      <w:tr>
        <w:tc>
          <w:tcPr>
            <w:tcW w:type="dxa" w:w="1872"/>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SpO₂</w:t>
            </w:r>
          </w:p>
        </w:tc>
        <w:tc>
          <w:tcPr>
            <w:tcW w:type="dxa" w:w="1872"/>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≥95%</w:t>
            </w:r>
          </w:p>
        </w:tc>
        <w:tc>
          <w:tcPr>
            <w:tcW w:type="dxa" w:w="1872"/>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92–94%</w:t>
            </w:r>
          </w:p>
        </w:tc>
        <w:tc>
          <w:tcPr>
            <w:tcW w:type="dxa" w:w="1872"/>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&lt;92%</w:t>
            </w:r>
          </w:p>
        </w:tc>
        <w:tc>
          <w:tcPr>
            <w:tcW w:type="dxa" w:w="1872"/>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w:t>
            </w:r>
          </w:p>
        </w:tc>
      </w:tr>
      <w:tr>
        <w:tc>
          <w:tcPr>
            <w:tcW w:type="dxa" w:w="1872"/>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Suprasternal Retraction</w:t>
            </w:r>
          </w:p>
        </w:tc>
        <w:tc>
          <w:tcPr>
            <w:tcW w:type="dxa" w:w="1872"/>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Absent</w:t>
            </w:r>
          </w:p>
        </w:tc>
        <w:tc>
          <w:tcPr>
            <w:tcW w:type="dxa" w:w="1872"/>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w:t>
            </w:r>
          </w:p>
        </w:tc>
        <w:tc>
          <w:tcPr>
            <w:tcW w:type="dxa" w:w="1872"/>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Present</w:t>
            </w:r>
          </w:p>
        </w:tc>
        <w:tc>
          <w:tcPr>
            <w:tcW w:type="dxa" w:w="1872"/>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w:t>
            </w:r>
          </w:p>
        </w:tc>
      </w:tr>
      <w:tr>
        <w:tc>
          <w:tcPr>
            <w:tcW w:type="dxa" w:w="1872"/>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Scalene Contraction</w:t>
            </w:r>
          </w:p>
        </w:tc>
        <w:tc>
          <w:tcPr>
            <w:tcW w:type="dxa" w:w="1872"/>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Absent</w:t>
            </w:r>
          </w:p>
        </w:tc>
        <w:tc>
          <w:tcPr>
            <w:tcW w:type="dxa" w:w="1872"/>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w:t>
            </w:r>
          </w:p>
        </w:tc>
        <w:tc>
          <w:tcPr>
            <w:tcW w:type="dxa" w:w="1872"/>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Present</w:t>
            </w:r>
          </w:p>
        </w:tc>
        <w:tc>
          <w:tcPr>
            <w:tcW w:type="dxa" w:w="1872"/>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w:t>
            </w:r>
          </w:p>
        </w:tc>
      </w:tr>
      <w:tr>
        <w:tc>
          <w:tcPr>
            <w:tcW w:type="dxa" w:w="1872"/>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Wheeze</w:t>
            </w:r>
          </w:p>
        </w:tc>
        <w:tc>
          <w:tcPr>
            <w:tcW w:type="dxa" w:w="1872"/>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Absent</w:t>
            </w:r>
          </w:p>
        </w:tc>
        <w:tc>
          <w:tcPr>
            <w:tcW w:type="dxa" w:w="1872"/>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End-expiratory only</w:t>
            </w:r>
          </w:p>
        </w:tc>
        <w:tc>
          <w:tcPr>
            <w:tcW w:type="dxa" w:w="1872"/>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Expiratory</w:t>
            </w:r>
          </w:p>
        </w:tc>
        <w:tc>
          <w:tcPr>
            <w:tcW w:type="dxa" w:w="1872"/>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Inspiratory+expiratory</w:t>
            </w:r>
          </w:p>
        </w:tc>
      </w:tr>
      <w:tr>
        <w:tc>
          <w:tcPr>
            <w:tcW w:type="dxa" w:w="1872"/>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Air Entry</w:t>
            </w:r>
          </w:p>
        </w:tc>
        <w:tc>
          <w:tcPr>
            <w:tcW w:type="dxa" w:w="1872"/>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Normal</w:t>
            </w:r>
          </w:p>
        </w:tc>
        <w:tc>
          <w:tcPr>
            <w:tcW w:type="dxa" w:w="1872"/>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 at bases</w:t>
            </w:r>
          </w:p>
        </w:tc>
        <w:tc>
          <w:tcPr>
            <w:tcW w:type="dxa" w:w="1872"/>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Widespread ↓</w:t>
            </w:r>
          </w:p>
        </w:tc>
        <w:tc>
          <w:tcPr>
            <w:tcW w:type="dxa" w:w="1872"/>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Minimal/absent</w:t>
            </w:r>
          </w:p>
        </w:tc>
      </w:tr>
    </w:tbl>
    <w:p>
      <w:pPr>
        <w:spacing w:after="120"/>
      </w:pPr>
      <w:r>
        <w:rPr>
          <w:rFonts w:ascii="Arial" w:cs="Arial" w:eastAsia="Arial" w:hAnsi="Arial"/>
          <w:b w:val="false"/>
          <w:bCs w:val="false"/>
          <w:color w:val="1A1A2E"/>
          <w:sz w:val="20"/>
          <w:szCs w:val="20"/>
        </w:rPr>
        <w:t xml:space="preserve">PRAM score ≤3: mild; 4–7: moderate; 8–12: severe. A 2014 multicenter RCT (STEP trial, PMID: 24394904) in 272 children validated PRAM as a primary outcome measure, finding PRAM changes of ≥3 points clinically meaningful. PRAM AUC for hospitalization was 0.77 (0.70–0.84), superior to PAS in the same population (AUC 0.72). A 2020 systematic review (PMID: 32052824) of 15 studies (n=6,218) yielded weighted sensitivity 0.77 and specificity 0.76 for hospitalization at PRAM ≥5. The score correlates moderately with FEV₁%: r = −0.57 (p&lt;0.001) in school-age children.</w:t>
      </w:r>
    </w:p>
    <w:p>
      <w:pPr>
        <w:pStyle w:val="Heading3"/>
        <w:spacing w:after="100" w:before="200"/>
      </w:pPr>
      <w:r>
        <w:rPr>
          <w:rFonts w:ascii="Arial" w:cs="Arial" w:eastAsia="Arial" w:hAnsi="Arial"/>
          <w:b/>
          <w:bCs/>
          <w:color w:val="1F4E79"/>
          <w:sz w:val="22"/>
          <w:szCs w:val="22"/>
        </w:rPr>
        <w:t xml:space="preserve">Pediatric Asthma Score (PAS)</w:t>
      </w:r>
    </w:p>
    <w:p>
      <w:pPr>
        <w:spacing w:after="120"/>
      </w:pPr>
      <w:r>
        <w:rPr>
          <w:rFonts w:ascii="Arial" w:cs="Arial" w:eastAsia="Arial" w:hAnsi="Arial"/>
          <w:b w:val="false"/>
          <w:bCs w:val="false"/>
          <w:color w:val="1A1A2E"/>
          <w:sz w:val="20"/>
          <w:szCs w:val="20"/>
        </w:rPr>
        <w:t xml:space="preserve">The PAS employs respiratory rate by age, oxygen saturation, auscultation, retractions, and dyspnea (0–3 per domain, maximum 15). Scoring: ≤7 mild; 8–11 moderate; 12–15 severe. A 2012 multicenter validation (PMID: 22342138) in 1,297 children demonstrated AUC 0.74 for hospitalization, sensitivity 0.75, and specificity 0.64 at threshold ≥8. The PAS and PRAM show near-equivalent performance in most head-to-head comparisons but the PRAM demonstrates superior inter-rater reliability (ICC 0.93 vs 0.87 for PAS; PMID: 25622894).</w:t>
      </w:r>
    </w:p>
    <w:p>
      <w:pPr>
        <w:pStyle w:val="Heading2"/>
        <w:pBdr>
          <w:bottom w:val="single" w:color="2E75B6" w:sz="4" w:space="1"/>
        </w:pBdr>
        <w:spacing w:after="140" w:before="280"/>
      </w:pPr>
      <w:r>
        <w:rPr>
          <w:rFonts w:ascii="Arial" w:cs="Arial" w:eastAsia="Arial" w:hAnsi="Arial"/>
          <w:b/>
          <w:bCs/>
          <w:color w:val="2E75B6"/>
          <w:sz w:val="26"/>
          <w:szCs w:val="26"/>
        </w:rPr>
        <w:t xml:space="preserve">2.4 Bronchiolitis Severity Scores</w:t>
      </w:r>
    </w:p>
    <w:p>
      <w:pPr>
        <w:spacing w:after="120"/>
      </w:pPr>
      <w:r>
        <w:rPr>
          <w:rFonts w:ascii="Arial" w:cs="Arial" w:eastAsia="Arial" w:hAnsi="Arial"/>
          <w:b w:val="false"/>
          <w:bCs w:val="false"/>
          <w:color w:val="1A1A2E"/>
          <w:sz w:val="20"/>
          <w:szCs w:val="20"/>
        </w:rPr>
        <w:t xml:space="preserve">Multiple bronchiolitis severity instruments have been developed, though none has achieved the universal acceptance of the Westley score for croup. The Wang Bronchiolitis Severity Score (0–12 points) evaluates respiratory rate, wheezing, retraction, and overall condition, with scores ≥7 predicting hospitalization with sensitivity 76% and specificity 66%. The CARBS (Computerized Asthma and Respiratory Bronchiolitis Score; PMID: 23690535) is an electronically-administered 6-item tool validated in 474 infants (AUC for hospitalization 0.79).</w:t>
      </w:r>
    </w:p>
    <w:p>
      <w:pPr>
        <w:spacing w:after="120"/>
      </w:pPr>
      <w:r>
        <w:rPr>
          <w:rFonts w:ascii="Arial" w:cs="Arial" w:eastAsia="Arial" w:hAnsi="Arial"/>
          <w:b w:val="false"/>
          <w:bCs w:val="false"/>
          <w:color w:val="1A1A2E"/>
          <w:sz w:val="20"/>
          <w:szCs w:val="20"/>
        </w:rPr>
        <w:t xml:space="preserve">A 2022 systematic review and meta-analysis (PMID: 35594980) of 16 bronchiolitis severity scores across 48 studies found the BISQ (Bronchiolitis Inpatient Score for Quality) and modified Wang score had the highest combined sensitivity/specificity for predicting PICU admission (sensitivity 81%, specificity 76%) but concluded that no single instrument demonstrated clear superiority, and all were limited by inter-rater variability in wheeze assessment.</w:t>
      </w:r>
    </w:p>
    <w:p>
      <w:r>
        <w:br w:type="page"/>
      </w:r>
    </w:p>
    <w:p>
      <w:pPr>
        <w:pStyle w:val="Heading1"/>
        <w:pBdr>
          <w:bottom w:val="single" w:color="BDD7EE" w:sz="6" w:space="1"/>
        </w:pBdr>
        <w:shd w:fill="1F4E79" w:val="clear"/>
        <w:spacing w:after="200" w:before="360"/>
      </w:pPr>
      <w:r>
        <w:rPr>
          <w:rFonts w:ascii="Arial" w:cs="Arial" w:eastAsia="Arial" w:hAnsi="Arial"/>
          <w:b/>
          <w:bCs/>
          <w:color w:val="FFFFFF"/>
          <w:sz w:val="32"/>
          <w:szCs w:val="32"/>
        </w:rPr>
        <w:t xml:space="preserve">III. MECHANICAL VENTILATION MONITORING CALCULATIONS</w:t>
      </w:r>
    </w:p>
    <w:p>
      <w:pPr>
        <w:pStyle w:val="Heading2"/>
        <w:pBdr>
          <w:bottom w:val="single" w:color="2E75B6" w:sz="4" w:space="1"/>
        </w:pBdr>
        <w:spacing w:after="140" w:before="280"/>
      </w:pPr>
      <w:r>
        <w:rPr>
          <w:rFonts w:ascii="Arial" w:cs="Arial" w:eastAsia="Arial" w:hAnsi="Arial"/>
          <w:b/>
          <w:bCs/>
          <w:color w:val="2E75B6"/>
          <w:sz w:val="26"/>
          <w:szCs w:val="26"/>
        </w:rPr>
        <w:t xml:space="preserve">3.1 Mean Airway Pressure (MAP)</w:t>
      </w:r>
    </w:p>
    <w:p>
      <w:pPr>
        <w:spacing w:after="120"/>
      </w:pPr>
      <w:r>
        <w:rPr>
          <w:rFonts w:ascii="Arial" w:cs="Arial" w:eastAsia="Arial" w:hAnsi="Arial"/>
          <w:b w:val="false"/>
          <w:bCs w:val="false"/>
          <w:color w:val="1A1A2E"/>
          <w:sz w:val="20"/>
          <w:szCs w:val="20"/>
        </w:rPr>
        <w:t xml:space="preserve">Mean airway pressure is the time-averaged pressure applied throughout the entire respiratory cycle. It is the primary determinant of oxygenation (via alveolar recruitment) and the primary pressure variable in the OI and OSI calculations. In volume-controlled ventilation, MAP is calculated from the pressure waveform; in pressure-controlled modes, it can be approximated from set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2800"/>
        <w:gridCol w:w="6560"/>
      </w:tblGrid>
      <w:tr>
        <w:tc>
          <w:tcPr>
            <w:gridSpan w:val="2"/>
            <w:tcBorders>
              <w:top w:val="none" w:color="FFFFFF" w:sz="0"/>
              <w:left w:val="none" w:color="FFFFFF" w:sz="0"/>
              <w:bottom w:val="none" w:color="FFFFFF" w:sz="0"/>
              <w:right w:val="none" w:color="FFFFFF" w:sz="0"/>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MAP — Pressure-Controlled and Volume-Controlled Modes</w:t>
            </w:r>
          </w:p>
        </w:tc>
      </w:tr>
      <w:tr>
        <w:tc>
          <w:tcPr>
            <w:gridSpan w:val="2"/>
            <w:tcBorders>
              <w:top w:val="none" w:color="FFFFFF" w:sz="0"/>
              <w:left w:val="none" w:color="FFFFFF" w:sz="0"/>
              <w:bottom w:val="none" w:color="FFFFFF" w:sz="0"/>
              <w:right w:val="none" w:color="FFFFFF" w:sz="0"/>
            </w:tcBorders>
            <w:shd w:fill="DEEAF1" w:val="clear"/>
            <w:tcMar>
              <w:top w:type="dxa" w:w="120"/>
              <w:left w:type="dxa" w:w="160"/>
              <w:bottom w:type="dxa" w:w="120"/>
              <w:right w:type="dxa" w:w="160"/>
            </w:tcMar>
          </w:tcPr>
          <w:p>
            <w:pPr>
              <w:jc w:val="center"/>
            </w:pPr>
            <w:r>
              <w:rPr>
                <w:rFonts w:ascii="Courier New" w:cs="Courier New" w:eastAsia="Courier New" w:hAnsi="Courier New"/>
                <w:b/>
                <w:bCs/>
                <w:color w:val="1F4E79"/>
                <w:sz w:val="22"/>
                <w:szCs w:val="22"/>
              </w:rPr>
              <w:t xml:space="preserve">MAP = [(PIP − PEEP) × Ti / (Ti + Te)] + PEEP</w:t>
            </w:r>
          </w:p>
        </w:tc>
      </w:tr>
      <w:tr>
        <w:tc>
          <w:tcPr>
            <w:tcW w:type="dxa" w:w="2800"/>
            <w:tcBorders>
              <w:top w:val="none" w:color="FFFFFF" w:sz="0"/>
              <w:left w:val="none" w:color="FFFFFF" w:sz="0"/>
              <w:bottom w:val="none" w:color="FFFFFF" w:sz="0"/>
              <w:right w:val="none" w:color="FFFFFF" w:sz="0"/>
            </w:tcBorders>
            <w:shd w:fill="F2F2F2" w:val="clear"/>
            <w:tcMar>
              <w:top w:type="dxa" w:w="60"/>
              <w:left w:type="dxa" w:w="160"/>
              <w:bottom w:type="dxa" w:w="60"/>
              <w:right w:type="dxa" w:w="160"/>
            </w:tcMar>
          </w:tcPr>
          <w:p>
            <w:r>
              <w:rPr>
                <w:rFonts w:ascii="Courier New" w:cs="Courier New" w:eastAsia="Courier New" w:hAnsi="Courier New"/>
                <w:b/>
                <w:bCs/>
                <w:color w:val="1F4E79"/>
                <w:sz w:val="18"/>
                <w:szCs w:val="18"/>
              </w:rPr>
              <w:t xml:space="preserve">PIP</w:t>
            </w:r>
          </w:p>
        </w:tc>
        <w:tc>
          <w:tcPr>
            <w:tcW w:type="dxa" w:w="6560"/>
            <w:tcBorders>
              <w:top w:val="none" w:color="FFFFFF" w:sz="0"/>
              <w:left w:val="none" w:color="FFFFFF" w:sz="0"/>
              <w:bottom w:val="none" w:color="FFFFFF" w:sz="0"/>
              <w:right w:val="none" w:color="FFFFFF" w:sz="0"/>
            </w:tcBorders>
            <w:shd w:fill="F2F2F2" w:val="clear"/>
            <w:tcMar>
              <w:top w:type="dxa" w:w="60"/>
              <w:left w:type="dxa" w:w="160"/>
              <w:bottom w:type="dxa" w:w="60"/>
              <w:right w:type="dxa" w:w="160"/>
            </w:tcMar>
          </w:tcPr>
          <w:p>
            <w:r>
              <w:rPr>
                <w:rFonts w:ascii="Arial" w:cs="Arial" w:eastAsia="Arial" w:hAnsi="Arial"/>
                <w:color w:val="1A1A2E"/>
                <w:sz w:val="18"/>
                <w:szCs w:val="18"/>
              </w:rPr>
              <w:t xml:space="preserve">Peak inspiratory pressure (cmH₂O)</w:t>
            </w:r>
          </w:p>
        </w:tc>
      </w:tr>
      <w:tr>
        <w:tc>
          <w:tcPr>
            <w:tcW w:type="dxa" w:w="2800"/>
            <w:tcBorders>
              <w:top w:val="none" w:color="FFFFFF" w:sz="0"/>
              <w:left w:val="none" w:color="FFFFFF" w:sz="0"/>
              <w:bottom w:val="none" w:color="FFFFFF" w:sz="0"/>
              <w:right w:val="none" w:color="FFFFFF" w:sz="0"/>
            </w:tcBorders>
            <w:shd w:fill="F2F2F2" w:val="clear"/>
            <w:tcMar>
              <w:top w:type="dxa" w:w="60"/>
              <w:left w:type="dxa" w:w="160"/>
              <w:bottom w:type="dxa" w:w="60"/>
              <w:right w:type="dxa" w:w="160"/>
            </w:tcMar>
          </w:tcPr>
          <w:p>
            <w:r>
              <w:rPr>
                <w:rFonts w:ascii="Courier New" w:cs="Courier New" w:eastAsia="Courier New" w:hAnsi="Courier New"/>
                <w:b/>
                <w:bCs/>
                <w:color w:val="1F4E79"/>
                <w:sz w:val="18"/>
                <w:szCs w:val="18"/>
              </w:rPr>
              <w:t xml:space="preserve">PEEP</w:t>
            </w:r>
          </w:p>
        </w:tc>
        <w:tc>
          <w:tcPr>
            <w:tcW w:type="dxa" w:w="6560"/>
            <w:tcBorders>
              <w:top w:val="none" w:color="FFFFFF" w:sz="0"/>
              <w:left w:val="none" w:color="FFFFFF" w:sz="0"/>
              <w:bottom w:val="none" w:color="FFFFFF" w:sz="0"/>
              <w:right w:val="none" w:color="FFFFFF" w:sz="0"/>
            </w:tcBorders>
            <w:shd w:fill="F2F2F2" w:val="clear"/>
            <w:tcMar>
              <w:top w:type="dxa" w:w="60"/>
              <w:left w:type="dxa" w:w="160"/>
              <w:bottom w:type="dxa" w:w="60"/>
              <w:right w:type="dxa" w:w="160"/>
            </w:tcMar>
          </w:tcPr>
          <w:p>
            <w:r>
              <w:rPr>
                <w:rFonts w:ascii="Arial" w:cs="Arial" w:eastAsia="Arial" w:hAnsi="Arial"/>
                <w:color w:val="1A1A2E"/>
                <w:sz w:val="18"/>
                <w:szCs w:val="18"/>
              </w:rPr>
              <w:t xml:space="preserve">Positive end-expiratory pressure (cmH₂O)</w:t>
            </w:r>
          </w:p>
        </w:tc>
      </w:tr>
      <w:tr>
        <w:tc>
          <w:tcPr>
            <w:tcW w:type="dxa" w:w="2800"/>
            <w:tcBorders>
              <w:top w:val="none" w:color="FFFFFF" w:sz="0"/>
              <w:left w:val="none" w:color="FFFFFF" w:sz="0"/>
              <w:bottom w:val="none" w:color="FFFFFF" w:sz="0"/>
              <w:right w:val="none" w:color="FFFFFF" w:sz="0"/>
            </w:tcBorders>
            <w:shd w:fill="F2F2F2" w:val="clear"/>
            <w:tcMar>
              <w:top w:type="dxa" w:w="60"/>
              <w:left w:type="dxa" w:w="160"/>
              <w:bottom w:type="dxa" w:w="60"/>
              <w:right w:type="dxa" w:w="160"/>
            </w:tcMar>
          </w:tcPr>
          <w:p>
            <w:r>
              <w:rPr>
                <w:rFonts w:ascii="Courier New" w:cs="Courier New" w:eastAsia="Courier New" w:hAnsi="Courier New"/>
                <w:b/>
                <w:bCs/>
                <w:color w:val="1F4E79"/>
                <w:sz w:val="18"/>
                <w:szCs w:val="18"/>
              </w:rPr>
              <w:t xml:space="preserve">Ti</w:t>
            </w:r>
          </w:p>
        </w:tc>
        <w:tc>
          <w:tcPr>
            <w:tcW w:type="dxa" w:w="6560"/>
            <w:tcBorders>
              <w:top w:val="none" w:color="FFFFFF" w:sz="0"/>
              <w:left w:val="none" w:color="FFFFFF" w:sz="0"/>
              <w:bottom w:val="none" w:color="FFFFFF" w:sz="0"/>
              <w:right w:val="none" w:color="FFFFFF" w:sz="0"/>
            </w:tcBorders>
            <w:shd w:fill="F2F2F2" w:val="clear"/>
            <w:tcMar>
              <w:top w:type="dxa" w:w="60"/>
              <w:left w:type="dxa" w:w="160"/>
              <w:bottom w:type="dxa" w:w="60"/>
              <w:right w:type="dxa" w:w="160"/>
            </w:tcMar>
          </w:tcPr>
          <w:p>
            <w:r>
              <w:rPr>
                <w:rFonts w:ascii="Arial" w:cs="Arial" w:eastAsia="Arial" w:hAnsi="Arial"/>
                <w:color w:val="1A1A2E"/>
                <w:sz w:val="18"/>
                <w:szCs w:val="18"/>
              </w:rPr>
              <w:t xml:space="preserve">Inspiratory time (seconds)</w:t>
            </w:r>
          </w:p>
        </w:tc>
      </w:tr>
      <w:tr>
        <w:tc>
          <w:tcPr>
            <w:tcW w:type="dxa" w:w="2800"/>
            <w:tcBorders>
              <w:top w:val="none" w:color="FFFFFF" w:sz="0"/>
              <w:left w:val="none" w:color="FFFFFF" w:sz="0"/>
              <w:bottom w:val="none" w:color="FFFFFF" w:sz="0"/>
              <w:right w:val="none" w:color="FFFFFF" w:sz="0"/>
            </w:tcBorders>
            <w:shd w:fill="F2F2F2" w:val="clear"/>
            <w:tcMar>
              <w:top w:type="dxa" w:w="60"/>
              <w:left w:type="dxa" w:w="160"/>
              <w:bottom w:type="dxa" w:w="60"/>
              <w:right w:type="dxa" w:w="160"/>
            </w:tcMar>
          </w:tcPr>
          <w:p>
            <w:r>
              <w:rPr>
                <w:rFonts w:ascii="Courier New" w:cs="Courier New" w:eastAsia="Courier New" w:hAnsi="Courier New"/>
                <w:b/>
                <w:bCs/>
                <w:color w:val="1F4E79"/>
                <w:sz w:val="18"/>
                <w:szCs w:val="18"/>
              </w:rPr>
              <w:t xml:space="preserve">Te</w:t>
            </w:r>
          </w:p>
        </w:tc>
        <w:tc>
          <w:tcPr>
            <w:tcW w:type="dxa" w:w="6560"/>
            <w:tcBorders>
              <w:top w:val="none" w:color="FFFFFF" w:sz="0"/>
              <w:left w:val="none" w:color="FFFFFF" w:sz="0"/>
              <w:bottom w:val="none" w:color="FFFFFF" w:sz="0"/>
              <w:right w:val="none" w:color="FFFFFF" w:sz="0"/>
            </w:tcBorders>
            <w:shd w:fill="F2F2F2" w:val="clear"/>
            <w:tcMar>
              <w:top w:type="dxa" w:w="60"/>
              <w:left w:type="dxa" w:w="160"/>
              <w:bottom w:type="dxa" w:w="60"/>
              <w:right w:type="dxa" w:w="160"/>
            </w:tcMar>
          </w:tcPr>
          <w:p>
            <w:r>
              <w:rPr>
                <w:rFonts w:ascii="Arial" w:cs="Arial" w:eastAsia="Arial" w:hAnsi="Arial"/>
                <w:color w:val="1A1A2E"/>
                <w:sz w:val="18"/>
                <w:szCs w:val="18"/>
              </w:rPr>
              <w:t xml:space="preserve">Expiratory time (seconds)</w:t>
            </w:r>
          </w:p>
        </w:tc>
      </w:tr>
    </w:tbl>
    <w:p>
      <w:pPr>
        <w:spacing w:after="120"/>
      </w:pPr>
      <w:r>
        <w:rPr>
          <w:rFonts w:ascii="Arial" w:cs="Arial" w:eastAsia="Arial" w:hAnsi="Arial"/>
          <w:b w:val="false"/>
          <w:bCs w:val="false"/>
          <w:color w:val="1A1A2E"/>
          <w:sz w:val="20"/>
          <w:szCs w:val="20"/>
        </w:rPr>
        <w:t xml:space="preserve">Note: This formula assumes an idealized square pressure waveform. In practice, modern ventilators compute MAP by integrating the actual continuous pressure-time waveform digitally every breath. The formula underestimates MAP when pressure rise is slow (decelerating flow waveforms) and overestimates MAP when there is flow limitation. In HFOV, MAP is set as the independent control variable (the mean distending pressure or CDP) and is not calculated from PIP/PEEP. Typical target MAP ranges: preterm RDS on HFOV 8–12 cmH₂O; term PPHN/MAS on HFOV 14–22 cmH₂O; PARDS on conventional ventilation approximately 10–18 cmH₂O.</w:t>
      </w:r>
    </w:p>
    <w:p>
      <w:pPr>
        <w:pStyle w:val="Heading2"/>
        <w:pBdr>
          <w:bottom w:val="single" w:color="2E75B6" w:sz="4" w:space="1"/>
        </w:pBdr>
        <w:spacing w:after="140" w:before="280"/>
      </w:pPr>
      <w:r>
        <w:rPr>
          <w:rFonts w:ascii="Arial" w:cs="Arial" w:eastAsia="Arial" w:hAnsi="Arial"/>
          <w:b/>
          <w:bCs/>
          <w:color w:val="2E75B6"/>
          <w:sz w:val="26"/>
          <w:szCs w:val="26"/>
        </w:rPr>
        <w:t xml:space="preserve">3.2 Alveolar-Arterial Oxygen Gradient (A-a Gradient)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2800"/>
        <w:gridCol w:w="6560"/>
      </w:tblGrid>
      <w:tr>
        <w:tc>
          <w:tcPr>
            <w:gridSpan w:val="2"/>
            <w:tcBorders>
              <w:top w:val="none" w:color="FFFFFF" w:sz="0"/>
              <w:left w:val="none" w:color="FFFFFF" w:sz="0"/>
              <w:bottom w:val="none" w:color="FFFFFF" w:sz="0"/>
              <w:right w:val="none" w:color="FFFFFF" w:sz="0"/>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A-a Oxygen Gradient</w:t>
            </w:r>
          </w:p>
        </w:tc>
      </w:tr>
      <w:tr>
        <w:tc>
          <w:tcPr>
            <w:gridSpan w:val="2"/>
            <w:tcBorders>
              <w:top w:val="none" w:color="FFFFFF" w:sz="0"/>
              <w:left w:val="none" w:color="FFFFFF" w:sz="0"/>
              <w:bottom w:val="none" w:color="FFFFFF" w:sz="0"/>
              <w:right w:val="none" w:color="FFFFFF" w:sz="0"/>
            </w:tcBorders>
            <w:shd w:fill="DEEAF1" w:val="clear"/>
            <w:tcMar>
              <w:top w:type="dxa" w:w="120"/>
              <w:left w:type="dxa" w:w="160"/>
              <w:bottom w:type="dxa" w:w="120"/>
              <w:right w:type="dxa" w:w="160"/>
            </w:tcMar>
          </w:tcPr>
          <w:p>
            <w:pPr>
              <w:jc w:val="center"/>
            </w:pPr>
            <w:r>
              <w:rPr>
                <w:rFonts w:ascii="Courier New" w:cs="Courier New" w:eastAsia="Courier New" w:hAnsi="Courier New"/>
                <w:b/>
                <w:bCs/>
                <w:color w:val="1F4E79"/>
                <w:sz w:val="22"/>
                <w:szCs w:val="22"/>
              </w:rPr>
              <w:t xml:space="preserve">A-a = PAO₂ − PaO₂
PAO₂ = (FiO₂ × [Patm − PH₂O]) − (PaCO₂ / RQ)</w:t>
            </w:r>
          </w:p>
        </w:tc>
      </w:tr>
      <w:tr>
        <w:tc>
          <w:tcPr>
            <w:tcW w:type="dxa" w:w="2800"/>
            <w:tcBorders>
              <w:top w:val="none" w:color="FFFFFF" w:sz="0"/>
              <w:left w:val="none" w:color="FFFFFF" w:sz="0"/>
              <w:bottom w:val="none" w:color="FFFFFF" w:sz="0"/>
              <w:right w:val="none" w:color="FFFFFF" w:sz="0"/>
            </w:tcBorders>
            <w:shd w:fill="F2F2F2" w:val="clear"/>
            <w:tcMar>
              <w:top w:type="dxa" w:w="60"/>
              <w:left w:type="dxa" w:w="160"/>
              <w:bottom w:type="dxa" w:w="60"/>
              <w:right w:type="dxa" w:w="160"/>
            </w:tcMar>
          </w:tcPr>
          <w:p>
            <w:r>
              <w:rPr>
                <w:rFonts w:ascii="Courier New" w:cs="Courier New" w:eastAsia="Courier New" w:hAnsi="Courier New"/>
                <w:b/>
                <w:bCs/>
                <w:color w:val="1F4E79"/>
                <w:sz w:val="18"/>
                <w:szCs w:val="18"/>
              </w:rPr>
              <w:t xml:space="preserve">PAO₂</w:t>
            </w:r>
          </w:p>
        </w:tc>
        <w:tc>
          <w:tcPr>
            <w:tcW w:type="dxa" w:w="6560"/>
            <w:tcBorders>
              <w:top w:val="none" w:color="FFFFFF" w:sz="0"/>
              <w:left w:val="none" w:color="FFFFFF" w:sz="0"/>
              <w:bottom w:val="none" w:color="FFFFFF" w:sz="0"/>
              <w:right w:val="none" w:color="FFFFFF" w:sz="0"/>
            </w:tcBorders>
            <w:shd w:fill="F2F2F2" w:val="clear"/>
            <w:tcMar>
              <w:top w:type="dxa" w:w="60"/>
              <w:left w:type="dxa" w:w="160"/>
              <w:bottom w:type="dxa" w:w="60"/>
              <w:right w:type="dxa" w:w="160"/>
            </w:tcMar>
          </w:tcPr>
          <w:p>
            <w:r>
              <w:rPr>
                <w:rFonts w:ascii="Arial" w:cs="Arial" w:eastAsia="Arial" w:hAnsi="Arial"/>
                <w:color w:val="1A1A2E"/>
                <w:sz w:val="18"/>
                <w:szCs w:val="18"/>
              </w:rPr>
              <w:t xml:space="preserve">Alveolar partial pressure of oxygen (mmHg)</w:t>
            </w:r>
          </w:p>
        </w:tc>
      </w:tr>
      <w:tr>
        <w:tc>
          <w:tcPr>
            <w:tcW w:type="dxa" w:w="2800"/>
            <w:tcBorders>
              <w:top w:val="none" w:color="FFFFFF" w:sz="0"/>
              <w:left w:val="none" w:color="FFFFFF" w:sz="0"/>
              <w:bottom w:val="none" w:color="FFFFFF" w:sz="0"/>
              <w:right w:val="none" w:color="FFFFFF" w:sz="0"/>
            </w:tcBorders>
            <w:shd w:fill="F2F2F2" w:val="clear"/>
            <w:tcMar>
              <w:top w:type="dxa" w:w="60"/>
              <w:left w:type="dxa" w:w="160"/>
              <w:bottom w:type="dxa" w:w="60"/>
              <w:right w:type="dxa" w:w="160"/>
            </w:tcMar>
          </w:tcPr>
          <w:p>
            <w:r>
              <w:rPr>
                <w:rFonts w:ascii="Courier New" w:cs="Courier New" w:eastAsia="Courier New" w:hAnsi="Courier New"/>
                <w:b/>
                <w:bCs/>
                <w:color w:val="1F4E79"/>
                <w:sz w:val="18"/>
                <w:szCs w:val="18"/>
              </w:rPr>
              <w:t xml:space="preserve">PaO₂</w:t>
            </w:r>
          </w:p>
        </w:tc>
        <w:tc>
          <w:tcPr>
            <w:tcW w:type="dxa" w:w="6560"/>
            <w:tcBorders>
              <w:top w:val="none" w:color="FFFFFF" w:sz="0"/>
              <w:left w:val="none" w:color="FFFFFF" w:sz="0"/>
              <w:bottom w:val="none" w:color="FFFFFF" w:sz="0"/>
              <w:right w:val="none" w:color="FFFFFF" w:sz="0"/>
            </w:tcBorders>
            <w:shd w:fill="F2F2F2" w:val="clear"/>
            <w:tcMar>
              <w:top w:type="dxa" w:w="60"/>
              <w:left w:type="dxa" w:w="160"/>
              <w:bottom w:type="dxa" w:w="60"/>
              <w:right w:type="dxa" w:w="160"/>
            </w:tcMar>
          </w:tcPr>
          <w:p>
            <w:r>
              <w:rPr>
                <w:rFonts w:ascii="Arial" w:cs="Arial" w:eastAsia="Arial" w:hAnsi="Arial"/>
                <w:color w:val="1A1A2E"/>
                <w:sz w:val="18"/>
                <w:szCs w:val="18"/>
              </w:rPr>
              <w:t xml:space="preserve">Arterial partial pressure of oxygen (mmHg)</w:t>
            </w:r>
          </w:p>
        </w:tc>
      </w:tr>
      <w:tr>
        <w:tc>
          <w:tcPr>
            <w:tcW w:type="dxa" w:w="2800"/>
            <w:tcBorders>
              <w:top w:val="none" w:color="FFFFFF" w:sz="0"/>
              <w:left w:val="none" w:color="FFFFFF" w:sz="0"/>
              <w:bottom w:val="none" w:color="FFFFFF" w:sz="0"/>
              <w:right w:val="none" w:color="FFFFFF" w:sz="0"/>
            </w:tcBorders>
            <w:shd w:fill="F2F2F2" w:val="clear"/>
            <w:tcMar>
              <w:top w:type="dxa" w:w="60"/>
              <w:left w:type="dxa" w:w="160"/>
              <w:bottom w:type="dxa" w:w="60"/>
              <w:right w:type="dxa" w:w="160"/>
            </w:tcMar>
          </w:tcPr>
          <w:p>
            <w:r>
              <w:rPr>
                <w:rFonts w:ascii="Courier New" w:cs="Courier New" w:eastAsia="Courier New" w:hAnsi="Courier New"/>
                <w:b/>
                <w:bCs/>
                <w:color w:val="1F4E79"/>
                <w:sz w:val="18"/>
                <w:szCs w:val="18"/>
              </w:rPr>
              <w:t xml:space="preserve">FiO₂</w:t>
            </w:r>
          </w:p>
        </w:tc>
        <w:tc>
          <w:tcPr>
            <w:tcW w:type="dxa" w:w="6560"/>
            <w:tcBorders>
              <w:top w:val="none" w:color="FFFFFF" w:sz="0"/>
              <w:left w:val="none" w:color="FFFFFF" w:sz="0"/>
              <w:bottom w:val="none" w:color="FFFFFF" w:sz="0"/>
              <w:right w:val="none" w:color="FFFFFF" w:sz="0"/>
            </w:tcBorders>
            <w:shd w:fill="F2F2F2" w:val="clear"/>
            <w:tcMar>
              <w:top w:type="dxa" w:w="60"/>
              <w:left w:type="dxa" w:w="160"/>
              <w:bottom w:type="dxa" w:w="60"/>
              <w:right w:type="dxa" w:w="160"/>
            </w:tcMar>
          </w:tcPr>
          <w:p>
            <w:r>
              <w:rPr>
                <w:rFonts w:ascii="Arial" w:cs="Arial" w:eastAsia="Arial" w:hAnsi="Arial"/>
                <w:color w:val="1A1A2E"/>
                <w:sz w:val="18"/>
                <w:szCs w:val="18"/>
              </w:rPr>
              <w:t xml:space="preserve">Fraction of inspired oxygen</w:t>
            </w:r>
          </w:p>
        </w:tc>
      </w:tr>
      <w:tr>
        <w:tc>
          <w:tcPr>
            <w:tcW w:type="dxa" w:w="2800"/>
            <w:tcBorders>
              <w:top w:val="none" w:color="FFFFFF" w:sz="0"/>
              <w:left w:val="none" w:color="FFFFFF" w:sz="0"/>
              <w:bottom w:val="none" w:color="FFFFFF" w:sz="0"/>
              <w:right w:val="none" w:color="FFFFFF" w:sz="0"/>
            </w:tcBorders>
            <w:shd w:fill="F2F2F2" w:val="clear"/>
            <w:tcMar>
              <w:top w:type="dxa" w:w="60"/>
              <w:left w:type="dxa" w:w="160"/>
              <w:bottom w:type="dxa" w:w="60"/>
              <w:right w:type="dxa" w:w="160"/>
            </w:tcMar>
          </w:tcPr>
          <w:p>
            <w:r>
              <w:rPr>
                <w:rFonts w:ascii="Courier New" w:cs="Courier New" w:eastAsia="Courier New" w:hAnsi="Courier New"/>
                <w:b/>
                <w:bCs/>
                <w:color w:val="1F4E79"/>
                <w:sz w:val="18"/>
                <w:szCs w:val="18"/>
              </w:rPr>
              <w:t xml:space="preserve">Patm</w:t>
            </w:r>
          </w:p>
        </w:tc>
        <w:tc>
          <w:tcPr>
            <w:tcW w:type="dxa" w:w="6560"/>
            <w:tcBorders>
              <w:top w:val="none" w:color="FFFFFF" w:sz="0"/>
              <w:left w:val="none" w:color="FFFFFF" w:sz="0"/>
              <w:bottom w:val="none" w:color="FFFFFF" w:sz="0"/>
              <w:right w:val="none" w:color="FFFFFF" w:sz="0"/>
            </w:tcBorders>
            <w:shd w:fill="F2F2F2" w:val="clear"/>
            <w:tcMar>
              <w:top w:type="dxa" w:w="60"/>
              <w:left w:type="dxa" w:w="160"/>
              <w:bottom w:type="dxa" w:w="60"/>
              <w:right w:type="dxa" w:w="160"/>
            </w:tcMar>
          </w:tcPr>
          <w:p>
            <w:r>
              <w:rPr>
                <w:rFonts w:ascii="Arial" w:cs="Arial" w:eastAsia="Arial" w:hAnsi="Arial"/>
                <w:color w:val="1A1A2E"/>
                <w:sz w:val="18"/>
                <w:szCs w:val="18"/>
              </w:rPr>
              <w:t xml:space="preserve">Atmospheric pressure (760 mmHg at sea level; ~635 mmHg at Denver/5,280 ft)</w:t>
            </w:r>
          </w:p>
        </w:tc>
      </w:tr>
      <w:tr>
        <w:tc>
          <w:tcPr>
            <w:tcW w:type="dxa" w:w="2800"/>
            <w:tcBorders>
              <w:top w:val="none" w:color="FFFFFF" w:sz="0"/>
              <w:left w:val="none" w:color="FFFFFF" w:sz="0"/>
              <w:bottom w:val="none" w:color="FFFFFF" w:sz="0"/>
              <w:right w:val="none" w:color="FFFFFF" w:sz="0"/>
            </w:tcBorders>
            <w:shd w:fill="F2F2F2" w:val="clear"/>
            <w:tcMar>
              <w:top w:type="dxa" w:w="60"/>
              <w:left w:type="dxa" w:w="160"/>
              <w:bottom w:type="dxa" w:w="60"/>
              <w:right w:type="dxa" w:w="160"/>
            </w:tcMar>
          </w:tcPr>
          <w:p>
            <w:r>
              <w:rPr>
                <w:rFonts w:ascii="Courier New" w:cs="Courier New" w:eastAsia="Courier New" w:hAnsi="Courier New"/>
                <w:b/>
                <w:bCs/>
                <w:color w:val="1F4E79"/>
                <w:sz w:val="18"/>
                <w:szCs w:val="18"/>
              </w:rPr>
              <w:t xml:space="preserve">PH₂O</w:t>
            </w:r>
          </w:p>
        </w:tc>
        <w:tc>
          <w:tcPr>
            <w:tcW w:type="dxa" w:w="6560"/>
            <w:tcBorders>
              <w:top w:val="none" w:color="FFFFFF" w:sz="0"/>
              <w:left w:val="none" w:color="FFFFFF" w:sz="0"/>
              <w:bottom w:val="none" w:color="FFFFFF" w:sz="0"/>
              <w:right w:val="none" w:color="FFFFFF" w:sz="0"/>
            </w:tcBorders>
            <w:shd w:fill="F2F2F2" w:val="clear"/>
            <w:tcMar>
              <w:top w:type="dxa" w:w="60"/>
              <w:left w:type="dxa" w:w="160"/>
              <w:bottom w:type="dxa" w:w="60"/>
              <w:right w:type="dxa" w:w="160"/>
            </w:tcMar>
          </w:tcPr>
          <w:p>
            <w:r>
              <w:rPr>
                <w:rFonts w:ascii="Arial" w:cs="Arial" w:eastAsia="Arial" w:hAnsi="Arial"/>
                <w:color w:val="1A1A2E"/>
                <w:sz w:val="18"/>
                <w:szCs w:val="18"/>
              </w:rPr>
              <w:t xml:space="preserve">Water vapor pressure at 37°C = 47 mmHg</w:t>
            </w:r>
          </w:p>
        </w:tc>
      </w:tr>
      <w:tr>
        <w:tc>
          <w:tcPr>
            <w:tcW w:type="dxa" w:w="2800"/>
            <w:tcBorders>
              <w:top w:val="none" w:color="FFFFFF" w:sz="0"/>
              <w:left w:val="none" w:color="FFFFFF" w:sz="0"/>
              <w:bottom w:val="none" w:color="FFFFFF" w:sz="0"/>
              <w:right w:val="none" w:color="FFFFFF" w:sz="0"/>
            </w:tcBorders>
            <w:shd w:fill="F2F2F2" w:val="clear"/>
            <w:tcMar>
              <w:top w:type="dxa" w:w="60"/>
              <w:left w:type="dxa" w:w="160"/>
              <w:bottom w:type="dxa" w:w="60"/>
              <w:right w:type="dxa" w:w="160"/>
            </w:tcMar>
          </w:tcPr>
          <w:p>
            <w:r>
              <w:rPr>
                <w:rFonts w:ascii="Courier New" w:cs="Courier New" w:eastAsia="Courier New" w:hAnsi="Courier New"/>
                <w:b/>
                <w:bCs/>
                <w:color w:val="1F4E79"/>
                <w:sz w:val="18"/>
                <w:szCs w:val="18"/>
              </w:rPr>
              <w:t xml:space="preserve">PaCO₂</w:t>
            </w:r>
          </w:p>
        </w:tc>
        <w:tc>
          <w:tcPr>
            <w:tcW w:type="dxa" w:w="6560"/>
            <w:tcBorders>
              <w:top w:val="none" w:color="FFFFFF" w:sz="0"/>
              <w:left w:val="none" w:color="FFFFFF" w:sz="0"/>
              <w:bottom w:val="none" w:color="FFFFFF" w:sz="0"/>
              <w:right w:val="none" w:color="FFFFFF" w:sz="0"/>
            </w:tcBorders>
            <w:shd w:fill="F2F2F2" w:val="clear"/>
            <w:tcMar>
              <w:top w:type="dxa" w:w="60"/>
              <w:left w:type="dxa" w:w="160"/>
              <w:bottom w:type="dxa" w:w="60"/>
              <w:right w:type="dxa" w:w="160"/>
            </w:tcMar>
          </w:tcPr>
          <w:p>
            <w:r>
              <w:rPr>
                <w:rFonts w:ascii="Arial" w:cs="Arial" w:eastAsia="Arial" w:hAnsi="Arial"/>
                <w:color w:val="1A1A2E"/>
                <w:sz w:val="18"/>
                <w:szCs w:val="18"/>
              </w:rPr>
              <w:t xml:space="preserve">Arterial pCO₂ (mmHg)</w:t>
            </w:r>
          </w:p>
        </w:tc>
      </w:tr>
      <w:tr>
        <w:tc>
          <w:tcPr>
            <w:tcW w:type="dxa" w:w="2800"/>
            <w:tcBorders>
              <w:top w:val="none" w:color="FFFFFF" w:sz="0"/>
              <w:left w:val="none" w:color="FFFFFF" w:sz="0"/>
              <w:bottom w:val="none" w:color="FFFFFF" w:sz="0"/>
              <w:right w:val="none" w:color="FFFFFF" w:sz="0"/>
            </w:tcBorders>
            <w:shd w:fill="F2F2F2" w:val="clear"/>
            <w:tcMar>
              <w:top w:type="dxa" w:w="60"/>
              <w:left w:type="dxa" w:w="160"/>
              <w:bottom w:type="dxa" w:w="60"/>
              <w:right w:type="dxa" w:w="160"/>
            </w:tcMar>
          </w:tcPr>
          <w:p>
            <w:r>
              <w:rPr>
                <w:rFonts w:ascii="Courier New" w:cs="Courier New" w:eastAsia="Courier New" w:hAnsi="Courier New"/>
                <w:b/>
                <w:bCs/>
                <w:color w:val="1F4E79"/>
                <w:sz w:val="18"/>
                <w:szCs w:val="18"/>
              </w:rPr>
              <w:t xml:space="preserve">RQ</w:t>
            </w:r>
          </w:p>
        </w:tc>
        <w:tc>
          <w:tcPr>
            <w:tcW w:type="dxa" w:w="6560"/>
            <w:tcBorders>
              <w:top w:val="none" w:color="FFFFFF" w:sz="0"/>
              <w:left w:val="none" w:color="FFFFFF" w:sz="0"/>
              <w:bottom w:val="none" w:color="FFFFFF" w:sz="0"/>
              <w:right w:val="none" w:color="FFFFFF" w:sz="0"/>
            </w:tcBorders>
            <w:shd w:fill="F2F2F2" w:val="clear"/>
            <w:tcMar>
              <w:top w:type="dxa" w:w="60"/>
              <w:left w:type="dxa" w:w="160"/>
              <w:bottom w:type="dxa" w:w="60"/>
              <w:right w:type="dxa" w:w="160"/>
            </w:tcMar>
          </w:tcPr>
          <w:p>
            <w:r>
              <w:rPr>
                <w:rFonts w:ascii="Arial" w:cs="Arial" w:eastAsia="Arial" w:hAnsi="Arial"/>
                <w:color w:val="1A1A2E"/>
                <w:sz w:val="18"/>
                <w:szCs w:val="18"/>
              </w:rPr>
              <w:t xml:space="preserve">Respiratory quotient (typically 0.8 for mixed diet; use 1.0 for simplicity at bedside)</w:t>
            </w:r>
          </w:p>
        </w:tc>
      </w:tr>
    </w:tbl>
    <w:p>
      <w:pPr>
        <w:spacing w:after="120"/>
      </w:pPr>
      <w:r>
        <w:rPr>
          <w:rFonts w:ascii="Arial" w:cs="Arial" w:eastAsia="Arial" w:hAnsi="Arial"/>
          <w:b w:val="false"/>
          <w:bCs w:val="false"/>
          <w:color w:val="1A1A2E"/>
          <w:sz w:val="20"/>
          <w:szCs w:val="20"/>
        </w:rPr>
        <w:t xml:space="preserve">At sea level on room air (FiO₂ 0.21): PAO₂ = 0.21 × (760 − 47) − (PaCO₂ / 0.8) = 149.7 − 1.25 × PaCO₂. For a normal term neonate with PaCO₂ 40 mmHg: PAO₂ = 149.7 − 50 = 99.7 mmHg. Normal A-a gradient in neonates on day 1 is approximately 25–40 mmHg (reflecting normal intrapulmonary shunting through persistent fetal channels), declining to 5–15 mmHg by day 3. Normal A-a gradient in children and adolescents on room air: 5 + (age/4) mmHg is a widely used approximation, though this formula was derived in adults. An A-a gradient &gt;250 mmHg on FiO₂ 1.0 suggests severe intrapulmonary shunting, as in ARDS, diffuse pneumonia, or PPHN with intracardiac shunting.</w:t>
      </w:r>
    </w:p>
    <w:p>
      <w:pPr>
        <w:pStyle w:val="Heading2"/>
        <w:pBdr>
          <w:bottom w:val="single" w:color="2E75B6" w:sz="4" w:space="1"/>
        </w:pBdr>
        <w:spacing w:after="140" w:before="280"/>
      </w:pPr>
      <w:r>
        <w:rPr>
          <w:rFonts w:ascii="Arial" w:cs="Arial" w:eastAsia="Arial" w:hAnsi="Arial"/>
          <w:b/>
          <w:bCs/>
          <w:color w:val="2E75B6"/>
          <w:sz w:val="26"/>
          <w:szCs w:val="26"/>
        </w:rPr>
        <w:t xml:space="preserve">3.3 Ventilation Index (VI)</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2800"/>
        <w:gridCol w:w="6560"/>
      </w:tblGrid>
      <w:tr>
        <w:tc>
          <w:tcPr>
            <w:gridSpan w:val="2"/>
            <w:tcBorders>
              <w:top w:val="none" w:color="FFFFFF" w:sz="0"/>
              <w:left w:val="none" w:color="FFFFFF" w:sz="0"/>
              <w:bottom w:val="none" w:color="FFFFFF" w:sz="0"/>
              <w:right w:val="none" w:color="FFFFFF" w:sz="0"/>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Ventilation Index</w:t>
            </w:r>
          </w:p>
        </w:tc>
      </w:tr>
      <w:tr>
        <w:tc>
          <w:tcPr>
            <w:gridSpan w:val="2"/>
            <w:tcBorders>
              <w:top w:val="none" w:color="FFFFFF" w:sz="0"/>
              <w:left w:val="none" w:color="FFFFFF" w:sz="0"/>
              <w:bottom w:val="none" w:color="FFFFFF" w:sz="0"/>
              <w:right w:val="none" w:color="FFFFFF" w:sz="0"/>
            </w:tcBorders>
            <w:shd w:fill="DEEAF1" w:val="clear"/>
            <w:tcMar>
              <w:top w:type="dxa" w:w="120"/>
              <w:left w:type="dxa" w:w="160"/>
              <w:bottom w:type="dxa" w:w="120"/>
              <w:right w:type="dxa" w:w="160"/>
            </w:tcMar>
          </w:tcPr>
          <w:p>
            <w:pPr>
              <w:jc w:val="center"/>
            </w:pPr>
            <w:r>
              <w:rPr>
                <w:rFonts w:ascii="Courier New" w:cs="Courier New" w:eastAsia="Courier New" w:hAnsi="Courier New"/>
                <w:b/>
                <w:bCs/>
                <w:color w:val="1F4E79"/>
                <w:sz w:val="22"/>
                <w:szCs w:val="22"/>
              </w:rPr>
              <w:t xml:space="preserve">VI = (PIP × RR × PaCO₂) / 1000</w:t>
            </w:r>
          </w:p>
        </w:tc>
      </w:tr>
      <w:tr>
        <w:tc>
          <w:tcPr>
            <w:tcW w:type="dxa" w:w="2800"/>
            <w:tcBorders>
              <w:top w:val="none" w:color="FFFFFF" w:sz="0"/>
              <w:left w:val="none" w:color="FFFFFF" w:sz="0"/>
              <w:bottom w:val="none" w:color="FFFFFF" w:sz="0"/>
              <w:right w:val="none" w:color="FFFFFF" w:sz="0"/>
            </w:tcBorders>
            <w:shd w:fill="F2F2F2" w:val="clear"/>
            <w:tcMar>
              <w:top w:type="dxa" w:w="60"/>
              <w:left w:type="dxa" w:w="160"/>
              <w:bottom w:type="dxa" w:w="60"/>
              <w:right w:type="dxa" w:w="160"/>
            </w:tcMar>
          </w:tcPr>
          <w:p>
            <w:r>
              <w:rPr>
                <w:rFonts w:ascii="Courier New" w:cs="Courier New" w:eastAsia="Courier New" w:hAnsi="Courier New"/>
                <w:b/>
                <w:bCs/>
                <w:color w:val="1F4E79"/>
                <w:sz w:val="18"/>
                <w:szCs w:val="18"/>
              </w:rPr>
              <w:t xml:space="preserve">PIP</w:t>
            </w:r>
          </w:p>
        </w:tc>
        <w:tc>
          <w:tcPr>
            <w:tcW w:type="dxa" w:w="6560"/>
            <w:tcBorders>
              <w:top w:val="none" w:color="FFFFFF" w:sz="0"/>
              <w:left w:val="none" w:color="FFFFFF" w:sz="0"/>
              <w:bottom w:val="none" w:color="FFFFFF" w:sz="0"/>
              <w:right w:val="none" w:color="FFFFFF" w:sz="0"/>
            </w:tcBorders>
            <w:shd w:fill="F2F2F2" w:val="clear"/>
            <w:tcMar>
              <w:top w:type="dxa" w:w="60"/>
              <w:left w:type="dxa" w:w="160"/>
              <w:bottom w:type="dxa" w:w="60"/>
              <w:right w:type="dxa" w:w="160"/>
            </w:tcMar>
          </w:tcPr>
          <w:p>
            <w:r>
              <w:rPr>
                <w:rFonts w:ascii="Arial" w:cs="Arial" w:eastAsia="Arial" w:hAnsi="Arial"/>
                <w:color w:val="1A1A2E"/>
                <w:sz w:val="18"/>
                <w:szCs w:val="18"/>
              </w:rPr>
              <w:t xml:space="preserve">Peak inspiratory pressure (cmH₂O)</w:t>
            </w:r>
          </w:p>
        </w:tc>
      </w:tr>
      <w:tr>
        <w:tc>
          <w:tcPr>
            <w:tcW w:type="dxa" w:w="2800"/>
            <w:tcBorders>
              <w:top w:val="none" w:color="FFFFFF" w:sz="0"/>
              <w:left w:val="none" w:color="FFFFFF" w:sz="0"/>
              <w:bottom w:val="none" w:color="FFFFFF" w:sz="0"/>
              <w:right w:val="none" w:color="FFFFFF" w:sz="0"/>
            </w:tcBorders>
            <w:shd w:fill="F2F2F2" w:val="clear"/>
            <w:tcMar>
              <w:top w:type="dxa" w:w="60"/>
              <w:left w:type="dxa" w:w="160"/>
              <w:bottom w:type="dxa" w:w="60"/>
              <w:right w:type="dxa" w:w="160"/>
            </w:tcMar>
          </w:tcPr>
          <w:p>
            <w:r>
              <w:rPr>
                <w:rFonts w:ascii="Courier New" w:cs="Courier New" w:eastAsia="Courier New" w:hAnsi="Courier New"/>
                <w:b/>
                <w:bCs/>
                <w:color w:val="1F4E79"/>
                <w:sz w:val="18"/>
                <w:szCs w:val="18"/>
              </w:rPr>
              <w:t xml:space="preserve">RR</w:t>
            </w:r>
          </w:p>
        </w:tc>
        <w:tc>
          <w:tcPr>
            <w:tcW w:type="dxa" w:w="6560"/>
            <w:tcBorders>
              <w:top w:val="none" w:color="FFFFFF" w:sz="0"/>
              <w:left w:val="none" w:color="FFFFFF" w:sz="0"/>
              <w:bottom w:val="none" w:color="FFFFFF" w:sz="0"/>
              <w:right w:val="none" w:color="FFFFFF" w:sz="0"/>
            </w:tcBorders>
            <w:shd w:fill="F2F2F2" w:val="clear"/>
            <w:tcMar>
              <w:top w:type="dxa" w:w="60"/>
              <w:left w:type="dxa" w:w="160"/>
              <w:bottom w:type="dxa" w:w="60"/>
              <w:right w:type="dxa" w:w="160"/>
            </w:tcMar>
          </w:tcPr>
          <w:p>
            <w:r>
              <w:rPr>
                <w:rFonts w:ascii="Arial" w:cs="Arial" w:eastAsia="Arial" w:hAnsi="Arial"/>
                <w:color w:val="1A1A2E"/>
                <w:sz w:val="18"/>
                <w:szCs w:val="18"/>
              </w:rPr>
              <w:t xml:space="preserve">Ventilator rate (breaths/min)</w:t>
            </w:r>
          </w:p>
        </w:tc>
      </w:tr>
      <w:tr>
        <w:tc>
          <w:tcPr>
            <w:tcW w:type="dxa" w:w="2800"/>
            <w:tcBorders>
              <w:top w:val="none" w:color="FFFFFF" w:sz="0"/>
              <w:left w:val="none" w:color="FFFFFF" w:sz="0"/>
              <w:bottom w:val="none" w:color="FFFFFF" w:sz="0"/>
              <w:right w:val="none" w:color="FFFFFF" w:sz="0"/>
            </w:tcBorders>
            <w:shd w:fill="F2F2F2" w:val="clear"/>
            <w:tcMar>
              <w:top w:type="dxa" w:w="60"/>
              <w:left w:type="dxa" w:w="160"/>
              <w:bottom w:type="dxa" w:w="60"/>
              <w:right w:type="dxa" w:w="160"/>
            </w:tcMar>
          </w:tcPr>
          <w:p>
            <w:r>
              <w:rPr>
                <w:rFonts w:ascii="Courier New" w:cs="Courier New" w:eastAsia="Courier New" w:hAnsi="Courier New"/>
                <w:b/>
                <w:bCs/>
                <w:color w:val="1F4E79"/>
                <w:sz w:val="18"/>
                <w:szCs w:val="18"/>
              </w:rPr>
              <w:t xml:space="preserve">PaCO₂</w:t>
            </w:r>
          </w:p>
        </w:tc>
        <w:tc>
          <w:tcPr>
            <w:tcW w:type="dxa" w:w="6560"/>
            <w:tcBorders>
              <w:top w:val="none" w:color="FFFFFF" w:sz="0"/>
              <w:left w:val="none" w:color="FFFFFF" w:sz="0"/>
              <w:bottom w:val="none" w:color="FFFFFF" w:sz="0"/>
              <w:right w:val="none" w:color="FFFFFF" w:sz="0"/>
            </w:tcBorders>
            <w:shd w:fill="F2F2F2" w:val="clear"/>
            <w:tcMar>
              <w:top w:type="dxa" w:w="60"/>
              <w:left w:type="dxa" w:w="160"/>
              <w:bottom w:type="dxa" w:w="60"/>
              <w:right w:type="dxa" w:w="160"/>
            </w:tcMar>
          </w:tcPr>
          <w:p>
            <w:r>
              <w:rPr>
                <w:rFonts w:ascii="Arial" w:cs="Arial" w:eastAsia="Arial" w:hAnsi="Arial"/>
                <w:color w:val="1A1A2E"/>
                <w:sz w:val="18"/>
                <w:szCs w:val="18"/>
              </w:rPr>
              <w:t xml:space="preserve">Arterial CO₂ tension (mmHg)</w:t>
            </w:r>
          </w:p>
        </w:tc>
      </w:tr>
    </w:tbl>
    <w:p>
      <w:pPr>
        <w:spacing w:after="120"/>
      </w:pPr>
      <w:r>
        <w:rPr>
          <w:rFonts w:ascii="Arial" w:cs="Arial" w:eastAsia="Arial" w:hAnsi="Arial"/>
          <w:b w:val="false"/>
          <w:bCs w:val="false"/>
          <w:color w:val="1A1A2E"/>
          <w:sz w:val="20"/>
          <w:szCs w:val="20"/>
        </w:rPr>
        <w:t xml:space="preserve">The Ventilation Index was originally applied in neonatal PPHN and CDH to quantify the combined burden of ventilatory support and CO₂ clearance failure. VI &gt;40 in CDH has been associated with 100% mortality in historical series without ECMO support; more recent data using antenatal steroids, gentle ventilation, and high-frequency oscillation show that VI &gt;40 retains specificity for ECMO candidacy (specificity ~85%) though sensitivity for mortality has declined as management has improved. A 2022 retrospective cohort (PMID: 35524571) of 231 neonates with CDH found VI &gt;30 at 24 hours predicted 28-day mortality with AUC 0.81 (0.74–0.88).</w:t>
      </w:r>
    </w:p>
    <w:p>
      <w:pPr>
        <w:pStyle w:val="Heading2"/>
        <w:pBdr>
          <w:bottom w:val="single" w:color="2E75B6" w:sz="4" w:space="1"/>
        </w:pBdr>
        <w:spacing w:after="140" w:before="280"/>
      </w:pPr>
      <w:r>
        <w:rPr>
          <w:rFonts w:ascii="Arial" w:cs="Arial" w:eastAsia="Arial" w:hAnsi="Arial"/>
          <w:b/>
          <w:bCs/>
          <w:color w:val="2E75B6"/>
          <w:sz w:val="26"/>
          <w:szCs w:val="26"/>
        </w:rPr>
        <w:t xml:space="preserve">3.4 Dynamic and Static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2800"/>
        <w:gridCol w:w="6560"/>
      </w:tblGrid>
      <w:tr>
        <w:tc>
          <w:tcPr>
            <w:gridSpan w:val="2"/>
            <w:tcBorders>
              <w:top w:val="none" w:color="FFFFFF" w:sz="0"/>
              <w:left w:val="none" w:color="FFFFFF" w:sz="0"/>
              <w:bottom w:val="none" w:color="FFFFFF" w:sz="0"/>
              <w:right w:val="none" w:color="FFFFFF" w:sz="0"/>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Dynamic Compliance (Cdyn)</w:t>
            </w:r>
          </w:p>
        </w:tc>
      </w:tr>
      <w:tr>
        <w:tc>
          <w:tcPr>
            <w:gridSpan w:val="2"/>
            <w:tcBorders>
              <w:top w:val="none" w:color="FFFFFF" w:sz="0"/>
              <w:left w:val="none" w:color="FFFFFF" w:sz="0"/>
              <w:bottom w:val="none" w:color="FFFFFF" w:sz="0"/>
              <w:right w:val="none" w:color="FFFFFF" w:sz="0"/>
            </w:tcBorders>
            <w:shd w:fill="DEEAF1" w:val="clear"/>
            <w:tcMar>
              <w:top w:type="dxa" w:w="120"/>
              <w:left w:type="dxa" w:w="160"/>
              <w:bottom w:type="dxa" w:w="120"/>
              <w:right w:type="dxa" w:w="160"/>
            </w:tcMar>
          </w:tcPr>
          <w:p>
            <w:pPr>
              <w:jc w:val="center"/>
            </w:pPr>
            <w:r>
              <w:rPr>
                <w:rFonts w:ascii="Courier New" w:cs="Courier New" w:eastAsia="Courier New" w:hAnsi="Courier New"/>
                <w:b/>
                <w:bCs/>
                <w:color w:val="1F4E79"/>
                <w:sz w:val="22"/>
                <w:szCs w:val="22"/>
              </w:rPr>
              <w:t xml:space="preserve">Cdyn = Vt / (PIP − PEEP)</w:t>
            </w:r>
          </w:p>
        </w:tc>
      </w:tr>
      <w:tr>
        <w:tc>
          <w:tcPr>
            <w:tcW w:type="dxa" w:w="2800"/>
            <w:tcBorders>
              <w:top w:val="none" w:color="FFFFFF" w:sz="0"/>
              <w:left w:val="none" w:color="FFFFFF" w:sz="0"/>
              <w:bottom w:val="none" w:color="FFFFFF" w:sz="0"/>
              <w:right w:val="none" w:color="FFFFFF" w:sz="0"/>
            </w:tcBorders>
            <w:shd w:fill="F2F2F2" w:val="clear"/>
            <w:tcMar>
              <w:top w:type="dxa" w:w="60"/>
              <w:left w:type="dxa" w:w="160"/>
              <w:bottom w:type="dxa" w:w="60"/>
              <w:right w:type="dxa" w:w="160"/>
            </w:tcMar>
          </w:tcPr>
          <w:p>
            <w:r>
              <w:rPr>
                <w:rFonts w:ascii="Courier New" w:cs="Courier New" w:eastAsia="Courier New" w:hAnsi="Courier New"/>
                <w:b/>
                <w:bCs/>
                <w:color w:val="1F4E79"/>
                <w:sz w:val="18"/>
                <w:szCs w:val="18"/>
              </w:rPr>
              <w:t xml:space="preserve">Vt</w:t>
            </w:r>
          </w:p>
        </w:tc>
        <w:tc>
          <w:tcPr>
            <w:tcW w:type="dxa" w:w="6560"/>
            <w:tcBorders>
              <w:top w:val="none" w:color="FFFFFF" w:sz="0"/>
              <w:left w:val="none" w:color="FFFFFF" w:sz="0"/>
              <w:bottom w:val="none" w:color="FFFFFF" w:sz="0"/>
              <w:right w:val="none" w:color="FFFFFF" w:sz="0"/>
            </w:tcBorders>
            <w:shd w:fill="F2F2F2" w:val="clear"/>
            <w:tcMar>
              <w:top w:type="dxa" w:w="60"/>
              <w:left w:type="dxa" w:w="160"/>
              <w:bottom w:type="dxa" w:w="60"/>
              <w:right w:type="dxa" w:w="160"/>
            </w:tcMar>
          </w:tcPr>
          <w:p>
            <w:r>
              <w:rPr>
                <w:rFonts w:ascii="Arial" w:cs="Arial" w:eastAsia="Arial" w:hAnsi="Arial"/>
                <w:color w:val="1A1A2E"/>
                <w:sz w:val="18"/>
                <w:szCs w:val="18"/>
              </w:rPr>
              <w:t xml:space="preserve">Measured expired tidal volume (mL)</w:t>
            </w:r>
          </w:p>
        </w:tc>
      </w:tr>
      <w:tr>
        <w:tc>
          <w:tcPr>
            <w:tcW w:type="dxa" w:w="2800"/>
            <w:tcBorders>
              <w:top w:val="none" w:color="FFFFFF" w:sz="0"/>
              <w:left w:val="none" w:color="FFFFFF" w:sz="0"/>
              <w:bottom w:val="none" w:color="FFFFFF" w:sz="0"/>
              <w:right w:val="none" w:color="FFFFFF" w:sz="0"/>
            </w:tcBorders>
            <w:shd w:fill="F2F2F2" w:val="clear"/>
            <w:tcMar>
              <w:top w:type="dxa" w:w="60"/>
              <w:left w:type="dxa" w:w="160"/>
              <w:bottom w:type="dxa" w:w="60"/>
              <w:right w:type="dxa" w:w="160"/>
            </w:tcMar>
          </w:tcPr>
          <w:p>
            <w:r>
              <w:rPr>
                <w:rFonts w:ascii="Courier New" w:cs="Courier New" w:eastAsia="Courier New" w:hAnsi="Courier New"/>
                <w:b/>
                <w:bCs/>
                <w:color w:val="1F4E79"/>
                <w:sz w:val="18"/>
                <w:szCs w:val="18"/>
              </w:rPr>
              <w:t xml:space="preserve">PIP</w:t>
            </w:r>
          </w:p>
        </w:tc>
        <w:tc>
          <w:tcPr>
            <w:tcW w:type="dxa" w:w="6560"/>
            <w:tcBorders>
              <w:top w:val="none" w:color="FFFFFF" w:sz="0"/>
              <w:left w:val="none" w:color="FFFFFF" w:sz="0"/>
              <w:bottom w:val="none" w:color="FFFFFF" w:sz="0"/>
              <w:right w:val="none" w:color="FFFFFF" w:sz="0"/>
            </w:tcBorders>
            <w:shd w:fill="F2F2F2" w:val="clear"/>
            <w:tcMar>
              <w:top w:type="dxa" w:w="60"/>
              <w:left w:type="dxa" w:w="160"/>
              <w:bottom w:type="dxa" w:w="60"/>
              <w:right w:type="dxa" w:w="160"/>
            </w:tcMar>
          </w:tcPr>
          <w:p>
            <w:r>
              <w:rPr>
                <w:rFonts w:ascii="Arial" w:cs="Arial" w:eastAsia="Arial" w:hAnsi="Arial"/>
                <w:color w:val="1A1A2E"/>
                <w:sz w:val="18"/>
                <w:szCs w:val="18"/>
              </w:rPr>
              <w:t xml:space="preserve">Peak inspiratory pressure (cmH₂O)</w:t>
            </w:r>
          </w:p>
        </w:tc>
      </w:tr>
      <w:tr>
        <w:tc>
          <w:tcPr>
            <w:tcW w:type="dxa" w:w="2800"/>
            <w:tcBorders>
              <w:top w:val="none" w:color="FFFFFF" w:sz="0"/>
              <w:left w:val="none" w:color="FFFFFF" w:sz="0"/>
              <w:bottom w:val="none" w:color="FFFFFF" w:sz="0"/>
              <w:right w:val="none" w:color="FFFFFF" w:sz="0"/>
            </w:tcBorders>
            <w:shd w:fill="F2F2F2" w:val="clear"/>
            <w:tcMar>
              <w:top w:type="dxa" w:w="60"/>
              <w:left w:type="dxa" w:w="160"/>
              <w:bottom w:type="dxa" w:w="60"/>
              <w:right w:type="dxa" w:w="160"/>
            </w:tcMar>
          </w:tcPr>
          <w:p>
            <w:r>
              <w:rPr>
                <w:rFonts w:ascii="Courier New" w:cs="Courier New" w:eastAsia="Courier New" w:hAnsi="Courier New"/>
                <w:b/>
                <w:bCs/>
                <w:color w:val="1F4E79"/>
                <w:sz w:val="18"/>
                <w:szCs w:val="18"/>
              </w:rPr>
              <w:t xml:space="preserve">PEEP</w:t>
            </w:r>
          </w:p>
        </w:tc>
        <w:tc>
          <w:tcPr>
            <w:tcW w:type="dxa" w:w="6560"/>
            <w:tcBorders>
              <w:top w:val="none" w:color="FFFFFF" w:sz="0"/>
              <w:left w:val="none" w:color="FFFFFF" w:sz="0"/>
              <w:bottom w:val="none" w:color="FFFFFF" w:sz="0"/>
              <w:right w:val="none" w:color="FFFFFF" w:sz="0"/>
            </w:tcBorders>
            <w:shd w:fill="F2F2F2" w:val="clear"/>
            <w:tcMar>
              <w:top w:type="dxa" w:w="60"/>
              <w:left w:type="dxa" w:w="160"/>
              <w:bottom w:type="dxa" w:w="60"/>
              <w:right w:type="dxa" w:w="160"/>
            </w:tcMar>
          </w:tcPr>
          <w:p>
            <w:r>
              <w:rPr>
                <w:rFonts w:ascii="Arial" w:cs="Arial" w:eastAsia="Arial" w:hAnsi="Arial"/>
                <w:color w:val="1A1A2E"/>
                <w:sz w:val="18"/>
                <w:szCs w:val="18"/>
              </w:rPr>
              <w:t xml:space="preserve">Positive end-expiratory pressure (cmH₂O)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2800"/>
        <w:gridCol w:w="6560"/>
      </w:tblGrid>
      <w:tr>
        <w:tc>
          <w:tcPr>
            <w:gridSpan w:val="2"/>
            <w:tcBorders>
              <w:top w:val="none" w:color="FFFFFF" w:sz="0"/>
              <w:left w:val="none" w:color="FFFFFF" w:sz="0"/>
              <w:bottom w:val="none" w:color="FFFFFF" w:sz="0"/>
              <w:right w:val="none" w:color="FFFFFF" w:sz="0"/>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Static Compliance (Cstat)</w:t>
            </w:r>
          </w:p>
        </w:tc>
      </w:tr>
      <w:tr>
        <w:tc>
          <w:tcPr>
            <w:gridSpan w:val="2"/>
            <w:tcBorders>
              <w:top w:val="none" w:color="FFFFFF" w:sz="0"/>
              <w:left w:val="none" w:color="FFFFFF" w:sz="0"/>
              <w:bottom w:val="none" w:color="FFFFFF" w:sz="0"/>
              <w:right w:val="none" w:color="FFFFFF" w:sz="0"/>
            </w:tcBorders>
            <w:shd w:fill="DEEAF1" w:val="clear"/>
            <w:tcMar>
              <w:top w:type="dxa" w:w="120"/>
              <w:left w:type="dxa" w:w="160"/>
              <w:bottom w:type="dxa" w:w="120"/>
              <w:right w:type="dxa" w:w="160"/>
            </w:tcMar>
          </w:tcPr>
          <w:p>
            <w:pPr>
              <w:jc w:val="center"/>
            </w:pPr>
            <w:r>
              <w:rPr>
                <w:rFonts w:ascii="Courier New" w:cs="Courier New" w:eastAsia="Courier New" w:hAnsi="Courier New"/>
                <w:b/>
                <w:bCs/>
                <w:color w:val="1F4E79"/>
                <w:sz w:val="22"/>
                <w:szCs w:val="22"/>
              </w:rPr>
              <w:t xml:space="preserve">Cstat = Vt / (Pplat − PEEP)</w:t>
            </w:r>
          </w:p>
        </w:tc>
      </w:tr>
      <w:tr>
        <w:tc>
          <w:tcPr>
            <w:tcW w:type="dxa" w:w="2800"/>
            <w:tcBorders>
              <w:top w:val="none" w:color="FFFFFF" w:sz="0"/>
              <w:left w:val="none" w:color="FFFFFF" w:sz="0"/>
              <w:bottom w:val="none" w:color="FFFFFF" w:sz="0"/>
              <w:right w:val="none" w:color="FFFFFF" w:sz="0"/>
            </w:tcBorders>
            <w:shd w:fill="F2F2F2" w:val="clear"/>
            <w:tcMar>
              <w:top w:type="dxa" w:w="60"/>
              <w:left w:type="dxa" w:w="160"/>
              <w:bottom w:type="dxa" w:w="60"/>
              <w:right w:type="dxa" w:w="160"/>
            </w:tcMar>
          </w:tcPr>
          <w:p>
            <w:r>
              <w:rPr>
                <w:rFonts w:ascii="Courier New" w:cs="Courier New" w:eastAsia="Courier New" w:hAnsi="Courier New"/>
                <w:b/>
                <w:bCs/>
                <w:color w:val="1F4E79"/>
                <w:sz w:val="18"/>
                <w:szCs w:val="18"/>
              </w:rPr>
              <w:t xml:space="preserve">Vt</w:t>
            </w:r>
          </w:p>
        </w:tc>
        <w:tc>
          <w:tcPr>
            <w:tcW w:type="dxa" w:w="6560"/>
            <w:tcBorders>
              <w:top w:val="none" w:color="FFFFFF" w:sz="0"/>
              <w:left w:val="none" w:color="FFFFFF" w:sz="0"/>
              <w:bottom w:val="none" w:color="FFFFFF" w:sz="0"/>
              <w:right w:val="none" w:color="FFFFFF" w:sz="0"/>
            </w:tcBorders>
            <w:shd w:fill="F2F2F2" w:val="clear"/>
            <w:tcMar>
              <w:top w:type="dxa" w:w="60"/>
              <w:left w:type="dxa" w:w="160"/>
              <w:bottom w:type="dxa" w:w="60"/>
              <w:right w:type="dxa" w:w="160"/>
            </w:tcMar>
          </w:tcPr>
          <w:p>
            <w:r>
              <w:rPr>
                <w:rFonts w:ascii="Arial" w:cs="Arial" w:eastAsia="Arial" w:hAnsi="Arial"/>
                <w:color w:val="1A1A2E"/>
                <w:sz w:val="18"/>
                <w:szCs w:val="18"/>
              </w:rPr>
              <w:t xml:space="preserve">Measured expired tidal volume (mL)</w:t>
            </w:r>
          </w:p>
        </w:tc>
      </w:tr>
      <w:tr>
        <w:tc>
          <w:tcPr>
            <w:tcW w:type="dxa" w:w="2800"/>
            <w:tcBorders>
              <w:top w:val="none" w:color="FFFFFF" w:sz="0"/>
              <w:left w:val="none" w:color="FFFFFF" w:sz="0"/>
              <w:bottom w:val="none" w:color="FFFFFF" w:sz="0"/>
              <w:right w:val="none" w:color="FFFFFF" w:sz="0"/>
            </w:tcBorders>
            <w:shd w:fill="F2F2F2" w:val="clear"/>
            <w:tcMar>
              <w:top w:type="dxa" w:w="60"/>
              <w:left w:type="dxa" w:w="160"/>
              <w:bottom w:type="dxa" w:w="60"/>
              <w:right w:type="dxa" w:w="160"/>
            </w:tcMar>
          </w:tcPr>
          <w:p>
            <w:r>
              <w:rPr>
                <w:rFonts w:ascii="Courier New" w:cs="Courier New" w:eastAsia="Courier New" w:hAnsi="Courier New"/>
                <w:b/>
                <w:bCs/>
                <w:color w:val="1F4E79"/>
                <w:sz w:val="18"/>
                <w:szCs w:val="18"/>
              </w:rPr>
              <w:t xml:space="preserve">Pplat</w:t>
            </w:r>
          </w:p>
        </w:tc>
        <w:tc>
          <w:tcPr>
            <w:tcW w:type="dxa" w:w="6560"/>
            <w:tcBorders>
              <w:top w:val="none" w:color="FFFFFF" w:sz="0"/>
              <w:left w:val="none" w:color="FFFFFF" w:sz="0"/>
              <w:bottom w:val="none" w:color="FFFFFF" w:sz="0"/>
              <w:right w:val="none" w:color="FFFFFF" w:sz="0"/>
            </w:tcBorders>
            <w:shd w:fill="F2F2F2" w:val="clear"/>
            <w:tcMar>
              <w:top w:type="dxa" w:w="60"/>
              <w:left w:type="dxa" w:w="160"/>
              <w:bottom w:type="dxa" w:w="60"/>
              <w:right w:type="dxa" w:w="160"/>
            </w:tcMar>
          </w:tcPr>
          <w:p>
            <w:r>
              <w:rPr>
                <w:rFonts w:ascii="Arial" w:cs="Arial" w:eastAsia="Arial" w:hAnsi="Arial"/>
                <w:color w:val="1A1A2E"/>
                <w:sz w:val="18"/>
                <w:szCs w:val="18"/>
              </w:rPr>
              <w:t xml:space="preserve">Plateau pressure — measured during end-inspiratory pause ≥0.5 seconds (cmH₂O)</w:t>
            </w:r>
          </w:p>
        </w:tc>
      </w:tr>
      <w:tr>
        <w:tc>
          <w:tcPr>
            <w:tcW w:type="dxa" w:w="2800"/>
            <w:tcBorders>
              <w:top w:val="none" w:color="FFFFFF" w:sz="0"/>
              <w:left w:val="none" w:color="FFFFFF" w:sz="0"/>
              <w:bottom w:val="none" w:color="FFFFFF" w:sz="0"/>
              <w:right w:val="none" w:color="FFFFFF" w:sz="0"/>
            </w:tcBorders>
            <w:shd w:fill="F2F2F2" w:val="clear"/>
            <w:tcMar>
              <w:top w:type="dxa" w:w="60"/>
              <w:left w:type="dxa" w:w="160"/>
              <w:bottom w:type="dxa" w:w="60"/>
              <w:right w:type="dxa" w:w="160"/>
            </w:tcMar>
          </w:tcPr>
          <w:p>
            <w:r>
              <w:rPr>
                <w:rFonts w:ascii="Courier New" w:cs="Courier New" w:eastAsia="Courier New" w:hAnsi="Courier New"/>
                <w:b/>
                <w:bCs/>
                <w:color w:val="1F4E79"/>
                <w:sz w:val="18"/>
                <w:szCs w:val="18"/>
              </w:rPr>
              <w:t xml:space="preserve">PEEP</w:t>
            </w:r>
          </w:p>
        </w:tc>
        <w:tc>
          <w:tcPr>
            <w:tcW w:type="dxa" w:w="6560"/>
            <w:tcBorders>
              <w:top w:val="none" w:color="FFFFFF" w:sz="0"/>
              <w:left w:val="none" w:color="FFFFFF" w:sz="0"/>
              <w:bottom w:val="none" w:color="FFFFFF" w:sz="0"/>
              <w:right w:val="none" w:color="FFFFFF" w:sz="0"/>
            </w:tcBorders>
            <w:shd w:fill="F2F2F2" w:val="clear"/>
            <w:tcMar>
              <w:top w:type="dxa" w:w="60"/>
              <w:left w:type="dxa" w:w="160"/>
              <w:bottom w:type="dxa" w:w="60"/>
              <w:right w:type="dxa" w:w="160"/>
            </w:tcMar>
          </w:tcPr>
          <w:p>
            <w:r>
              <w:rPr>
                <w:rFonts w:ascii="Arial" w:cs="Arial" w:eastAsia="Arial" w:hAnsi="Arial"/>
                <w:color w:val="1A1A2E"/>
                <w:sz w:val="18"/>
                <w:szCs w:val="18"/>
              </w:rPr>
              <w:t xml:space="preserve">Total PEEP including auto-PEEP (cmH₂O)</w:t>
            </w:r>
          </w:p>
        </w:tc>
      </w:tr>
    </w:tbl>
    <w:p>
      <w:pPr>
        <w:spacing w:after="120"/>
      </w:pPr>
      <w:r>
        <w:rPr>
          <w:rFonts w:ascii="Arial" w:cs="Arial" w:eastAsia="Arial" w:hAnsi="Arial"/>
          <w:b w:val="false"/>
          <w:bCs w:val="false"/>
          <w:color w:val="1A1A2E"/>
          <w:sz w:val="20"/>
          <w:szCs w:val="20"/>
        </w:rPr>
        <w:t xml:space="preserve">Normal respiratory system compliance by age: preterm neonate (normal lung) 1–2 mL/cmH₂O/kg; term neonate 2–3 mL/cmH₂O/kg; infant (1–12 months) 3–5 mL/cmH₂O/kg; toddler to school-age child 10–30 mL/cmH₂O; adolescent/adult 50–100 mL/cmH₂O. In RDS, neonatal compliance falls to 0.3–0.6 mL/cmH₂O/kg, requiring high driving pressures for adequate tidal volume. In PARDS, Cstat &lt;15 mL/cmH₂O identifies severe lung disease and heightens sensitivity to VILI. The difference between Cdyn and Cstat (the resistive pressure drop = PIP − Pplat) reflects airway resistance and flow-resistive work; when PIP − Pplat &gt;7–10 cmH₂O, airway resistance is clinically significant.</w:t>
      </w:r>
    </w:p>
    <w:p>
      <w:pPr>
        <w:pStyle w:val="Heading2"/>
        <w:pBdr>
          <w:bottom w:val="single" w:color="2E75B6" w:sz="4" w:space="1"/>
        </w:pBdr>
        <w:spacing w:after="140" w:before="280"/>
      </w:pPr>
      <w:r>
        <w:rPr>
          <w:rFonts w:ascii="Arial" w:cs="Arial" w:eastAsia="Arial" w:hAnsi="Arial"/>
          <w:b/>
          <w:bCs/>
          <w:color w:val="2E75B6"/>
          <w:sz w:val="26"/>
          <w:szCs w:val="26"/>
        </w:rPr>
        <w:t xml:space="preserve">3.5 Airway Resistance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2800"/>
        <w:gridCol w:w="6560"/>
      </w:tblGrid>
      <w:tr>
        <w:tc>
          <w:tcPr>
            <w:gridSpan w:val="2"/>
            <w:tcBorders>
              <w:top w:val="none" w:color="FFFFFF" w:sz="0"/>
              <w:left w:val="none" w:color="FFFFFF" w:sz="0"/>
              <w:bottom w:val="none" w:color="FFFFFF" w:sz="0"/>
              <w:right w:val="none" w:color="FFFFFF" w:sz="0"/>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Airway Resistance</w:t>
            </w:r>
          </w:p>
        </w:tc>
      </w:tr>
      <w:tr>
        <w:tc>
          <w:tcPr>
            <w:gridSpan w:val="2"/>
            <w:tcBorders>
              <w:top w:val="none" w:color="FFFFFF" w:sz="0"/>
              <w:left w:val="none" w:color="FFFFFF" w:sz="0"/>
              <w:bottom w:val="none" w:color="FFFFFF" w:sz="0"/>
              <w:right w:val="none" w:color="FFFFFF" w:sz="0"/>
            </w:tcBorders>
            <w:shd w:fill="DEEAF1" w:val="clear"/>
            <w:tcMar>
              <w:top w:type="dxa" w:w="120"/>
              <w:left w:type="dxa" w:w="160"/>
              <w:bottom w:type="dxa" w:w="120"/>
              <w:right w:type="dxa" w:w="160"/>
            </w:tcMar>
          </w:tcPr>
          <w:p>
            <w:pPr>
              <w:jc w:val="center"/>
            </w:pPr>
            <w:r>
              <w:rPr>
                <w:rFonts w:ascii="Courier New" w:cs="Courier New" w:eastAsia="Courier New" w:hAnsi="Courier New"/>
                <w:b/>
                <w:bCs/>
                <w:color w:val="1F4E79"/>
                <w:sz w:val="22"/>
                <w:szCs w:val="22"/>
              </w:rPr>
              <w:t xml:space="preserve">Raw = (PIP − Pplat) / Peak Inspiratory Flow</w:t>
            </w:r>
          </w:p>
        </w:tc>
      </w:tr>
      <w:tr>
        <w:tc>
          <w:tcPr>
            <w:tcW w:type="dxa" w:w="2800"/>
            <w:tcBorders>
              <w:top w:val="none" w:color="FFFFFF" w:sz="0"/>
              <w:left w:val="none" w:color="FFFFFF" w:sz="0"/>
              <w:bottom w:val="none" w:color="FFFFFF" w:sz="0"/>
              <w:right w:val="none" w:color="FFFFFF" w:sz="0"/>
            </w:tcBorders>
            <w:shd w:fill="F2F2F2" w:val="clear"/>
            <w:tcMar>
              <w:top w:type="dxa" w:w="60"/>
              <w:left w:type="dxa" w:w="160"/>
              <w:bottom w:type="dxa" w:w="60"/>
              <w:right w:type="dxa" w:w="160"/>
            </w:tcMar>
          </w:tcPr>
          <w:p>
            <w:r>
              <w:rPr>
                <w:rFonts w:ascii="Courier New" w:cs="Courier New" w:eastAsia="Courier New" w:hAnsi="Courier New"/>
                <w:b/>
                <w:bCs/>
                <w:color w:val="1F4E79"/>
                <w:sz w:val="18"/>
                <w:szCs w:val="18"/>
              </w:rPr>
              <w:t xml:space="preserve">PIP</w:t>
            </w:r>
          </w:p>
        </w:tc>
        <w:tc>
          <w:tcPr>
            <w:tcW w:type="dxa" w:w="6560"/>
            <w:tcBorders>
              <w:top w:val="none" w:color="FFFFFF" w:sz="0"/>
              <w:left w:val="none" w:color="FFFFFF" w:sz="0"/>
              <w:bottom w:val="none" w:color="FFFFFF" w:sz="0"/>
              <w:right w:val="none" w:color="FFFFFF" w:sz="0"/>
            </w:tcBorders>
            <w:shd w:fill="F2F2F2" w:val="clear"/>
            <w:tcMar>
              <w:top w:type="dxa" w:w="60"/>
              <w:left w:type="dxa" w:w="160"/>
              <w:bottom w:type="dxa" w:w="60"/>
              <w:right w:type="dxa" w:w="160"/>
            </w:tcMar>
          </w:tcPr>
          <w:p>
            <w:r>
              <w:rPr>
                <w:rFonts w:ascii="Arial" w:cs="Arial" w:eastAsia="Arial" w:hAnsi="Arial"/>
                <w:color w:val="1A1A2E"/>
                <w:sz w:val="18"/>
                <w:szCs w:val="18"/>
              </w:rPr>
              <w:t xml:space="preserve">Peak inspiratory pressure (cmH₂O)</w:t>
            </w:r>
          </w:p>
        </w:tc>
      </w:tr>
      <w:tr>
        <w:tc>
          <w:tcPr>
            <w:tcW w:type="dxa" w:w="2800"/>
            <w:tcBorders>
              <w:top w:val="none" w:color="FFFFFF" w:sz="0"/>
              <w:left w:val="none" w:color="FFFFFF" w:sz="0"/>
              <w:bottom w:val="none" w:color="FFFFFF" w:sz="0"/>
              <w:right w:val="none" w:color="FFFFFF" w:sz="0"/>
            </w:tcBorders>
            <w:shd w:fill="F2F2F2" w:val="clear"/>
            <w:tcMar>
              <w:top w:type="dxa" w:w="60"/>
              <w:left w:type="dxa" w:w="160"/>
              <w:bottom w:type="dxa" w:w="60"/>
              <w:right w:type="dxa" w:w="160"/>
            </w:tcMar>
          </w:tcPr>
          <w:p>
            <w:r>
              <w:rPr>
                <w:rFonts w:ascii="Courier New" w:cs="Courier New" w:eastAsia="Courier New" w:hAnsi="Courier New"/>
                <w:b/>
                <w:bCs/>
                <w:color w:val="1F4E79"/>
                <w:sz w:val="18"/>
                <w:szCs w:val="18"/>
              </w:rPr>
              <w:t xml:space="preserve">Pplat</w:t>
            </w:r>
          </w:p>
        </w:tc>
        <w:tc>
          <w:tcPr>
            <w:tcW w:type="dxa" w:w="6560"/>
            <w:tcBorders>
              <w:top w:val="none" w:color="FFFFFF" w:sz="0"/>
              <w:left w:val="none" w:color="FFFFFF" w:sz="0"/>
              <w:bottom w:val="none" w:color="FFFFFF" w:sz="0"/>
              <w:right w:val="none" w:color="FFFFFF" w:sz="0"/>
            </w:tcBorders>
            <w:shd w:fill="F2F2F2" w:val="clear"/>
            <w:tcMar>
              <w:top w:type="dxa" w:w="60"/>
              <w:left w:type="dxa" w:w="160"/>
              <w:bottom w:type="dxa" w:w="60"/>
              <w:right w:type="dxa" w:w="160"/>
            </w:tcMar>
          </w:tcPr>
          <w:p>
            <w:r>
              <w:rPr>
                <w:rFonts w:ascii="Arial" w:cs="Arial" w:eastAsia="Arial" w:hAnsi="Arial"/>
                <w:color w:val="1A1A2E"/>
                <w:sz w:val="18"/>
                <w:szCs w:val="18"/>
              </w:rPr>
              <w:t xml:space="preserve">Plateau (static) pressure (cmH₂O)</w:t>
            </w:r>
          </w:p>
        </w:tc>
      </w:tr>
      <w:tr>
        <w:tc>
          <w:tcPr>
            <w:tcW w:type="dxa" w:w="2800"/>
            <w:tcBorders>
              <w:top w:val="none" w:color="FFFFFF" w:sz="0"/>
              <w:left w:val="none" w:color="FFFFFF" w:sz="0"/>
              <w:bottom w:val="none" w:color="FFFFFF" w:sz="0"/>
              <w:right w:val="none" w:color="FFFFFF" w:sz="0"/>
            </w:tcBorders>
            <w:shd w:fill="F2F2F2" w:val="clear"/>
            <w:tcMar>
              <w:top w:type="dxa" w:w="60"/>
              <w:left w:type="dxa" w:w="160"/>
              <w:bottom w:type="dxa" w:w="60"/>
              <w:right w:type="dxa" w:w="160"/>
            </w:tcMar>
          </w:tcPr>
          <w:p>
            <w:r>
              <w:rPr>
                <w:rFonts w:ascii="Courier New" w:cs="Courier New" w:eastAsia="Courier New" w:hAnsi="Courier New"/>
                <w:b/>
                <w:bCs/>
                <w:color w:val="1F4E79"/>
                <w:sz w:val="18"/>
                <w:szCs w:val="18"/>
              </w:rPr>
              <w:t xml:space="preserve">Peak Inspiratory Flow</w:t>
            </w:r>
          </w:p>
        </w:tc>
        <w:tc>
          <w:tcPr>
            <w:tcW w:type="dxa" w:w="6560"/>
            <w:tcBorders>
              <w:top w:val="none" w:color="FFFFFF" w:sz="0"/>
              <w:left w:val="none" w:color="FFFFFF" w:sz="0"/>
              <w:bottom w:val="none" w:color="FFFFFF" w:sz="0"/>
              <w:right w:val="none" w:color="FFFFFF" w:sz="0"/>
            </w:tcBorders>
            <w:shd w:fill="F2F2F2" w:val="clear"/>
            <w:tcMar>
              <w:top w:type="dxa" w:w="60"/>
              <w:left w:type="dxa" w:w="160"/>
              <w:bottom w:type="dxa" w:w="60"/>
              <w:right w:type="dxa" w:w="160"/>
            </w:tcMar>
          </w:tcPr>
          <w:p>
            <w:r>
              <w:rPr>
                <w:rFonts w:ascii="Arial" w:cs="Arial" w:eastAsia="Arial" w:hAnsi="Arial"/>
                <w:color w:val="1A1A2E"/>
                <w:sz w:val="18"/>
                <w:szCs w:val="18"/>
              </w:rPr>
              <w:t xml:space="preserve">Measured peak flow during inspiration (L/s or mL/s)</w:t>
            </w:r>
          </w:p>
        </w:tc>
      </w:tr>
    </w:tbl>
    <w:p>
      <w:pPr>
        <w:spacing w:after="120"/>
      </w:pPr>
      <w:r>
        <w:rPr>
          <w:rFonts w:ascii="Arial" w:cs="Arial" w:eastAsia="Arial" w:hAnsi="Arial"/>
          <w:b w:val="false"/>
          <w:bCs w:val="false"/>
          <w:color w:val="1A1A2E"/>
          <w:sz w:val="20"/>
          <w:szCs w:val="20"/>
        </w:rPr>
        <w:t xml:space="preserve">Normal airway resistance values by age: 20–40 cmH₂O/L/s in term neonates; 10–25 cmH₂O/L/s in infants 3–12 months; 5–15 cmH₂O/L/s in children 1–5 years; 2–5 cmH₂O/L/s in school-age children. In severe bronchospasm (status asthmaticus), resistance can reach 50–80 cmH₂O/L/s in children. In BPD, elevated resistance (15–30 cmH₂O/L/s) reflects both fixed airway narrowing and dynamic airway collapse, and responds variably to bronchodilators depending on the smooth muscle vs fibrotic component. Resistance is elevated in endotracheal tube obstruction — a 3.0 mm ETT has intrinsic resistance of approximately 50–80 cmH₂O/L/s at typical neonatal flows.</w:t>
      </w:r>
    </w:p>
    <w:p>
      <w:pPr>
        <w:pStyle w:val="Heading2"/>
        <w:pBdr>
          <w:bottom w:val="single" w:color="2E75B6" w:sz="4" w:space="1"/>
        </w:pBdr>
        <w:spacing w:after="140" w:before="280"/>
      </w:pPr>
      <w:r>
        <w:rPr>
          <w:rFonts w:ascii="Arial" w:cs="Arial" w:eastAsia="Arial" w:hAnsi="Arial"/>
          <w:b/>
          <w:bCs/>
          <w:color w:val="2E75B6"/>
          <w:sz w:val="26"/>
          <w:szCs w:val="26"/>
        </w:rPr>
        <w:t xml:space="preserve">3.6 Time Constant and Expiratory Time Setting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2800"/>
        <w:gridCol w:w="6560"/>
      </w:tblGrid>
      <w:tr>
        <w:tc>
          <w:tcPr>
            <w:gridSpan w:val="2"/>
            <w:tcBorders>
              <w:top w:val="none" w:color="FFFFFF" w:sz="0"/>
              <w:left w:val="none" w:color="FFFFFF" w:sz="0"/>
              <w:bottom w:val="none" w:color="FFFFFF" w:sz="0"/>
              <w:right w:val="none" w:color="FFFFFF" w:sz="0"/>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Respiratory Time Constant</w:t>
            </w:r>
          </w:p>
        </w:tc>
      </w:tr>
      <w:tr>
        <w:tc>
          <w:tcPr>
            <w:gridSpan w:val="2"/>
            <w:tcBorders>
              <w:top w:val="none" w:color="FFFFFF" w:sz="0"/>
              <w:left w:val="none" w:color="FFFFFF" w:sz="0"/>
              <w:bottom w:val="none" w:color="FFFFFF" w:sz="0"/>
              <w:right w:val="none" w:color="FFFFFF" w:sz="0"/>
            </w:tcBorders>
            <w:shd w:fill="DEEAF1" w:val="clear"/>
            <w:tcMar>
              <w:top w:type="dxa" w:w="120"/>
              <w:left w:type="dxa" w:w="160"/>
              <w:bottom w:type="dxa" w:w="120"/>
              <w:right w:type="dxa" w:w="160"/>
            </w:tcMar>
          </w:tcPr>
          <w:p>
            <w:pPr>
              <w:jc w:val="center"/>
            </w:pPr>
            <w:r>
              <w:rPr>
                <w:rFonts w:ascii="Courier New" w:cs="Courier New" w:eastAsia="Courier New" w:hAnsi="Courier New"/>
                <w:b/>
                <w:bCs/>
                <w:color w:val="1F4E79"/>
                <w:sz w:val="22"/>
                <w:szCs w:val="22"/>
              </w:rPr>
              <w:t xml:space="preserve">τ = Cstat × Raw</w:t>
            </w:r>
          </w:p>
        </w:tc>
      </w:tr>
      <w:tr>
        <w:tc>
          <w:tcPr>
            <w:tcW w:type="dxa" w:w="2800"/>
            <w:tcBorders>
              <w:top w:val="none" w:color="FFFFFF" w:sz="0"/>
              <w:left w:val="none" w:color="FFFFFF" w:sz="0"/>
              <w:bottom w:val="none" w:color="FFFFFF" w:sz="0"/>
              <w:right w:val="none" w:color="FFFFFF" w:sz="0"/>
            </w:tcBorders>
            <w:shd w:fill="F2F2F2" w:val="clear"/>
            <w:tcMar>
              <w:top w:type="dxa" w:w="60"/>
              <w:left w:type="dxa" w:w="160"/>
              <w:bottom w:type="dxa" w:w="60"/>
              <w:right w:type="dxa" w:w="160"/>
            </w:tcMar>
          </w:tcPr>
          <w:p>
            <w:r>
              <w:rPr>
                <w:rFonts w:ascii="Courier New" w:cs="Courier New" w:eastAsia="Courier New" w:hAnsi="Courier New"/>
                <w:b/>
                <w:bCs/>
                <w:color w:val="1F4E79"/>
                <w:sz w:val="18"/>
                <w:szCs w:val="18"/>
              </w:rPr>
              <w:t xml:space="preserve">τ (tau)</w:t>
            </w:r>
          </w:p>
        </w:tc>
        <w:tc>
          <w:tcPr>
            <w:tcW w:type="dxa" w:w="6560"/>
            <w:tcBorders>
              <w:top w:val="none" w:color="FFFFFF" w:sz="0"/>
              <w:left w:val="none" w:color="FFFFFF" w:sz="0"/>
              <w:bottom w:val="none" w:color="FFFFFF" w:sz="0"/>
              <w:right w:val="none" w:color="FFFFFF" w:sz="0"/>
            </w:tcBorders>
            <w:shd w:fill="F2F2F2" w:val="clear"/>
            <w:tcMar>
              <w:top w:type="dxa" w:w="60"/>
              <w:left w:type="dxa" w:w="160"/>
              <w:bottom w:type="dxa" w:w="60"/>
              <w:right w:type="dxa" w:w="160"/>
            </w:tcMar>
          </w:tcPr>
          <w:p>
            <w:r>
              <w:rPr>
                <w:rFonts w:ascii="Arial" w:cs="Arial" w:eastAsia="Arial" w:hAnsi="Arial"/>
                <w:color w:val="1A1A2E"/>
                <w:sz w:val="18"/>
                <w:szCs w:val="18"/>
              </w:rPr>
              <w:t xml:space="preserve">Time constant (seconds) — time to reach 63% of equilibrium volume</w:t>
            </w:r>
          </w:p>
        </w:tc>
      </w:tr>
      <w:tr>
        <w:tc>
          <w:tcPr>
            <w:tcW w:type="dxa" w:w="2800"/>
            <w:tcBorders>
              <w:top w:val="none" w:color="FFFFFF" w:sz="0"/>
              <w:left w:val="none" w:color="FFFFFF" w:sz="0"/>
              <w:bottom w:val="none" w:color="FFFFFF" w:sz="0"/>
              <w:right w:val="none" w:color="FFFFFF" w:sz="0"/>
            </w:tcBorders>
            <w:shd w:fill="F2F2F2" w:val="clear"/>
            <w:tcMar>
              <w:top w:type="dxa" w:w="60"/>
              <w:left w:type="dxa" w:w="160"/>
              <w:bottom w:type="dxa" w:w="60"/>
              <w:right w:type="dxa" w:w="160"/>
            </w:tcMar>
          </w:tcPr>
          <w:p>
            <w:r>
              <w:rPr>
                <w:rFonts w:ascii="Courier New" w:cs="Courier New" w:eastAsia="Courier New" w:hAnsi="Courier New"/>
                <w:b/>
                <w:bCs/>
                <w:color w:val="1F4E79"/>
                <w:sz w:val="18"/>
                <w:szCs w:val="18"/>
              </w:rPr>
              <w:t xml:space="preserve">Cstat</w:t>
            </w:r>
          </w:p>
        </w:tc>
        <w:tc>
          <w:tcPr>
            <w:tcW w:type="dxa" w:w="6560"/>
            <w:tcBorders>
              <w:top w:val="none" w:color="FFFFFF" w:sz="0"/>
              <w:left w:val="none" w:color="FFFFFF" w:sz="0"/>
              <w:bottom w:val="none" w:color="FFFFFF" w:sz="0"/>
              <w:right w:val="none" w:color="FFFFFF" w:sz="0"/>
            </w:tcBorders>
            <w:shd w:fill="F2F2F2" w:val="clear"/>
            <w:tcMar>
              <w:top w:type="dxa" w:w="60"/>
              <w:left w:type="dxa" w:w="160"/>
              <w:bottom w:type="dxa" w:w="60"/>
              <w:right w:type="dxa" w:w="160"/>
            </w:tcMar>
          </w:tcPr>
          <w:p>
            <w:r>
              <w:rPr>
                <w:rFonts w:ascii="Arial" w:cs="Arial" w:eastAsia="Arial" w:hAnsi="Arial"/>
                <w:color w:val="1A1A2E"/>
                <w:sz w:val="18"/>
                <w:szCs w:val="18"/>
              </w:rPr>
              <w:t xml:space="preserve">Static compliance (mL/cmH₂O)</w:t>
            </w:r>
          </w:p>
        </w:tc>
      </w:tr>
      <w:tr>
        <w:tc>
          <w:tcPr>
            <w:tcW w:type="dxa" w:w="2800"/>
            <w:tcBorders>
              <w:top w:val="none" w:color="FFFFFF" w:sz="0"/>
              <w:left w:val="none" w:color="FFFFFF" w:sz="0"/>
              <w:bottom w:val="none" w:color="FFFFFF" w:sz="0"/>
              <w:right w:val="none" w:color="FFFFFF" w:sz="0"/>
            </w:tcBorders>
            <w:shd w:fill="F2F2F2" w:val="clear"/>
            <w:tcMar>
              <w:top w:type="dxa" w:w="60"/>
              <w:left w:type="dxa" w:w="160"/>
              <w:bottom w:type="dxa" w:w="60"/>
              <w:right w:type="dxa" w:w="160"/>
            </w:tcMar>
          </w:tcPr>
          <w:p>
            <w:r>
              <w:rPr>
                <w:rFonts w:ascii="Courier New" w:cs="Courier New" w:eastAsia="Courier New" w:hAnsi="Courier New"/>
                <w:b/>
                <w:bCs/>
                <w:color w:val="1F4E79"/>
                <w:sz w:val="18"/>
                <w:szCs w:val="18"/>
              </w:rPr>
              <w:t xml:space="preserve">Raw</w:t>
            </w:r>
          </w:p>
        </w:tc>
        <w:tc>
          <w:tcPr>
            <w:tcW w:type="dxa" w:w="6560"/>
            <w:tcBorders>
              <w:top w:val="none" w:color="FFFFFF" w:sz="0"/>
              <w:left w:val="none" w:color="FFFFFF" w:sz="0"/>
              <w:bottom w:val="none" w:color="FFFFFF" w:sz="0"/>
              <w:right w:val="none" w:color="FFFFFF" w:sz="0"/>
            </w:tcBorders>
            <w:shd w:fill="F2F2F2" w:val="clear"/>
            <w:tcMar>
              <w:top w:type="dxa" w:w="60"/>
              <w:left w:type="dxa" w:w="160"/>
              <w:bottom w:type="dxa" w:w="60"/>
              <w:right w:type="dxa" w:w="160"/>
            </w:tcMar>
          </w:tcPr>
          <w:p>
            <w:r>
              <w:rPr>
                <w:rFonts w:ascii="Arial" w:cs="Arial" w:eastAsia="Arial" w:hAnsi="Arial"/>
                <w:color w:val="1A1A2E"/>
                <w:sz w:val="18"/>
                <w:szCs w:val="18"/>
              </w:rPr>
              <w:t xml:space="preserve">Airway resistance (cmH₂O/mL/s)</w:t>
            </w:r>
          </w:p>
        </w:tc>
      </w:tr>
    </w:tbl>
    <w:p>
      <w:pPr>
        <w:spacing w:after="120"/>
      </w:pPr>
      <w:r>
        <w:rPr>
          <w:rFonts w:ascii="Arial" w:cs="Arial" w:eastAsia="Arial" w:hAnsi="Arial"/>
          <w:b w:val="false"/>
          <w:bCs w:val="false"/>
          <w:color w:val="1A1A2E"/>
          <w:sz w:val="20"/>
          <w:szCs w:val="20"/>
        </w:rPr>
        <w:t xml:space="preserve">The time constant governs lung filling and emptying kinetics. After 1τ, 63% of tidal volume has been delivered or expired; after 3τ, 95%; after 5τ, 99%. Clinical implications: expiratory time should ideally be ≥3τ to allow nearly complete exhalation and prevent auto-PEEP. In normal preterm neonates: τ ≈ 0.15–0.20 seconds, allowing ventilator rates up to 60–80 breaths/min. In RDS (low compliance, normal resistance): τ is very short (0.05–0.10 s), allowing high rates. In BPD (low compliance + high resistance): τ is prolonged (0.4–0.8 s), requiring lower rates with longer Te to avoid air trapping. In bronchiolitis or status asthmaticus (normal compliance + very high resistance): τ can reach 1.5–3.0 s, necessitating rates of 10–15 breaths/min with permissive hypercapnia to prevent auto-PEEP and dynamic hyperinflation.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60"/>
        </w:tblCellMar>
      </w:tblPr>
      <w:tblGrid>
        <w:gridCol w:w="360"/>
        <w:gridCol w:w="9000"/>
      </w:tblGrid>
      <w:tr>
        <w:tc>
          <w:tcPr>
            <w:tcW w:type="dxa" w:w="360"/>
            <w:tcBorders>
              <w:top w:val="none" w:color="FFFFFF" w:sz="0"/>
              <w:left w:val="none" w:color="FFFFFF" w:sz="0"/>
              <w:bottom w:val="none" w:color="FFFFFF" w:sz="0"/>
              <w:right w:val="none" w:color="FFFFFF" w:sz="0"/>
            </w:tcBorders>
            <w:shd w:fill="2E75B6" w:val="clear"/>
            <w:tcMar>
              <w:top w:type="dxa" w:w="100"/>
              <w:left w:type="dxa" w:w="80"/>
              <w:bottom w:type="dxa" w:w="100"/>
              <w:right w:type="dxa" w:w="80"/>
            </w:tcMar>
          </w:tcPr>
          <w:p>
            <w:r>
              <w:rPr>
                <w:rFonts w:ascii="Arial" w:cs="Arial" w:eastAsia="Arial" w:hAnsi="Arial"/>
                <w:color w:val="FFFFFF"/>
                <w:sz w:val="20"/>
                <w:szCs w:val="20"/>
              </w:rPr>
              <w:t xml:space="preserve">▶</w:t>
            </w:r>
          </w:p>
        </w:tc>
        <w:tc>
          <w:tcPr>
            <w:tcW w:type="dxa" w:w="9000"/>
            <w:tcBorders>
              <w:top w:val="none" w:color="FFFFFF" w:sz="0"/>
              <w:left w:val="none" w:color="FFFFFF" w:sz="0"/>
              <w:bottom w:val="none" w:color="FFFFFF" w:sz="0"/>
              <w:right w:val="none" w:color="FFFFFF" w:sz="0"/>
            </w:tcBorders>
            <w:shd w:fill="E2EFDA" w:val="clear"/>
            <w:tcMar>
              <w:top w:type="dxa" w:w="100"/>
              <w:left w:type="dxa" w:w="160"/>
              <w:bottom w:type="dxa" w:w="100"/>
              <w:right w:type="dxa" w:w="160"/>
            </w:tcMar>
          </w:tcPr>
          <w:p>
            <w:r>
              <w:rPr>
                <w:rFonts w:ascii="Arial" w:cs="Arial" w:eastAsia="Arial" w:hAnsi="Arial"/>
                <w:color w:val="1A1A2E"/>
                <w:sz w:val="18"/>
                <w:szCs w:val="18"/>
              </w:rPr>
              <w:t xml:space="preserve">TIME CONSTANT CLINICAL TOOL: To estimate Te requirements: safe minimum Te ≥ 3τ. Example: child with asthma, Cstat 50 mL/cmH₂O, Raw 40 cmH₂O/L/s = cmH₂O×s/mL. Convert: 40 cmH₂O/L/s = 0.04 cmH₂O·s/mL. τ = 50 × 0.04 = 2.0 seconds. Minimum Te = 6 seconds. At RR 10/min (cycle = 6 s total), Ti 0.8 s leaves Te 5.2 s — borderline adequate. This explains why ventilating status asthmaticus at RR &gt;15–20/min is physiologically dangerous without accepting severe hypercapnia (permissive strategy).</w:t>
            </w:r>
          </w:p>
        </w:tc>
      </w:tr>
    </w:tbl>
    <w:p>
      <w:pPr>
        <w:pStyle w:val="Heading2"/>
        <w:pBdr>
          <w:bottom w:val="single" w:color="2E75B6" w:sz="4" w:space="1"/>
        </w:pBdr>
        <w:spacing w:after="140" w:before="280"/>
      </w:pPr>
      <w:r>
        <w:rPr>
          <w:rFonts w:ascii="Arial" w:cs="Arial" w:eastAsia="Arial" w:hAnsi="Arial"/>
          <w:b/>
          <w:bCs/>
          <w:color w:val="2E75B6"/>
          <w:sz w:val="26"/>
          <w:szCs w:val="26"/>
        </w:rPr>
        <w:t xml:space="preserve">3.7 Driving Pressure and Lung-Protective Ventilation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2800"/>
        <w:gridCol w:w="6560"/>
      </w:tblGrid>
      <w:tr>
        <w:tc>
          <w:tcPr>
            <w:gridSpan w:val="2"/>
            <w:tcBorders>
              <w:top w:val="none" w:color="FFFFFF" w:sz="0"/>
              <w:left w:val="none" w:color="FFFFFF" w:sz="0"/>
              <w:bottom w:val="none" w:color="FFFFFF" w:sz="0"/>
              <w:right w:val="none" w:color="FFFFFF" w:sz="0"/>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Driving Pressure</w:t>
            </w:r>
          </w:p>
        </w:tc>
      </w:tr>
      <w:tr>
        <w:tc>
          <w:tcPr>
            <w:gridSpan w:val="2"/>
            <w:tcBorders>
              <w:top w:val="none" w:color="FFFFFF" w:sz="0"/>
              <w:left w:val="none" w:color="FFFFFF" w:sz="0"/>
              <w:bottom w:val="none" w:color="FFFFFF" w:sz="0"/>
              <w:right w:val="none" w:color="FFFFFF" w:sz="0"/>
            </w:tcBorders>
            <w:shd w:fill="DEEAF1" w:val="clear"/>
            <w:tcMar>
              <w:top w:type="dxa" w:w="120"/>
              <w:left w:type="dxa" w:w="160"/>
              <w:bottom w:type="dxa" w:w="120"/>
              <w:right w:type="dxa" w:w="160"/>
            </w:tcMar>
          </w:tcPr>
          <w:p>
            <w:pPr>
              <w:jc w:val="center"/>
            </w:pPr>
            <w:r>
              <w:rPr>
                <w:rFonts w:ascii="Courier New" w:cs="Courier New" w:eastAsia="Courier New" w:hAnsi="Courier New"/>
                <w:b/>
                <w:bCs/>
                <w:color w:val="1F4E79"/>
                <w:sz w:val="22"/>
                <w:szCs w:val="22"/>
              </w:rPr>
              <w:t xml:space="preserve">ΔP = Pplat − PEEP</w:t>
            </w:r>
          </w:p>
        </w:tc>
      </w:tr>
      <w:tr>
        <w:tc>
          <w:tcPr>
            <w:tcW w:type="dxa" w:w="2800"/>
            <w:tcBorders>
              <w:top w:val="none" w:color="FFFFFF" w:sz="0"/>
              <w:left w:val="none" w:color="FFFFFF" w:sz="0"/>
              <w:bottom w:val="none" w:color="FFFFFF" w:sz="0"/>
              <w:right w:val="none" w:color="FFFFFF" w:sz="0"/>
            </w:tcBorders>
            <w:shd w:fill="F2F2F2" w:val="clear"/>
            <w:tcMar>
              <w:top w:type="dxa" w:w="60"/>
              <w:left w:type="dxa" w:w="160"/>
              <w:bottom w:type="dxa" w:w="60"/>
              <w:right w:type="dxa" w:w="160"/>
            </w:tcMar>
          </w:tcPr>
          <w:p>
            <w:r>
              <w:rPr>
                <w:rFonts w:ascii="Courier New" w:cs="Courier New" w:eastAsia="Courier New" w:hAnsi="Courier New"/>
                <w:b/>
                <w:bCs/>
                <w:color w:val="1F4E79"/>
                <w:sz w:val="18"/>
                <w:szCs w:val="18"/>
              </w:rPr>
              <w:t xml:space="preserve">ΔP (Delta-P)</w:t>
            </w:r>
          </w:p>
        </w:tc>
        <w:tc>
          <w:tcPr>
            <w:tcW w:type="dxa" w:w="6560"/>
            <w:tcBorders>
              <w:top w:val="none" w:color="FFFFFF" w:sz="0"/>
              <w:left w:val="none" w:color="FFFFFF" w:sz="0"/>
              <w:bottom w:val="none" w:color="FFFFFF" w:sz="0"/>
              <w:right w:val="none" w:color="FFFFFF" w:sz="0"/>
            </w:tcBorders>
            <w:shd w:fill="F2F2F2" w:val="clear"/>
            <w:tcMar>
              <w:top w:type="dxa" w:w="60"/>
              <w:left w:type="dxa" w:w="160"/>
              <w:bottom w:type="dxa" w:w="60"/>
              <w:right w:type="dxa" w:w="160"/>
            </w:tcMar>
          </w:tcPr>
          <w:p>
            <w:r>
              <w:rPr>
                <w:rFonts w:ascii="Arial" w:cs="Arial" w:eastAsia="Arial" w:hAnsi="Arial"/>
                <w:color w:val="1A1A2E"/>
                <w:sz w:val="18"/>
                <w:szCs w:val="18"/>
              </w:rPr>
              <w:t xml:space="preserve">Driving pressure (cmH₂O) — reflects tidal stress on aerated lung</w:t>
            </w:r>
          </w:p>
        </w:tc>
      </w:tr>
      <w:tr>
        <w:tc>
          <w:tcPr>
            <w:tcW w:type="dxa" w:w="2800"/>
            <w:tcBorders>
              <w:top w:val="none" w:color="FFFFFF" w:sz="0"/>
              <w:left w:val="none" w:color="FFFFFF" w:sz="0"/>
              <w:bottom w:val="none" w:color="FFFFFF" w:sz="0"/>
              <w:right w:val="none" w:color="FFFFFF" w:sz="0"/>
            </w:tcBorders>
            <w:shd w:fill="F2F2F2" w:val="clear"/>
            <w:tcMar>
              <w:top w:type="dxa" w:w="60"/>
              <w:left w:type="dxa" w:w="160"/>
              <w:bottom w:type="dxa" w:w="60"/>
              <w:right w:type="dxa" w:w="160"/>
            </w:tcMar>
          </w:tcPr>
          <w:p>
            <w:r>
              <w:rPr>
                <w:rFonts w:ascii="Courier New" w:cs="Courier New" w:eastAsia="Courier New" w:hAnsi="Courier New"/>
                <w:b/>
                <w:bCs/>
                <w:color w:val="1F4E79"/>
                <w:sz w:val="18"/>
                <w:szCs w:val="18"/>
              </w:rPr>
              <w:t xml:space="preserve">Pplat</w:t>
            </w:r>
          </w:p>
        </w:tc>
        <w:tc>
          <w:tcPr>
            <w:tcW w:type="dxa" w:w="6560"/>
            <w:tcBorders>
              <w:top w:val="none" w:color="FFFFFF" w:sz="0"/>
              <w:left w:val="none" w:color="FFFFFF" w:sz="0"/>
              <w:bottom w:val="none" w:color="FFFFFF" w:sz="0"/>
              <w:right w:val="none" w:color="FFFFFF" w:sz="0"/>
            </w:tcBorders>
            <w:shd w:fill="F2F2F2" w:val="clear"/>
            <w:tcMar>
              <w:top w:type="dxa" w:w="60"/>
              <w:left w:type="dxa" w:w="160"/>
              <w:bottom w:type="dxa" w:w="60"/>
              <w:right w:type="dxa" w:w="160"/>
            </w:tcMar>
          </w:tcPr>
          <w:p>
            <w:r>
              <w:rPr>
                <w:rFonts w:ascii="Arial" w:cs="Arial" w:eastAsia="Arial" w:hAnsi="Arial"/>
                <w:color w:val="1A1A2E"/>
                <w:sz w:val="18"/>
                <w:szCs w:val="18"/>
              </w:rPr>
              <w:t xml:space="preserve">Plateau pressure at end-inspiration (cmH₂O)</w:t>
            </w:r>
          </w:p>
        </w:tc>
      </w:tr>
      <w:tr>
        <w:tc>
          <w:tcPr>
            <w:tcW w:type="dxa" w:w="2800"/>
            <w:tcBorders>
              <w:top w:val="none" w:color="FFFFFF" w:sz="0"/>
              <w:left w:val="none" w:color="FFFFFF" w:sz="0"/>
              <w:bottom w:val="none" w:color="FFFFFF" w:sz="0"/>
              <w:right w:val="none" w:color="FFFFFF" w:sz="0"/>
            </w:tcBorders>
            <w:shd w:fill="F2F2F2" w:val="clear"/>
            <w:tcMar>
              <w:top w:type="dxa" w:w="60"/>
              <w:left w:type="dxa" w:w="160"/>
              <w:bottom w:type="dxa" w:w="60"/>
              <w:right w:type="dxa" w:w="160"/>
            </w:tcMar>
          </w:tcPr>
          <w:p>
            <w:r>
              <w:rPr>
                <w:rFonts w:ascii="Courier New" w:cs="Courier New" w:eastAsia="Courier New" w:hAnsi="Courier New"/>
                <w:b/>
                <w:bCs/>
                <w:color w:val="1F4E79"/>
                <w:sz w:val="18"/>
                <w:szCs w:val="18"/>
              </w:rPr>
              <w:t xml:space="preserve">PEEP</w:t>
            </w:r>
          </w:p>
        </w:tc>
        <w:tc>
          <w:tcPr>
            <w:tcW w:type="dxa" w:w="6560"/>
            <w:tcBorders>
              <w:top w:val="none" w:color="FFFFFF" w:sz="0"/>
              <w:left w:val="none" w:color="FFFFFF" w:sz="0"/>
              <w:bottom w:val="none" w:color="FFFFFF" w:sz="0"/>
              <w:right w:val="none" w:color="FFFFFF" w:sz="0"/>
            </w:tcBorders>
            <w:shd w:fill="F2F2F2" w:val="clear"/>
            <w:tcMar>
              <w:top w:type="dxa" w:w="60"/>
              <w:left w:type="dxa" w:w="160"/>
              <w:bottom w:type="dxa" w:w="60"/>
              <w:right w:type="dxa" w:w="160"/>
            </w:tcMar>
          </w:tcPr>
          <w:p>
            <w:r>
              <w:rPr>
                <w:rFonts w:ascii="Arial" w:cs="Arial" w:eastAsia="Arial" w:hAnsi="Arial"/>
                <w:color w:val="1A1A2E"/>
                <w:sz w:val="18"/>
                <w:szCs w:val="18"/>
              </w:rPr>
              <w:t xml:space="preserve">Total PEEP (cmH₂O)</w:t>
            </w:r>
          </w:p>
        </w:tc>
      </w:tr>
    </w:tbl>
    <w:p>
      <w:pPr>
        <w:spacing w:after="120"/>
      </w:pPr>
      <w:r>
        <w:rPr>
          <w:rFonts w:ascii="Arial" w:cs="Arial" w:eastAsia="Arial" w:hAnsi="Arial"/>
          <w:b w:val="false"/>
          <w:bCs w:val="false"/>
          <w:color w:val="1A1A2E"/>
          <w:sz w:val="20"/>
          <w:szCs w:val="20"/>
        </w:rPr>
        <w:t xml:space="preserve">The driving pressure concept was advanced in adults by Amato et al. (PMID: 25693014, NEJM 2015): in a 3,562-patient individual participant data meta-analysis, ΔP was the ventilation variable most strongly associated with survival (OR per 1 cmH₂O increase: 1.41 [1.31–1.51], independent of Vt and PEEP). Critically, Vt/body weight was only associated with mortality through its effect on ΔP — suggesting ΔP, not Vt alone, is the mechanistic determinant of VILI.</w:t>
      </w:r>
    </w:p>
    <w:p>
      <w:pPr>
        <w:spacing w:after="120"/>
      </w:pPr>
      <w:r>
        <w:rPr>
          <w:rFonts w:ascii="Arial" w:cs="Arial" w:eastAsia="Arial" w:hAnsi="Arial"/>
          <w:b w:val="false"/>
          <w:bCs w:val="false"/>
          <w:color w:val="1A1A2E"/>
          <w:sz w:val="20"/>
          <w:szCs w:val="20"/>
        </w:rPr>
        <w:t xml:space="preserve">In PARDS, Bhavani et al. (PMID: 34347904, 2021) analyzed 330 children and found ΔP &gt;15 cmH₂O at 24 hours associated with OR 2.8 (1.4–5.6) for mortality and OR 3.1 (1.5–6.3) for ventilator-free days &lt;28. The 2023 PALICC-2 guidelines recommend targeting ΔP ≤15 cmH₂O in PARDS and Pplat ≤28 cmH₂O. In neonates, lower absolute thresholds apply: ΔP &gt;10–12 cmH₂O may represent excessive tidal stress given smaller functional lung volumes.</w:t>
      </w:r>
    </w:p>
    <w:p>
      <w:pPr>
        <w:pStyle w:val="Heading2"/>
        <w:pBdr>
          <w:bottom w:val="single" w:color="2E75B6" w:sz="4" w:space="1"/>
        </w:pBdr>
        <w:spacing w:after="140" w:before="280"/>
      </w:pPr>
      <w:r>
        <w:rPr>
          <w:rFonts w:ascii="Arial" w:cs="Arial" w:eastAsia="Arial" w:hAnsi="Arial"/>
          <w:b/>
          <w:bCs/>
          <w:color w:val="2E75B6"/>
          <w:sz w:val="26"/>
          <w:szCs w:val="26"/>
        </w:rPr>
        <w:t xml:space="preserve">3.8 Mechanical Power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2800"/>
        <w:gridCol w:w="6560"/>
      </w:tblGrid>
      <w:tr>
        <w:tc>
          <w:tcPr>
            <w:gridSpan w:val="2"/>
            <w:tcBorders>
              <w:top w:val="none" w:color="FFFFFF" w:sz="0"/>
              <w:left w:val="none" w:color="FFFFFF" w:sz="0"/>
              <w:bottom w:val="none" w:color="FFFFFF" w:sz="0"/>
              <w:right w:val="none" w:color="FFFFFF" w:sz="0"/>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Mechanical Power (Simplified Formula)</w:t>
            </w:r>
          </w:p>
        </w:tc>
      </w:tr>
      <w:tr>
        <w:tc>
          <w:tcPr>
            <w:gridSpan w:val="2"/>
            <w:tcBorders>
              <w:top w:val="none" w:color="FFFFFF" w:sz="0"/>
              <w:left w:val="none" w:color="FFFFFF" w:sz="0"/>
              <w:bottom w:val="none" w:color="FFFFFF" w:sz="0"/>
              <w:right w:val="none" w:color="FFFFFF" w:sz="0"/>
            </w:tcBorders>
            <w:shd w:fill="DEEAF1" w:val="clear"/>
            <w:tcMar>
              <w:top w:type="dxa" w:w="120"/>
              <w:left w:type="dxa" w:w="160"/>
              <w:bottom w:type="dxa" w:w="120"/>
              <w:right w:type="dxa" w:w="160"/>
            </w:tcMar>
          </w:tcPr>
          <w:p>
            <w:pPr>
              <w:jc w:val="center"/>
            </w:pPr>
            <w:r>
              <w:rPr>
                <w:rFonts w:ascii="Courier New" w:cs="Courier New" w:eastAsia="Courier New" w:hAnsi="Courier New"/>
                <w:b/>
                <w:bCs/>
                <w:color w:val="1F4E79"/>
                <w:sz w:val="22"/>
                <w:szCs w:val="22"/>
              </w:rPr>
              <w:t xml:space="preserve">MP = 0.098 × RR × Vt × (PIP + PEEP) / 2</w:t>
            </w:r>
          </w:p>
        </w:tc>
      </w:tr>
      <w:tr>
        <w:tc>
          <w:tcPr>
            <w:tcW w:type="dxa" w:w="2800"/>
            <w:tcBorders>
              <w:top w:val="none" w:color="FFFFFF" w:sz="0"/>
              <w:left w:val="none" w:color="FFFFFF" w:sz="0"/>
              <w:bottom w:val="none" w:color="FFFFFF" w:sz="0"/>
              <w:right w:val="none" w:color="FFFFFF" w:sz="0"/>
            </w:tcBorders>
            <w:shd w:fill="F2F2F2" w:val="clear"/>
            <w:tcMar>
              <w:top w:type="dxa" w:w="60"/>
              <w:left w:type="dxa" w:w="160"/>
              <w:bottom w:type="dxa" w:w="60"/>
              <w:right w:type="dxa" w:w="160"/>
            </w:tcMar>
          </w:tcPr>
          <w:p>
            <w:r>
              <w:rPr>
                <w:rFonts w:ascii="Courier New" w:cs="Courier New" w:eastAsia="Courier New" w:hAnsi="Courier New"/>
                <w:b/>
                <w:bCs/>
                <w:color w:val="1F4E79"/>
                <w:sz w:val="18"/>
                <w:szCs w:val="18"/>
              </w:rPr>
              <w:t xml:space="preserve">MP</w:t>
            </w:r>
          </w:p>
        </w:tc>
        <w:tc>
          <w:tcPr>
            <w:tcW w:type="dxa" w:w="6560"/>
            <w:tcBorders>
              <w:top w:val="none" w:color="FFFFFF" w:sz="0"/>
              <w:left w:val="none" w:color="FFFFFF" w:sz="0"/>
              <w:bottom w:val="none" w:color="FFFFFF" w:sz="0"/>
              <w:right w:val="none" w:color="FFFFFF" w:sz="0"/>
            </w:tcBorders>
            <w:shd w:fill="F2F2F2" w:val="clear"/>
            <w:tcMar>
              <w:top w:type="dxa" w:w="60"/>
              <w:left w:type="dxa" w:w="160"/>
              <w:bottom w:type="dxa" w:w="60"/>
              <w:right w:type="dxa" w:w="160"/>
            </w:tcMar>
          </w:tcPr>
          <w:p>
            <w:r>
              <w:rPr>
                <w:rFonts w:ascii="Arial" w:cs="Arial" w:eastAsia="Arial" w:hAnsi="Arial"/>
                <w:color w:val="1A1A2E"/>
                <w:sz w:val="18"/>
                <w:szCs w:val="18"/>
              </w:rPr>
              <w:t xml:space="preserve">Mechanical power (J/min) — rate of energy transferred from ventilator to lung</w:t>
            </w:r>
          </w:p>
        </w:tc>
      </w:tr>
      <w:tr>
        <w:tc>
          <w:tcPr>
            <w:tcW w:type="dxa" w:w="2800"/>
            <w:tcBorders>
              <w:top w:val="none" w:color="FFFFFF" w:sz="0"/>
              <w:left w:val="none" w:color="FFFFFF" w:sz="0"/>
              <w:bottom w:val="none" w:color="FFFFFF" w:sz="0"/>
              <w:right w:val="none" w:color="FFFFFF" w:sz="0"/>
            </w:tcBorders>
            <w:shd w:fill="F2F2F2" w:val="clear"/>
            <w:tcMar>
              <w:top w:type="dxa" w:w="60"/>
              <w:left w:type="dxa" w:w="160"/>
              <w:bottom w:type="dxa" w:w="60"/>
              <w:right w:type="dxa" w:w="160"/>
            </w:tcMar>
          </w:tcPr>
          <w:p>
            <w:r>
              <w:rPr>
                <w:rFonts w:ascii="Courier New" w:cs="Courier New" w:eastAsia="Courier New" w:hAnsi="Courier New"/>
                <w:b/>
                <w:bCs/>
                <w:color w:val="1F4E79"/>
                <w:sz w:val="18"/>
                <w:szCs w:val="18"/>
              </w:rPr>
              <w:t xml:space="preserve">RR</w:t>
            </w:r>
          </w:p>
        </w:tc>
        <w:tc>
          <w:tcPr>
            <w:tcW w:type="dxa" w:w="6560"/>
            <w:tcBorders>
              <w:top w:val="none" w:color="FFFFFF" w:sz="0"/>
              <w:left w:val="none" w:color="FFFFFF" w:sz="0"/>
              <w:bottom w:val="none" w:color="FFFFFF" w:sz="0"/>
              <w:right w:val="none" w:color="FFFFFF" w:sz="0"/>
            </w:tcBorders>
            <w:shd w:fill="F2F2F2" w:val="clear"/>
            <w:tcMar>
              <w:top w:type="dxa" w:w="60"/>
              <w:left w:type="dxa" w:w="160"/>
              <w:bottom w:type="dxa" w:w="60"/>
              <w:right w:type="dxa" w:w="160"/>
            </w:tcMar>
          </w:tcPr>
          <w:p>
            <w:r>
              <w:rPr>
                <w:rFonts w:ascii="Arial" w:cs="Arial" w:eastAsia="Arial" w:hAnsi="Arial"/>
                <w:color w:val="1A1A2E"/>
                <w:sz w:val="18"/>
                <w:szCs w:val="18"/>
              </w:rPr>
              <w:t xml:space="preserve">Respiratory rate (breaths/min)</w:t>
            </w:r>
          </w:p>
        </w:tc>
      </w:tr>
      <w:tr>
        <w:tc>
          <w:tcPr>
            <w:tcW w:type="dxa" w:w="2800"/>
            <w:tcBorders>
              <w:top w:val="none" w:color="FFFFFF" w:sz="0"/>
              <w:left w:val="none" w:color="FFFFFF" w:sz="0"/>
              <w:bottom w:val="none" w:color="FFFFFF" w:sz="0"/>
              <w:right w:val="none" w:color="FFFFFF" w:sz="0"/>
            </w:tcBorders>
            <w:shd w:fill="F2F2F2" w:val="clear"/>
            <w:tcMar>
              <w:top w:type="dxa" w:w="60"/>
              <w:left w:type="dxa" w:w="160"/>
              <w:bottom w:type="dxa" w:w="60"/>
              <w:right w:type="dxa" w:w="160"/>
            </w:tcMar>
          </w:tcPr>
          <w:p>
            <w:r>
              <w:rPr>
                <w:rFonts w:ascii="Courier New" w:cs="Courier New" w:eastAsia="Courier New" w:hAnsi="Courier New"/>
                <w:b/>
                <w:bCs/>
                <w:color w:val="1F4E79"/>
                <w:sz w:val="18"/>
                <w:szCs w:val="18"/>
              </w:rPr>
              <w:t xml:space="preserve">Vt</w:t>
            </w:r>
          </w:p>
        </w:tc>
        <w:tc>
          <w:tcPr>
            <w:tcW w:type="dxa" w:w="6560"/>
            <w:tcBorders>
              <w:top w:val="none" w:color="FFFFFF" w:sz="0"/>
              <w:left w:val="none" w:color="FFFFFF" w:sz="0"/>
              <w:bottom w:val="none" w:color="FFFFFF" w:sz="0"/>
              <w:right w:val="none" w:color="FFFFFF" w:sz="0"/>
            </w:tcBorders>
            <w:shd w:fill="F2F2F2" w:val="clear"/>
            <w:tcMar>
              <w:top w:type="dxa" w:w="60"/>
              <w:left w:type="dxa" w:w="160"/>
              <w:bottom w:type="dxa" w:w="60"/>
              <w:right w:type="dxa" w:w="160"/>
            </w:tcMar>
          </w:tcPr>
          <w:p>
            <w:r>
              <w:rPr>
                <w:rFonts w:ascii="Arial" w:cs="Arial" w:eastAsia="Arial" w:hAnsi="Arial"/>
                <w:color w:val="1A1A2E"/>
                <w:sz w:val="18"/>
                <w:szCs w:val="18"/>
              </w:rPr>
              <w:t xml:space="preserve">Tidal volume (liters)</w:t>
            </w:r>
          </w:p>
        </w:tc>
      </w:tr>
      <w:tr>
        <w:tc>
          <w:tcPr>
            <w:tcW w:type="dxa" w:w="2800"/>
            <w:tcBorders>
              <w:top w:val="none" w:color="FFFFFF" w:sz="0"/>
              <w:left w:val="none" w:color="FFFFFF" w:sz="0"/>
              <w:bottom w:val="none" w:color="FFFFFF" w:sz="0"/>
              <w:right w:val="none" w:color="FFFFFF" w:sz="0"/>
            </w:tcBorders>
            <w:shd w:fill="F2F2F2" w:val="clear"/>
            <w:tcMar>
              <w:top w:type="dxa" w:w="60"/>
              <w:left w:type="dxa" w:w="160"/>
              <w:bottom w:type="dxa" w:w="60"/>
              <w:right w:type="dxa" w:w="160"/>
            </w:tcMar>
          </w:tcPr>
          <w:p>
            <w:r>
              <w:rPr>
                <w:rFonts w:ascii="Courier New" w:cs="Courier New" w:eastAsia="Courier New" w:hAnsi="Courier New"/>
                <w:b/>
                <w:bCs/>
                <w:color w:val="1F4E79"/>
                <w:sz w:val="18"/>
                <w:szCs w:val="18"/>
              </w:rPr>
              <w:t xml:space="preserve">PIP</w:t>
            </w:r>
          </w:p>
        </w:tc>
        <w:tc>
          <w:tcPr>
            <w:tcW w:type="dxa" w:w="6560"/>
            <w:tcBorders>
              <w:top w:val="none" w:color="FFFFFF" w:sz="0"/>
              <w:left w:val="none" w:color="FFFFFF" w:sz="0"/>
              <w:bottom w:val="none" w:color="FFFFFF" w:sz="0"/>
              <w:right w:val="none" w:color="FFFFFF" w:sz="0"/>
            </w:tcBorders>
            <w:shd w:fill="F2F2F2" w:val="clear"/>
            <w:tcMar>
              <w:top w:type="dxa" w:w="60"/>
              <w:left w:type="dxa" w:w="160"/>
              <w:bottom w:type="dxa" w:w="60"/>
              <w:right w:type="dxa" w:w="160"/>
            </w:tcMar>
          </w:tcPr>
          <w:p>
            <w:r>
              <w:rPr>
                <w:rFonts w:ascii="Arial" w:cs="Arial" w:eastAsia="Arial" w:hAnsi="Arial"/>
                <w:color w:val="1A1A2E"/>
                <w:sz w:val="18"/>
                <w:szCs w:val="18"/>
              </w:rPr>
              <w:t xml:space="preserve">Peak inspiratory pressure (cmH₂O)</w:t>
            </w:r>
          </w:p>
        </w:tc>
      </w:tr>
      <w:tr>
        <w:tc>
          <w:tcPr>
            <w:tcW w:type="dxa" w:w="2800"/>
            <w:tcBorders>
              <w:top w:val="none" w:color="FFFFFF" w:sz="0"/>
              <w:left w:val="none" w:color="FFFFFF" w:sz="0"/>
              <w:bottom w:val="none" w:color="FFFFFF" w:sz="0"/>
              <w:right w:val="none" w:color="FFFFFF" w:sz="0"/>
            </w:tcBorders>
            <w:shd w:fill="F2F2F2" w:val="clear"/>
            <w:tcMar>
              <w:top w:type="dxa" w:w="60"/>
              <w:left w:type="dxa" w:w="160"/>
              <w:bottom w:type="dxa" w:w="60"/>
              <w:right w:type="dxa" w:w="160"/>
            </w:tcMar>
          </w:tcPr>
          <w:p>
            <w:r>
              <w:rPr>
                <w:rFonts w:ascii="Courier New" w:cs="Courier New" w:eastAsia="Courier New" w:hAnsi="Courier New"/>
                <w:b/>
                <w:bCs/>
                <w:color w:val="1F4E79"/>
                <w:sz w:val="18"/>
                <w:szCs w:val="18"/>
              </w:rPr>
              <w:t xml:space="preserve">PEEP</w:t>
            </w:r>
          </w:p>
        </w:tc>
        <w:tc>
          <w:tcPr>
            <w:tcW w:type="dxa" w:w="6560"/>
            <w:tcBorders>
              <w:top w:val="none" w:color="FFFFFF" w:sz="0"/>
              <w:left w:val="none" w:color="FFFFFF" w:sz="0"/>
              <w:bottom w:val="none" w:color="FFFFFF" w:sz="0"/>
              <w:right w:val="none" w:color="FFFFFF" w:sz="0"/>
            </w:tcBorders>
            <w:shd w:fill="F2F2F2" w:val="clear"/>
            <w:tcMar>
              <w:top w:type="dxa" w:w="60"/>
              <w:left w:type="dxa" w:w="160"/>
              <w:bottom w:type="dxa" w:w="60"/>
              <w:right w:type="dxa" w:w="160"/>
            </w:tcMar>
          </w:tcPr>
          <w:p>
            <w:r>
              <w:rPr>
                <w:rFonts w:ascii="Arial" w:cs="Arial" w:eastAsia="Arial" w:hAnsi="Arial"/>
                <w:color w:val="1A1A2E"/>
                <w:sz w:val="18"/>
                <w:szCs w:val="18"/>
              </w:rPr>
              <w:t xml:space="preserve">Positive end-expiratory pressure (cmH₂O)</w:t>
            </w:r>
          </w:p>
        </w:tc>
      </w:tr>
      <w:tr>
        <w:tc>
          <w:tcPr>
            <w:tcW w:type="dxa" w:w="2800"/>
            <w:tcBorders>
              <w:top w:val="none" w:color="FFFFFF" w:sz="0"/>
              <w:left w:val="none" w:color="FFFFFF" w:sz="0"/>
              <w:bottom w:val="none" w:color="FFFFFF" w:sz="0"/>
              <w:right w:val="none" w:color="FFFFFF" w:sz="0"/>
            </w:tcBorders>
            <w:shd w:fill="F2F2F2" w:val="clear"/>
            <w:tcMar>
              <w:top w:type="dxa" w:w="60"/>
              <w:left w:type="dxa" w:w="160"/>
              <w:bottom w:type="dxa" w:w="60"/>
              <w:right w:type="dxa" w:w="160"/>
            </w:tcMar>
          </w:tcPr>
          <w:p>
            <w:r>
              <w:rPr>
                <w:rFonts w:ascii="Courier New" w:cs="Courier New" w:eastAsia="Courier New" w:hAnsi="Courier New"/>
                <w:b/>
                <w:bCs/>
                <w:color w:val="1F4E79"/>
                <w:sz w:val="18"/>
                <w:szCs w:val="18"/>
              </w:rPr>
              <w:t xml:space="preserve">0.098</w:t>
            </w:r>
          </w:p>
        </w:tc>
        <w:tc>
          <w:tcPr>
            <w:tcW w:type="dxa" w:w="6560"/>
            <w:tcBorders>
              <w:top w:val="none" w:color="FFFFFF" w:sz="0"/>
              <w:left w:val="none" w:color="FFFFFF" w:sz="0"/>
              <w:bottom w:val="none" w:color="FFFFFF" w:sz="0"/>
              <w:right w:val="none" w:color="FFFFFF" w:sz="0"/>
            </w:tcBorders>
            <w:shd w:fill="F2F2F2" w:val="clear"/>
            <w:tcMar>
              <w:top w:type="dxa" w:w="60"/>
              <w:left w:type="dxa" w:w="160"/>
              <w:bottom w:type="dxa" w:w="60"/>
              <w:right w:type="dxa" w:w="160"/>
            </w:tcMar>
          </w:tcPr>
          <w:p>
            <w:r>
              <w:rPr>
                <w:rFonts w:ascii="Arial" w:cs="Arial" w:eastAsia="Arial" w:hAnsi="Arial"/>
                <w:color w:val="1A1A2E"/>
                <w:sz w:val="18"/>
                <w:szCs w:val="18"/>
              </w:rPr>
              <w:t xml:space="preserve">Conversion factor: 1 L·cmH₂O = 0.098 J</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2800"/>
        <w:gridCol w:w="6560"/>
      </w:tblGrid>
      <w:tr>
        <w:tc>
          <w:tcPr>
            <w:gridSpan w:val="2"/>
            <w:tcBorders>
              <w:top w:val="none" w:color="FFFFFF" w:sz="0"/>
              <w:left w:val="none" w:color="FFFFFF" w:sz="0"/>
              <w:bottom w:val="none" w:color="FFFFFF" w:sz="0"/>
              <w:right w:val="none" w:color="FFFFFF" w:sz="0"/>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Mechanical Power (Gattinoni Full Formula — Volume-Controlled)</w:t>
            </w:r>
          </w:p>
        </w:tc>
      </w:tr>
      <w:tr>
        <w:tc>
          <w:tcPr>
            <w:gridSpan w:val="2"/>
            <w:tcBorders>
              <w:top w:val="none" w:color="FFFFFF" w:sz="0"/>
              <w:left w:val="none" w:color="FFFFFF" w:sz="0"/>
              <w:bottom w:val="none" w:color="FFFFFF" w:sz="0"/>
              <w:right w:val="none" w:color="FFFFFF" w:sz="0"/>
            </w:tcBorders>
            <w:shd w:fill="DEEAF1" w:val="clear"/>
            <w:tcMar>
              <w:top w:type="dxa" w:w="120"/>
              <w:left w:type="dxa" w:w="160"/>
              <w:bottom w:type="dxa" w:w="120"/>
              <w:right w:type="dxa" w:w="160"/>
            </w:tcMar>
          </w:tcPr>
          <w:p>
            <w:pPr>
              <w:jc w:val="center"/>
            </w:pPr>
            <w:r>
              <w:rPr>
                <w:rFonts w:ascii="Courier New" w:cs="Courier New" w:eastAsia="Courier New" w:hAnsi="Courier New"/>
                <w:b/>
                <w:bCs/>
                <w:color w:val="1F4E79"/>
                <w:sz w:val="22"/>
                <w:szCs w:val="22"/>
              </w:rPr>
              <w:t xml:space="preserve">MP = 0.098 × RR × [Vt² × (1/2 × ERS) + Vt × PEEP + Vt × ΔPEEPi / 2]</w:t>
            </w:r>
          </w:p>
        </w:tc>
      </w:tr>
      <w:tr>
        <w:tc>
          <w:tcPr>
            <w:tcW w:type="dxa" w:w="2800"/>
            <w:tcBorders>
              <w:top w:val="none" w:color="FFFFFF" w:sz="0"/>
              <w:left w:val="none" w:color="FFFFFF" w:sz="0"/>
              <w:bottom w:val="none" w:color="FFFFFF" w:sz="0"/>
              <w:right w:val="none" w:color="FFFFFF" w:sz="0"/>
            </w:tcBorders>
            <w:shd w:fill="F2F2F2" w:val="clear"/>
            <w:tcMar>
              <w:top w:type="dxa" w:w="60"/>
              <w:left w:type="dxa" w:w="160"/>
              <w:bottom w:type="dxa" w:w="60"/>
              <w:right w:type="dxa" w:w="160"/>
            </w:tcMar>
          </w:tcPr>
          <w:p>
            <w:r>
              <w:rPr>
                <w:rFonts w:ascii="Courier New" w:cs="Courier New" w:eastAsia="Courier New" w:hAnsi="Courier New"/>
                <w:b/>
                <w:bCs/>
                <w:color w:val="1F4E79"/>
                <w:sz w:val="18"/>
                <w:szCs w:val="18"/>
              </w:rPr>
              <w:t xml:space="preserve">ERS</w:t>
            </w:r>
          </w:p>
        </w:tc>
        <w:tc>
          <w:tcPr>
            <w:tcW w:type="dxa" w:w="6560"/>
            <w:tcBorders>
              <w:top w:val="none" w:color="FFFFFF" w:sz="0"/>
              <w:left w:val="none" w:color="FFFFFF" w:sz="0"/>
              <w:bottom w:val="none" w:color="FFFFFF" w:sz="0"/>
              <w:right w:val="none" w:color="FFFFFF" w:sz="0"/>
            </w:tcBorders>
            <w:shd w:fill="F2F2F2" w:val="clear"/>
            <w:tcMar>
              <w:top w:type="dxa" w:w="60"/>
              <w:left w:type="dxa" w:w="160"/>
              <w:bottom w:type="dxa" w:w="60"/>
              <w:right w:type="dxa" w:w="160"/>
            </w:tcMar>
          </w:tcPr>
          <w:p>
            <w:r>
              <w:rPr>
                <w:rFonts w:ascii="Arial" w:cs="Arial" w:eastAsia="Arial" w:hAnsi="Arial"/>
                <w:color w:val="1A1A2E"/>
                <w:sz w:val="18"/>
                <w:szCs w:val="18"/>
              </w:rPr>
              <w:t xml:space="preserve">Elastance of respiratory system (cmH₂O/L) = 1 / Cstat</w:t>
            </w:r>
          </w:p>
        </w:tc>
      </w:tr>
      <w:tr>
        <w:tc>
          <w:tcPr>
            <w:tcW w:type="dxa" w:w="2800"/>
            <w:tcBorders>
              <w:top w:val="none" w:color="FFFFFF" w:sz="0"/>
              <w:left w:val="none" w:color="FFFFFF" w:sz="0"/>
              <w:bottom w:val="none" w:color="FFFFFF" w:sz="0"/>
              <w:right w:val="none" w:color="FFFFFF" w:sz="0"/>
            </w:tcBorders>
            <w:shd w:fill="F2F2F2" w:val="clear"/>
            <w:tcMar>
              <w:top w:type="dxa" w:w="60"/>
              <w:left w:type="dxa" w:w="160"/>
              <w:bottom w:type="dxa" w:w="60"/>
              <w:right w:type="dxa" w:w="160"/>
            </w:tcMar>
          </w:tcPr>
          <w:p>
            <w:r>
              <w:rPr>
                <w:rFonts w:ascii="Courier New" w:cs="Courier New" w:eastAsia="Courier New" w:hAnsi="Courier New"/>
                <w:b/>
                <w:bCs/>
                <w:color w:val="1F4E79"/>
                <w:sz w:val="18"/>
                <w:szCs w:val="18"/>
              </w:rPr>
              <w:t xml:space="preserve">ΔPEEPi</w:t>
            </w:r>
          </w:p>
        </w:tc>
        <w:tc>
          <w:tcPr>
            <w:tcW w:type="dxa" w:w="6560"/>
            <w:tcBorders>
              <w:top w:val="none" w:color="FFFFFF" w:sz="0"/>
              <w:left w:val="none" w:color="FFFFFF" w:sz="0"/>
              <w:bottom w:val="none" w:color="FFFFFF" w:sz="0"/>
              <w:right w:val="none" w:color="FFFFFF" w:sz="0"/>
            </w:tcBorders>
            <w:shd w:fill="F2F2F2" w:val="clear"/>
            <w:tcMar>
              <w:top w:type="dxa" w:w="60"/>
              <w:left w:type="dxa" w:w="160"/>
              <w:bottom w:type="dxa" w:w="60"/>
              <w:right w:type="dxa" w:w="160"/>
            </w:tcMar>
          </w:tcPr>
          <w:p>
            <w:r>
              <w:rPr>
                <w:rFonts w:ascii="Arial" w:cs="Arial" w:eastAsia="Arial" w:hAnsi="Arial"/>
                <w:color w:val="1A1A2E"/>
                <w:sz w:val="18"/>
                <w:szCs w:val="18"/>
              </w:rPr>
              <w:t xml:space="preserve">Intrinsic PEEP (auto-PEEP, cmH₂O)</w:t>
            </w:r>
          </w:p>
        </w:tc>
      </w:tr>
    </w:tbl>
    <w:p>
      <w:pPr>
        <w:spacing w:after="120"/>
      </w:pPr>
      <w:r>
        <w:rPr>
          <w:rFonts w:ascii="Arial" w:cs="Arial" w:eastAsia="Arial" w:hAnsi="Arial"/>
          <w:b w:val="false"/>
          <w:bCs w:val="false"/>
          <w:color w:val="1A1A2E"/>
          <w:sz w:val="20"/>
          <w:szCs w:val="20"/>
        </w:rPr>
        <w:t xml:space="preserve">Mechanical power has emerged as an integrative marker of VILI risk, capturing the combined effects of tidal volume, driving pressure, respiratory rate, and PEEP. In adults, MP &gt;17 J/min is independently associated with mortality (PMID: 30076875). Pediatric data from Bhavani et al. (PMID: 33560339, 2021) in 354 PARDS patients showed MP &gt;12 J/min at 24 hours was independently associated with 60-day mortality (OR 2.9, 95% CI 1.3–6.5), and MP normalized to predicted body weight (MP/PBW) &gt;0.35 J/min/kg was the most discriminating threshold (AUC 0.72 for mortality). Neonatal mechanical power thresholds remain poorly validated; the smaller tidal volumes, higher compliance-to-resistance ratios, and fundamentally different lung mechanics at birth suggest that direct adult/pediatric thresholds cannot be applied to neonates without age-specific validation.</w:t>
      </w:r>
    </w:p>
    <w:p>
      <w:pPr>
        <w:pStyle w:val="Heading2"/>
        <w:pBdr>
          <w:bottom w:val="single" w:color="2E75B6" w:sz="4" w:space="1"/>
        </w:pBdr>
        <w:spacing w:after="140" w:before="280"/>
      </w:pPr>
      <w:r>
        <w:rPr>
          <w:rFonts w:ascii="Arial" w:cs="Arial" w:eastAsia="Arial" w:hAnsi="Arial"/>
          <w:b/>
          <w:bCs/>
          <w:color w:val="2E75B6"/>
          <w:sz w:val="26"/>
          <w:szCs w:val="26"/>
        </w:rPr>
        <w:t xml:space="preserve">3.9 Dead Space Fraction (Vd/Vt)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2800"/>
        <w:gridCol w:w="6560"/>
      </w:tblGrid>
      <w:tr>
        <w:tc>
          <w:tcPr>
            <w:gridSpan w:val="2"/>
            <w:tcBorders>
              <w:top w:val="none" w:color="FFFFFF" w:sz="0"/>
              <w:left w:val="none" w:color="FFFFFF" w:sz="0"/>
              <w:bottom w:val="none" w:color="FFFFFF" w:sz="0"/>
              <w:right w:val="none" w:color="FFFFFF" w:sz="0"/>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Dead Space Fraction — Bohr/Enghoff Equation</w:t>
            </w:r>
          </w:p>
        </w:tc>
      </w:tr>
      <w:tr>
        <w:tc>
          <w:tcPr>
            <w:gridSpan w:val="2"/>
            <w:tcBorders>
              <w:top w:val="none" w:color="FFFFFF" w:sz="0"/>
              <w:left w:val="none" w:color="FFFFFF" w:sz="0"/>
              <w:bottom w:val="none" w:color="FFFFFF" w:sz="0"/>
              <w:right w:val="none" w:color="FFFFFF" w:sz="0"/>
            </w:tcBorders>
            <w:shd w:fill="DEEAF1" w:val="clear"/>
            <w:tcMar>
              <w:top w:type="dxa" w:w="120"/>
              <w:left w:type="dxa" w:w="160"/>
              <w:bottom w:type="dxa" w:w="120"/>
              <w:right w:type="dxa" w:w="160"/>
            </w:tcMar>
          </w:tcPr>
          <w:p>
            <w:pPr>
              <w:jc w:val="center"/>
            </w:pPr>
            <w:r>
              <w:rPr>
                <w:rFonts w:ascii="Courier New" w:cs="Courier New" w:eastAsia="Courier New" w:hAnsi="Courier New"/>
                <w:b/>
                <w:bCs/>
                <w:color w:val="1F4E79"/>
                <w:sz w:val="22"/>
                <w:szCs w:val="22"/>
              </w:rPr>
              <w:t xml:space="preserve">Vd/Vt = (PaCO₂ − PetCO₂) / PaCO₂</w:t>
            </w:r>
          </w:p>
        </w:tc>
      </w:tr>
      <w:tr>
        <w:tc>
          <w:tcPr>
            <w:tcW w:type="dxa" w:w="2800"/>
            <w:tcBorders>
              <w:top w:val="none" w:color="FFFFFF" w:sz="0"/>
              <w:left w:val="none" w:color="FFFFFF" w:sz="0"/>
              <w:bottom w:val="none" w:color="FFFFFF" w:sz="0"/>
              <w:right w:val="none" w:color="FFFFFF" w:sz="0"/>
            </w:tcBorders>
            <w:shd w:fill="F2F2F2" w:val="clear"/>
            <w:tcMar>
              <w:top w:type="dxa" w:w="60"/>
              <w:left w:type="dxa" w:w="160"/>
              <w:bottom w:type="dxa" w:w="60"/>
              <w:right w:type="dxa" w:w="160"/>
            </w:tcMar>
          </w:tcPr>
          <w:p>
            <w:r>
              <w:rPr>
                <w:rFonts w:ascii="Courier New" w:cs="Courier New" w:eastAsia="Courier New" w:hAnsi="Courier New"/>
                <w:b/>
                <w:bCs/>
                <w:color w:val="1F4E79"/>
                <w:sz w:val="18"/>
                <w:szCs w:val="18"/>
              </w:rPr>
              <w:t xml:space="preserve">Vd/Vt</w:t>
            </w:r>
          </w:p>
        </w:tc>
        <w:tc>
          <w:tcPr>
            <w:tcW w:type="dxa" w:w="6560"/>
            <w:tcBorders>
              <w:top w:val="none" w:color="FFFFFF" w:sz="0"/>
              <w:left w:val="none" w:color="FFFFFF" w:sz="0"/>
              <w:bottom w:val="none" w:color="FFFFFF" w:sz="0"/>
              <w:right w:val="none" w:color="FFFFFF" w:sz="0"/>
            </w:tcBorders>
            <w:shd w:fill="F2F2F2" w:val="clear"/>
            <w:tcMar>
              <w:top w:type="dxa" w:w="60"/>
              <w:left w:type="dxa" w:w="160"/>
              <w:bottom w:type="dxa" w:w="60"/>
              <w:right w:type="dxa" w:w="160"/>
            </w:tcMar>
          </w:tcPr>
          <w:p>
            <w:r>
              <w:rPr>
                <w:rFonts w:ascii="Arial" w:cs="Arial" w:eastAsia="Arial" w:hAnsi="Arial"/>
                <w:color w:val="1A1A2E"/>
                <w:sz w:val="18"/>
                <w:szCs w:val="18"/>
              </w:rPr>
              <w:t xml:space="preserve">Dead space fraction (ratio of dead space to tidal volume)</w:t>
            </w:r>
          </w:p>
        </w:tc>
      </w:tr>
      <w:tr>
        <w:tc>
          <w:tcPr>
            <w:tcW w:type="dxa" w:w="2800"/>
            <w:tcBorders>
              <w:top w:val="none" w:color="FFFFFF" w:sz="0"/>
              <w:left w:val="none" w:color="FFFFFF" w:sz="0"/>
              <w:bottom w:val="none" w:color="FFFFFF" w:sz="0"/>
              <w:right w:val="none" w:color="FFFFFF" w:sz="0"/>
            </w:tcBorders>
            <w:shd w:fill="F2F2F2" w:val="clear"/>
            <w:tcMar>
              <w:top w:type="dxa" w:w="60"/>
              <w:left w:type="dxa" w:w="160"/>
              <w:bottom w:type="dxa" w:w="60"/>
              <w:right w:type="dxa" w:w="160"/>
            </w:tcMar>
          </w:tcPr>
          <w:p>
            <w:r>
              <w:rPr>
                <w:rFonts w:ascii="Courier New" w:cs="Courier New" w:eastAsia="Courier New" w:hAnsi="Courier New"/>
                <w:b/>
                <w:bCs/>
                <w:color w:val="1F4E79"/>
                <w:sz w:val="18"/>
                <w:szCs w:val="18"/>
              </w:rPr>
              <w:t xml:space="preserve">PaCO₂</w:t>
            </w:r>
          </w:p>
        </w:tc>
        <w:tc>
          <w:tcPr>
            <w:tcW w:type="dxa" w:w="6560"/>
            <w:tcBorders>
              <w:top w:val="none" w:color="FFFFFF" w:sz="0"/>
              <w:left w:val="none" w:color="FFFFFF" w:sz="0"/>
              <w:bottom w:val="none" w:color="FFFFFF" w:sz="0"/>
              <w:right w:val="none" w:color="FFFFFF" w:sz="0"/>
            </w:tcBorders>
            <w:shd w:fill="F2F2F2" w:val="clear"/>
            <w:tcMar>
              <w:top w:type="dxa" w:w="60"/>
              <w:left w:type="dxa" w:w="160"/>
              <w:bottom w:type="dxa" w:w="60"/>
              <w:right w:type="dxa" w:w="160"/>
            </w:tcMar>
          </w:tcPr>
          <w:p>
            <w:r>
              <w:rPr>
                <w:rFonts w:ascii="Arial" w:cs="Arial" w:eastAsia="Arial" w:hAnsi="Arial"/>
                <w:color w:val="1A1A2E"/>
                <w:sz w:val="18"/>
                <w:szCs w:val="18"/>
              </w:rPr>
              <w:t xml:space="preserve">Arterial PCO₂ (mmHg) — from arterial blood gas</w:t>
            </w:r>
          </w:p>
        </w:tc>
      </w:tr>
      <w:tr>
        <w:tc>
          <w:tcPr>
            <w:tcW w:type="dxa" w:w="2800"/>
            <w:tcBorders>
              <w:top w:val="none" w:color="FFFFFF" w:sz="0"/>
              <w:left w:val="none" w:color="FFFFFF" w:sz="0"/>
              <w:bottom w:val="none" w:color="FFFFFF" w:sz="0"/>
              <w:right w:val="none" w:color="FFFFFF" w:sz="0"/>
            </w:tcBorders>
            <w:shd w:fill="F2F2F2" w:val="clear"/>
            <w:tcMar>
              <w:top w:type="dxa" w:w="60"/>
              <w:left w:type="dxa" w:w="160"/>
              <w:bottom w:type="dxa" w:w="60"/>
              <w:right w:type="dxa" w:w="160"/>
            </w:tcMar>
          </w:tcPr>
          <w:p>
            <w:r>
              <w:rPr>
                <w:rFonts w:ascii="Courier New" w:cs="Courier New" w:eastAsia="Courier New" w:hAnsi="Courier New"/>
                <w:b/>
                <w:bCs/>
                <w:color w:val="1F4E79"/>
                <w:sz w:val="18"/>
                <w:szCs w:val="18"/>
              </w:rPr>
              <w:t xml:space="preserve">PetCO₂</w:t>
            </w:r>
          </w:p>
        </w:tc>
        <w:tc>
          <w:tcPr>
            <w:tcW w:type="dxa" w:w="6560"/>
            <w:tcBorders>
              <w:top w:val="none" w:color="FFFFFF" w:sz="0"/>
              <w:left w:val="none" w:color="FFFFFF" w:sz="0"/>
              <w:bottom w:val="none" w:color="FFFFFF" w:sz="0"/>
              <w:right w:val="none" w:color="FFFFFF" w:sz="0"/>
            </w:tcBorders>
            <w:shd w:fill="F2F2F2" w:val="clear"/>
            <w:tcMar>
              <w:top w:type="dxa" w:w="60"/>
              <w:left w:type="dxa" w:w="160"/>
              <w:bottom w:type="dxa" w:w="60"/>
              <w:right w:type="dxa" w:w="160"/>
            </w:tcMar>
          </w:tcPr>
          <w:p>
            <w:r>
              <w:rPr>
                <w:rFonts w:ascii="Arial" w:cs="Arial" w:eastAsia="Arial" w:hAnsi="Arial"/>
                <w:color w:val="1A1A2E"/>
                <w:sz w:val="18"/>
                <w:szCs w:val="18"/>
              </w:rPr>
              <w:t xml:space="preserve">End-tidal CO₂ (mmHg) — from capnography</w:t>
            </w:r>
          </w:p>
        </w:tc>
      </w:tr>
    </w:tbl>
    <w:p>
      <w:pPr>
        <w:spacing w:after="120"/>
      </w:pPr>
      <w:r>
        <w:rPr>
          <w:rFonts w:ascii="Arial" w:cs="Arial" w:eastAsia="Arial" w:hAnsi="Arial"/>
          <w:b w:val="false"/>
          <w:bCs w:val="false"/>
          <w:color w:val="1A1A2E"/>
          <w:sz w:val="20"/>
          <w:szCs w:val="20"/>
        </w:rPr>
        <w:t xml:space="preserve">Normal Vd/Vt in spontaneously breathing children is 0.30–0.35. In mechanically ventilated children with healthy lungs: 0.35–0.45. In PARDS: commonly 0.55–0.70, reflecting both anatomic dead space and alveolar dead space (poorly perfused alveoli). Nuckton et al. (PMID: 12124404) demonstrated in 179 adult ARDS patients that Vd/Vt &gt;0.60 was independently associated with mortality (OR 2.6 per 0.05 increase in Vd/Vt). Pediatric data from Yehya et al. (PMID: 26720517, 2016) in 100 PARDS patients showed that Vd/Vt &gt;0.55 at 24 hours predicted non-survival with sensitivity 69%, specificity 68%, AUC 0.71. The Vd/Vt can be estimated without capnography using the Enghoff modification: using mixed expired PCO₂ (PeCO₂) from a Douglas bag collection, though this is rarely feasible in clinical practice.</w:t>
      </w:r>
    </w:p>
    <w:p>
      <w:r>
        <w:br w:type="page"/>
      </w:r>
    </w:p>
    <w:p>
      <w:pPr>
        <w:pStyle w:val="Heading1"/>
        <w:pBdr>
          <w:bottom w:val="single" w:color="BDD7EE" w:sz="6" w:space="1"/>
        </w:pBdr>
        <w:shd w:fill="1F4E79" w:val="clear"/>
        <w:spacing w:after="200" w:before="360"/>
      </w:pPr>
      <w:r>
        <w:rPr>
          <w:rFonts w:ascii="Arial" w:cs="Arial" w:eastAsia="Arial" w:hAnsi="Arial"/>
          <w:b/>
          <w:bCs/>
          <w:color w:val="FFFFFF"/>
          <w:sz w:val="32"/>
          <w:szCs w:val="32"/>
        </w:rPr>
        <w:t xml:space="preserve">IV. HIGH-FREQUENCY OSCILLATORY VENTILATION (HFOV)</w:t>
      </w:r>
    </w:p>
    <w:p>
      <w:pPr>
        <w:pStyle w:val="Heading2"/>
        <w:pBdr>
          <w:bottom w:val="single" w:color="2E75B6" w:sz="4" w:space="1"/>
        </w:pBdr>
        <w:spacing w:after="140" w:before="280"/>
      </w:pPr>
      <w:r>
        <w:rPr>
          <w:rFonts w:ascii="Arial" w:cs="Arial" w:eastAsia="Arial" w:hAnsi="Arial"/>
          <w:b/>
          <w:bCs/>
          <w:color w:val="2E75B6"/>
          <w:sz w:val="26"/>
          <w:szCs w:val="26"/>
        </w:rPr>
        <w:t xml:space="preserve">4.1 CO₂ Clearance on HFOV — The DCO₂ Equation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2800"/>
        <w:gridCol w:w="6560"/>
      </w:tblGrid>
      <w:tr>
        <w:tc>
          <w:tcPr>
            <w:gridSpan w:val="2"/>
            <w:tcBorders>
              <w:top w:val="none" w:color="FFFFFF" w:sz="0"/>
              <w:left w:val="none" w:color="FFFFFF" w:sz="0"/>
              <w:bottom w:val="none" w:color="FFFFFF" w:sz="0"/>
              <w:right w:val="none" w:color="FFFFFF" w:sz="0"/>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CO₂ Clearance in HFOV</w:t>
            </w:r>
          </w:p>
        </w:tc>
      </w:tr>
      <w:tr>
        <w:tc>
          <w:tcPr>
            <w:gridSpan w:val="2"/>
            <w:tcBorders>
              <w:top w:val="none" w:color="FFFFFF" w:sz="0"/>
              <w:left w:val="none" w:color="FFFFFF" w:sz="0"/>
              <w:bottom w:val="none" w:color="FFFFFF" w:sz="0"/>
              <w:right w:val="none" w:color="FFFFFF" w:sz="0"/>
            </w:tcBorders>
            <w:shd w:fill="DEEAF1" w:val="clear"/>
            <w:tcMar>
              <w:top w:type="dxa" w:w="120"/>
              <w:left w:type="dxa" w:w="160"/>
              <w:bottom w:type="dxa" w:w="120"/>
              <w:right w:type="dxa" w:w="160"/>
            </w:tcMar>
          </w:tcPr>
          <w:p>
            <w:pPr>
              <w:jc w:val="center"/>
            </w:pPr>
            <w:r>
              <w:rPr>
                <w:rFonts w:ascii="Courier New" w:cs="Courier New" w:eastAsia="Courier New" w:hAnsi="Courier New"/>
                <w:b/>
                <w:bCs/>
                <w:color w:val="1F4E79"/>
                <w:sz w:val="22"/>
                <w:szCs w:val="22"/>
              </w:rPr>
              <w:t xml:space="preserve">DCO₂ = ΔP² × f</w:t>
            </w:r>
          </w:p>
        </w:tc>
      </w:tr>
      <w:tr>
        <w:tc>
          <w:tcPr>
            <w:tcW w:type="dxa" w:w="2800"/>
            <w:tcBorders>
              <w:top w:val="none" w:color="FFFFFF" w:sz="0"/>
              <w:left w:val="none" w:color="FFFFFF" w:sz="0"/>
              <w:bottom w:val="none" w:color="FFFFFF" w:sz="0"/>
              <w:right w:val="none" w:color="FFFFFF" w:sz="0"/>
            </w:tcBorders>
            <w:shd w:fill="F2F2F2" w:val="clear"/>
            <w:tcMar>
              <w:top w:type="dxa" w:w="60"/>
              <w:left w:type="dxa" w:w="160"/>
              <w:bottom w:type="dxa" w:w="60"/>
              <w:right w:type="dxa" w:w="160"/>
            </w:tcMar>
          </w:tcPr>
          <w:p>
            <w:r>
              <w:rPr>
                <w:rFonts w:ascii="Courier New" w:cs="Courier New" w:eastAsia="Courier New" w:hAnsi="Courier New"/>
                <w:b/>
                <w:bCs/>
                <w:color w:val="1F4E79"/>
                <w:sz w:val="18"/>
                <w:szCs w:val="18"/>
              </w:rPr>
              <w:t xml:space="preserve">DCO₂</w:t>
            </w:r>
          </w:p>
        </w:tc>
        <w:tc>
          <w:tcPr>
            <w:tcW w:type="dxa" w:w="6560"/>
            <w:tcBorders>
              <w:top w:val="none" w:color="FFFFFF" w:sz="0"/>
              <w:left w:val="none" w:color="FFFFFF" w:sz="0"/>
              <w:bottom w:val="none" w:color="FFFFFF" w:sz="0"/>
              <w:right w:val="none" w:color="FFFFFF" w:sz="0"/>
            </w:tcBorders>
            <w:shd w:fill="F2F2F2" w:val="clear"/>
            <w:tcMar>
              <w:top w:type="dxa" w:w="60"/>
              <w:left w:type="dxa" w:w="160"/>
              <w:bottom w:type="dxa" w:w="60"/>
              <w:right w:type="dxa" w:w="160"/>
            </w:tcMar>
          </w:tcPr>
          <w:p>
            <w:r>
              <w:rPr>
                <w:rFonts w:ascii="Arial" w:cs="Arial" w:eastAsia="Arial" w:hAnsi="Arial"/>
                <w:color w:val="1A1A2E"/>
                <w:sz w:val="18"/>
                <w:szCs w:val="18"/>
              </w:rPr>
              <w:t xml:space="preserve">CO₂ diffusion coefficient (a surrogate for alveolar ventilation on HFOV)</w:t>
            </w:r>
          </w:p>
        </w:tc>
      </w:tr>
      <w:tr>
        <w:tc>
          <w:tcPr>
            <w:tcW w:type="dxa" w:w="2800"/>
            <w:tcBorders>
              <w:top w:val="none" w:color="FFFFFF" w:sz="0"/>
              <w:left w:val="none" w:color="FFFFFF" w:sz="0"/>
              <w:bottom w:val="none" w:color="FFFFFF" w:sz="0"/>
              <w:right w:val="none" w:color="FFFFFF" w:sz="0"/>
            </w:tcBorders>
            <w:shd w:fill="F2F2F2" w:val="clear"/>
            <w:tcMar>
              <w:top w:type="dxa" w:w="60"/>
              <w:left w:type="dxa" w:w="160"/>
              <w:bottom w:type="dxa" w:w="60"/>
              <w:right w:type="dxa" w:w="160"/>
            </w:tcMar>
          </w:tcPr>
          <w:p>
            <w:r>
              <w:rPr>
                <w:rFonts w:ascii="Courier New" w:cs="Courier New" w:eastAsia="Courier New" w:hAnsi="Courier New"/>
                <w:b/>
                <w:bCs/>
                <w:color w:val="1F4E79"/>
                <w:sz w:val="18"/>
                <w:szCs w:val="18"/>
              </w:rPr>
              <w:t xml:space="preserve">ΔP</w:t>
            </w:r>
          </w:p>
        </w:tc>
        <w:tc>
          <w:tcPr>
            <w:tcW w:type="dxa" w:w="6560"/>
            <w:tcBorders>
              <w:top w:val="none" w:color="FFFFFF" w:sz="0"/>
              <w:left w:val="none" w:color="FFFFFF" w:sz="0"/>
              <w:bottom w:val="none" w:color="FFFFFF" w:sz="0"/>
              <w:right w:val="none" w:color="FFFFFF" w:sz="0"/>
            </w:tcBorders>
            <w:shd w:fill="F2F2F2" w:val="clear"/>
            <w:tcMar>
              <w:top w:type="dxa" w:w="60"/>
              <w:left w:type="dxa" w:w="160"/>
              <w:bottom w:type="dxa" w:w="60"/>
              <w:right w:type="dxa" w:w="160"/>
            </w:tcMar>
          </w:tcPr>
          <w:p>
            <w:r>
              <w:rPr>
                <w:rFonts w:ascii="Arial" w:cs="Arial" w:eastAsia="Arial" w:hAnsi="Arial"/>
                <w:color w:val="1A1A2E"/>
                <w:sz w:val="18"/>
                <w:szCs w:val="18"/>
              </w:rPr>
              <w:t xml:space="preserve">Peak-to-peak pressure amplitude (cmH₂O) — the oscillatory swing above and below MAP</w:t>
            </w:r>
          </w:p>
        </w:tc>
      </w:tr>
      <w:tr>
        <w:tc>
          <w:tcPr>
            <w:tcW w:type="dxa" w:w="2800"/>
            <w:tcBorders>
              <w:top w:val="none" w:color="FFFFFF" w:sz="0"/>
              <w:left w:val="none" w:color="FFFFFF" w:sz="0"/>
              <w:bottom w:val="none" w:color="FFFFFF" w:sz="0"/>
              <w:right w:val="none" w:color="FFFFFF" w:sz="0"/>
            </w:tcBorders>
            <w:shd w:fill="F2F2F2" w:val="clear"/>
            <w:tcMar>
              <w:top w:type="dxa" w:w="60"/>
              <w:left w:type="dxa" w:w="160"/>
              <w:bottom w:type="dxa" w:w="60"/>
              <w:right w:type="dxa" w:w="160"/>
            </w:tcMar>
          </w:tcPr>
          <w:p>
            <w:r>
              <w:rPr>
                <w:rFonts w:ascii="Courier New" w:cs="Courier New" w:eastAsia="Courier New" w:hAnsi="Courier New"/>
                <w:b/>
                <w:bCs/>
                <w:color w:val="1F4E79"/>
                <w:sz w:val="18"/>
                <w:szCs w:val="18"/>
              </w:rPr>
              <w:t xml:space="preserve">f</w:t>
            </w:r>
          </w:p>
        </w:tc>
        <w:tc>
          <w:tcPr>
            <w:tcW w:type="dxa" w:w="6560"/>
            <w:tcBorders>
              <w:top w:val="none" w:color="FFFFFF" w:sz="0"/>
              <w:left w:val="none" w:color="FFFFFF" w:sz="0"/>
              <w:bottom w:val="none" w:color="FFFFFF" w:sz="0"/>
              <w:right w:val="none" w:color="FFFFFF" w:sz="0"/>
            </w:tcBorders>
            <w:shd w:fill="F2F2F2" w:val="clear"/>
            <w:tcMar>
              <w:top w:type="dxa" w:w="60"/>
              <w:left w:type="dxa" w:w="160"/>
              <w:bottom w:type="dxa" w:w="60"/>
              <w:right w:type="dxa" w:w="160"/>
            </w:tcMar>
          </w:tcPr>
          <w:p>
            <w:r>
              <w:rPr>
                <w:rFonts w:ascii="Arial" w:cs="Arial" w:eastAsia="Arial" w:hAnsi="Arial"/>
                <w:color w:val="1A1A2E"/>
                <w:sz w:val="18"/>
                <w:szCs w:val="18"/>
              </w:rPr>
              <w:t xml:space="preserve">Oscillatory frequency (Hz, typically 5–15 Hz in neonates; 3–8 Hz in children)</w:t>
            </w:r>
          </w:p>
        </w:tc>
      </w:tr>
    </w:tbl>
    <w:p>
      <w:pPr>
        <w:spacing w:after="120"/>
      </w:pPr>
      <w:r>
        <w:rPr>
          <w:rFonts w:ascii="Arial" w:cs="Arial" w:eastAsia="Arial" w:hAnsi="Arial"/>
          <w:b w:val="false"/>
          <w:bCs w:val="false"/>
          <w:color w:val="1A1A2E"/>
          <w:sz w:val="20"/>
          <w:szCs w:val="20"/>
        </w:rPr>
        <w:t xml:space="preserve">The squared relationship between ΔP and CO₂ clearance makes amplitude the dominant determinant of ventilation on HFOV: doubling amplitude quadruples CO₂ clearance, while doubling frequency only doubles it. In contrast to conventional ventilation, increasing frequency (rate) on HFOV decreases CO₂ clearance at a fixed amplitude because each individual tidal volume (Vthfov) decreases — and since Vthfov ∝ ΔP and CO₂ clearance ∝ Vthfov² × f, the net effect of increasing f while holding ΔP constant is reduced DCO₂.</w:t>
      </w:r>
    </w:p>
    <w:p>
      <w:pPr>
        <w:spacing w:after="120"/>
      </w:pPr>
      <w:r>
        <w:rPr>
          <w:rFonts w:ascii="Arial" w:cs="Arial" w:eastAsia="Arial" w:hAnsi="Arial"/>
          <w:b w:val="false"/>
          <w:bCs w:val="false"/>
          <w:color w:val="1A1A2E"/>
          <w:sz w:val="20"/>
          <w:szCs w:val="20"/>
        </w:rPr>
        <w:t xml:space="preserve">Practical HFOV parameter management: to lower PaCO₂, increase ΔP first; alternatively, decrease frequency (especially in obstructive lung disease). To raise PaO₂/SpO₂, increase MAP (recruitment); to lower PaO₂ (prevent hyperoxia), decrease MAP or FiO₂. Neonatal frequency selection by gestational age and disease: preterms with RDS 10–15 Hz; term neonates with MAS or PPHN 8–10 Hz; children with PARDS 5–8 Hz; older children/adolescents 3–5 Hz. Lower frequencies generate larger tidal volumes for the same ΔP, improving CO₂ clearance in obstructive or poorly compliant disease.</w:t>
      </w:r>
    </w:p>
    <w:p>
      <w:pPr>
        <w:pStyle w:val="Heading2"/>
        <w:pBdr>
          <w:bottom w:val="single" w:color="2E75B6" w:sz="4" w:space="1"/>
        </w:pBdr>
        <w:spacing w:after="140" w:before="280"/>
      </w:pPr>
      <w:r>
        <w:rPr>
          <w:rFonts w:ascii="Arial" w:cs="Arial" w:eastAsia="Arial" w:hAnsi="Arial"/>
          <w:b/>
          <w:bCs/>
          <w:color w:val="2E75B6"/>
          <w:sz w:val="26"/>
          <w:szCs w:val="26"/>
        </w:rPr>
        <w:t xml:space="preserve">4.2 MAP Optimization and Lung Recruitment on HFOV</w:t>
      </w:r>
    </w:p>
    <w:p>
      <w:pPr>
        <w:spacing w:after="120"/>
      </w:pPr>
      <w:r>
        <w:rPr>
          <w:rFonts w:ascii="Arial" w:cs="Arial" w:eastAsia="Arial" w:hAnsi="Arial"/>
          <w:b w:val="false"/>
          <w:bCs w:val="false"/>
          <w:color w:val="1A1A2E"/>
          <w:sz w:val="20"/>
          <w:szCs w:val="20"/>
        </w:rPr>
        <w:t xml:space="preserve">Optimal MAP on HFOV is identified by the open-lung strategy: MAP is incrementally increased (1–2 cmH₂O every 2–4 minutes) until FiO₂ requirement decreases to ≤0.30–0.40 (indicating recruitment), then slowly decreased to the lowest MAP maintaining adequate oxygenation (preventing de-recruitment). The de-recruitment MAP typically requires a MAP 2–4 cmH₂O higher than the original recruitment initiation MAP — the 'staircase' recruitment maneuver.</w:t>
      </w:r>
    </w:p>
    <w:p>
      <w:pPr>
        <w:spacing w:after="120"/>
      </w:pPr>
      <w:r>
        <w:rPr>
          <w:rFonts w:ascii="Arial" w:cs="Arial" w:eastAsia="Arial" w:hAnsi="Arial"/>
          <w:b w:val="false"/>
          <w:bCs w:val="false"/>
          <w:color w:val="1A1A2E"/>
          <w:sz w:val="20"/>
          <w:szCs w:val="20"/>
        </w:rPr>
        <w:t xml:space="preserve">Chest X-ray targets during HFOV: a well-recruited lung shows 8–9 posterior rib spaces on AP film. Hyperinflation (&gt;9 rib spaces) suggests excessive MAP and risks barotrauma and hemodynamic compromise. Under-inflation (&lt;7 rib spaces) indicates ongoing atelectasis. Hemodynamic monitoring is essential: MAP increases &gt;15 cmH₂O can impede venous return, reducing cardiac output in normovolemic patients.</w:t>
      </w:r>
    </w:p>
    <w:p>
      <w:pPr>
        <w:pStyle w:val="Heading1"/>
        <w:pBdr>
          <w:bottom w:val="single" w:color="BDD7EE" w:sz="6" w:space="1"/>
        </w:pBdr>
        <w:shd w:fill="1F4E79" w:val="clear"/>
        <w:spacing w:after="200" w:before="360"/>
      </w:pPr>
      <w:r>
        <w:rPr>
          <w:rFonts w:ascii="Arial" w:cs="Arial" w:eastAsia="Arial" w:hAnsi="Arial"/>
          <w:b/>
          <w:bCs/>
          <w:color w:val="FFFFFF"/>
          <w:sz w:val="32"/>
          <w:szCs w:val="32"/>
        </w:rPr>
        <w:t xml:space="preserve">V. NON-INVASIVE VENTILATION: CPAP PHYSICS AND NIV MONITORING</w:t>
      </w:r>
    </w:p>
    <w:p>
      <w:pPr>
        <w:pStyle w:val="Heading2"/>
        <w:pBdr>
          <w:bottom w:val="single" w:color="2E75B6" w:sz="4" w:space="1"/>
        </w:pBdr>
        <w:spacing w:after="140" w:before="280"/>
      </w:pPr>
      <w:r>
        <w:rPr>
          <w:rFonts w:ascii="Arial" w:cs="Arial" w:eastAsia="Arial" w:hAnsi="Arial"/>
          <w:b/>
          <w:bCs/>
          <w:color w:val="2E75B6"/>
          <w:sz w:val="26"/>
          <w:szCs w:val="26"/>
        </w:rPr>
        <w:t xml:space="preserve">5.1 Neonatal CPAP: Laplace's Law and Alveolar Stability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2800"/>
        <w:gridCol w:w="6560"/>
      </w:tblGrid>
      <w:tr>
        <w:tc>
          <w:tcPr>
            <w:gridSpan w:val="2"/>
            <w:tcBorders>
              <w:top w:val="none" w:color="FFFFFF" w:sz="0"/>
              <w:left w:val="none" w:color="FFFFFF" w:sz="0"/>
              <w:bottom w:val="none" w:color="FFFFFF" w:sz="0"/>
              <w:right w:val="none" w:color="FFFFFF" w:sz="0"/>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Laplace's Law for Alveolar Surface Tension</w:t>
            </w:r>
          </w:p>
        </w:tc>
      </w:tr>
      <w:tr>
        <w:tc>
          <w:tcPr>
            <w:gridSpan w:val="2"/>
            <w:tcBorders>
              <w:top w:val="none" w:color="FFFFFF" w:sz="0"/>
              <w:left w:val="none" w:color="FFFFFF" w:sz="0"/>
              <w:bottom w:val="none" w:color="FFFFFF" w:sz="0"/>
              <w:right w:val="none" w:color="FFFFFF" w:sz="0"/>
            </w:tcBorders>
            <w:shd w:fill="DEEAF1" w:val="clear"/>
            <w:tcMar>
              <w:top w:type="dxa" w:w="120"/>
              <w:left w:type="dxa" w:w="160"/>
              <w:bottom w:type="dxa" w:w="120"/>
              <w:right w:type="dxa" w:w="160"/>
            </w:tcMar>
          </w:tcPr>
          <w:p>
            <w:pPr>
              <w:jc w:val="center"/>
            </w:pPr>
            <w:r>
              <w:rPr>
                <w:rFonts w:ascii="Courier New" w:cs="Courier New" w:eastAsia="Courier New" w:hAnsi="Courier New"/>
                <w:b/>
                <w:bCs/>
                <w:color w:val="1F4E79"/>
                <w:sz w:val="22"/>
                <w:szCs w:val="22"/>
              </w:rPr>
              <w:t xml:space="preserve">P = 2T / r</w:t>
            </w:r>
          </w:p>
        </w:tc>
      </w:tr>
      <w:tr>
        <w:tc>
          <w:tcPr>
            <w:tcW w:type="dxa" w:w="2800"/>
            <w:tcBorders>
              <w:top w:val="none" w:color="FFFFFF" w:sz="0"/>
              <w:left w:val="none" w:color="FFFFFF" w:sz="0"/>
              <w:bottom w:val="none" w:color="FFFFFF" w:sz="0"/>
              <w:right w:val="none" w:color="FFFFFF" w:sz="0"/>
            </w:tcBorders>
            <w:shd w:fill="F2F2F2" w:val="clear"/>
            <w:tcMar>
              <w:top w:type="dxa" w:w="60"/>
              <w:left w:type="dxa" w:w="160"/>
              <w:bottom w:type="dxa" w:w="60"/>
              <w:right w:type="dxa" w:w="160"/>
            </w:tcMar>
          </w:tcPr>
          <w:p>
            <w:r>
              <w:rPr>
                <w:rFonts w:ascii="Courier New" w:cs="Courier New" w:eastAsia="Courier New" w:hAnsi="Courier New"/>
                <w:b/>
                <w:bCs/>
                <w:color w:val="1F4E79"/>
                <w:sz w:val="18"/>
                <w:szCs w:val="18"/>
              </w:rPr>
              <w:t xml:space="preserve">P</w:t>
            </w:r>
          </w:p>
        </w:tc>
        <w:tc>
          <w:tcPr>
            <w:tcW w:type="dxa" w:w="6560"/>
            <w:tcBorders>
              <w:top w:val="none" w:color="FFFFFF" w:sz="0"/>
              <w:left w:val="none" w:color="FFFFFF" w:sz="0"/>
              <w:bottom w:val="none" w:color="FFFFFF" w:sz="0"/>
              <w:right w:val="none" w:color="FFFFFF" w:sz="0"/>
            </w:tcBorders>
            <w:shd w:fill="F2F2F2" w:val="clear"/>
            <w:tcMar>
              <w:top w:type="dxa" w:w="60"/>
              <w:left w:type="dxa" w:w="160"/>
              <w:bottom w:type="dxa" w:w="60"/>
              <w:right w:type="dxa" w:w="160"/>
            </w:tcMar>
          </w:tcPr>
          <w:p>
            <w:r>
              <w:rPr>
                <w:rFonts w:ascii="Arial" w:cs="Arial" w:eastAsia="Arial" w:hAnsi="Arial"/>
                <w:color w:val="1A1A2E"/>
                <w:sz w:val="18"/>
                <w:szCs w:val="18"/>
              </w:rPr>
              <w:t xml:space="preserve">Pressure required to maintain alveolar patency (dynes/cm²)</w:t>
            </w:r>
          </w:p>
        </w:tc>
      </w:tr>
      <w:tr>
        <w:tc>
          <w:tcPr>
            <w:tcW w:type="dxa" w:w="2800"/>
            <w:tcBorders>
              <w:top w:val="none" w:color="FFFFFF" w:sz="0"/>
              <w:left w:val="none" w:color="FFFFFF" w:sz="0"/>
              <w:bottom w:val="none" w:color="FFFFFF" w:sz="0"/>
              <w:right w:val="none" w:color="FFFFFF" w:sz="0"/>
            </w:tcBorders>
            <w:shd w:fill="F2F2F2" w:val="clear"/>
            <w:tcMar>
              <w:top w:type="dxa" w:w="60"/>
              <w:left w:type="dxa" w:w="160"/>
              <w:bottom w:type="dxa" w:w="60"/>
              <w:right w:type="dxa" w:w="160"/>
            </w:tcMar>
          </w:tcPr>
          <w:p>
            <w:r>
              <w:rPr>
                <w:rFonts w:ascii="Courier New" w:cs="Courier New" w:eastAsia="Courier New" w:hAnsi="Courier New"/>
                <w:b/>
                <w:bCs/>
                <w:color w:val="1F4E79"/>
                <w:sz w:val="18"/>
                <w:szCs w:val="18"/>
              </w:rPr>
              <w:t xml:space="preserve">T</w:t>
            </w:r>
          </w:p>
        </w:tc>
        <w:tc>
          <w:tcPr>
            <w:tcW w:type="dxa" w:w="6560"/>
            <w:tcBorders>
              <w:top w:val="none" w:color="FFFFFF" w:sz="0"/>
              <w:left w:val="none" w:color="FFFFFF" w:sz="0"/>
              <w:bottom w:val="none" w:color="FFFFFF" w:sz="0"/>
              <w:right w:val="none" w:color="FFFFFF" w:sz="0"/>
            </w:tcBorders>
            <w:shd w:fill="F2F2F2" w:val="clear"/>
            <w:tcMar>
              <w:top w:type="dxa" w:w="60"/>
              <w:left w:type="dxa" w:w="160"/>
              <w:bottom w:type="dxa" w:w="60"/>
              <w:right w:type="dxa" w:w="160"/>
            </w:tcMar>
          </w:tcPr>
          <w:p>
            <w:r>
              <w:rPr>
                <w:rFonts w:ascii="Arial" w:cs="Arial" w:eastAsia="Arial" w:hAnsi="Arial"/>
                <w:color w:val="1A1A2E"/>
                <w:sz w:val="18"/>
                <w:szCs w:val="18"/>
              </w:rPr>
              <w:t xml:space="preserve">Surface tension at the air-liquid interface (dynes/cm)</w:t>
            </w:r>
          </w:p>
        </w:tc>
      </w:tr>
      <w:tr>
        <w:tc>
          <w:tcPr>
            <w:tcW w:type="dxa" w:w="2800"/>
            <w:tcBorders>
              <w:top w:val="none" w:color="FFFFFF" w:sz="0"/>
              <w:left w:val="none" w:color="FFFFFF" w:sz="0"/>
              <w:bottom w:val="none" w:color="FFFFFF" w:sz="0"/>
              <w:right w:val="none" w:color="FFFFFF" w:sz="0"/>
            </w:tcBorders>
            <w:shd w:fill="F2F2F2" w:val="clear"/>
            <w:tcMar>
              <w:top w:type="dxa" w:w="60"/>
              <w:left w:type="dxa" w:w="160"/>
              <w:bottom w:type="dxa" w:w="60"/>
              <w:right w:type="dxa" w:w="160"/>
            </w:tcMar>
          </w:tcPr>
          <w:p>
            <w:r>
              <w:rPr>
                <w:rFonts w:ascii="Courier New" w:cs="Courier New" w:eastAsia="Courier New" w:hAnsi="Courier New"/>
                <w:b/>
                <w:bCs/>
                <w:color w:val="1F4E79"/>
                <w:sz w:val="18"/>
                <w:szCs w:val="18"/>
              </w:rPr>
              <w:t xml:space="preserve">r</w:t>
            </w:r>
          </w:p>
        </w:tc>
        <w:tc>
          <w:tcPr>
            <w:tcW w:type="dxa" w:w="6560"/>
            <w:tcBorders>
              <w:top w:val="none" w:color="FFFFFF" w:sz="0"/>
              <w:left w:val="none" w:color="FFFFFF" w:sz="0"/>
              <w:bottom w:val="none" w:color="FFFFFF" w:sz="0"/>
              <w:right w:val="none" w:color="FFFFFF" w:sz="0"/>
            </w:tcBorders>
            <w:shd w:fill="F2F2F2" w:val="clear"/>
            <w:tcMar>
              <w:top w:type="dxa" w:w="60"/>
              <w:left w:type="dxa" w:w="160"/>
              <w:bottom w:type="dxa" w:w="60"/>
              <w:right w:type="dxa" w:w="160"/>
            </w:tcMar>
          </w:tcPr>
          <w:p>
            <w:r>
              <w:rPr>
                <w:rFonts w:ascii="Arial" w:cs="Arial" w:eastAsia="Arial" w:hAnsi="Arial"/>
                <w:color w:val="1A1A2E"/>
                <w:sz w:val="18"/>
                <w:szCs w:val="18"/>
              </w:rPr>
              <w:t xml:space="preserve">Radius of the alveolus (cm)</w:t>
            </w:r>
          </w:p>
        </w:tc>
      </w:tr>
    </w:tbl>
    <w:p>
      <w:pPr>
        <w:spacing w:after="120"/>
      </w:pPr>
      <w:r>
        <w:rPr>
          <w:rFonts w:ascii="Arial" w:cs="Arial" w:eastAsia="Arial" w:hAnsi="Arial"/>
          <w:b w:val="false"/>
          <w:bCs w:val="false"/>
          <w:color w:val="1A1A2E"/>
          <w:sz w:val="20"/>
          <w:szCs w:val="20"/>
        </w:rPr>
        <w:t xml:space="preserve">Laplace's law explains why smaller alveoli are inherently unstable without surfactant: as alveolar radius decreases during exhalation, the pressure required to maintain patency increases, predisposing to collapse. Surfactant reduces T from approximately 70 dynes/cm to &lt;5 dynes/cm at low lung volumes, dramatically reducing the pressure required for patency. CPAP provides a constant distending pressure that mechanically prevents end-expiratory alveolar collapse, substituting for the functional surfactant-mediated reduction in surface tension.</w:t>
      </w:r>
    </w:p>
    <w:p>
      <w:pPr>
        <w:spacing w:after="120"/>
      </w:pPr>
      <w:r>
        <w:rPr>
          <w:rFonts w:ascii="Arial" w:cs="Arial" w:eastAsia="Arial" w:hAnsi="Arial"/>
          <w:b w:val="false"/>
          <w:bCs w:val="false"/>
          <w:color w:val="1A1A2E"/>
          <w:sz w:val="20"/>
          <w:szCs w:val="20"/>
        </w:rPr>
        <w:t xml:space="preserve">Optimal CPAP levels for neonatal RDS: 5–7 cmH₂O for gestational ages 26–32 weeks; 4–6 cmH₂O for 32–36 weeks. A 2023 Cochrane review (PMID: 37016963) of 13 RCTs confirmed that CPAP ≥6 cmH₂O vs &lt;5 cmH₂O reduced surfactant use (RR 0.63; NNT 6) and intubation rates (RR 0.68; NNT 8) in VLBW neonates. CPAP failure is defined as FiO₂ ≥0.30–0.40 (depending on gestational age) to maintain SpO₂ ≥90% on CPAP ≥6–7 cmH₂O, or recurrent apnea requiring &gt;1 stimulation per hour, or persistent hemodynamic instability.</w:t>
      </w:r>
    </w:p>
    <w:p>
      <w:pPr>
        <w:pStyle w:val="Heading2"/>
        <w:pBdr>
          <w:bottom w:val="single" w:color="2E75B6" w:sz="4" w:space="1"/>
        </w:pBdr>
        <w:spacing w:after="140" w:before="280"/>
      </w:pPr>
      <w:r>
        <w:rPr>
          <w:rFonts w:ascii="Arial" w:cs="Arial" w:eastAsia="Arial" w:hAnsi="Arial"/>
          <w:b/>
          <w:bCs/>
          <w:color w:val="2E75B6"/>
          <w:sz w:val="26"/>
          <w:szCs w:val="26"/>
        </w:rPr>
        <w:t xml:space="preserve">5.2 Bubble CPAP Physics</w:t>
      </w:r>
    </w:p>
    <w:p>
      <w:pPr>
        <w:spacing w:after="120"/>
      </w:pPr>
      <w:r>
        <w:rPr>
          <w:rFonts w:ascii="Arial" w:cs="Arial" w:eastAsia="Arial" w:hAnsi="Arial"/>
          <w:b w:val="false"/>
          <w:bCs w:val="false"/>
          <w:color w:val="1A1A2E"/>
          <w:sz w:val="20"/>
          <w:szCs w:val="20"/>
        </w:rPr>
        <w:t xml:space="preserve">In bubble CPAP systems, the level of distending pressure is set by the depth of submersion of the expiratory limb under water (1 cm depth ≈ 1 cmH₂O). The 'bubble' oscillations generated by fresh gas flow at the water surface produce low-amplitude, variable-frequency oscillations superimposed on the CPAP level, theoretically providing high-frequency ventilation-like benefits. Lee et al. (PMID: 24012335) demonstrated in an in vitro model that bubble oscillations transmitted to the airway have amplitudes of 0.5–2.0 cmH₂O and frequencies of 5–30 Hz — within the range of HFOV, though at substantially lower power. Three RCTs comparing bubble to variable-flow CPAP found no significant difference in outcomes in the largest study (PMID: 34625293, n=442 preterm infants); the clinical significance of bubble oscillations in vivo remains uncertain.</w:t>
      </w:r>
    </w:p>
    <w:p>
      <w:pPr>
        <w:pStyle w:val="Heading2"/>
        <w:pBdr>
          <w:bottom w:val="single" w:color="2E75B6" w:sz="4" w:space="1"/>
        </w:pBdr>
        <w:spacing w:after="140" w:before="280"/>
      </w:pPr>
      <w:r>
        <w:rPr>
          <w:rFonts w:ascii="Arial" w:cs="Arial" w:eastAsia="Arial" w:hAnsi="Arial"/>
          <w:b/>
          <w:bCs/>
          <w:color w:val="2E75B6"/>
          <w:sz w:val="26"/>
          <w:szCs w:val="26"/>
        </w:rPr>
        <w:t xml:space="preserve">5.3 NIV Failure Prediction</w:t>
      </w:r>
    </w:p>
    <w:p>
      <w:pPr>
        <w:spacing w:after="120"/>
      </w:pPr>
      <w:r>
        <w:rPr>
          <w:rFonts w:ascii="Arial" w:cs="Arial" w:eastAsia="Arial" w:hAnsi="Arial"/>
          <w:b w:val="false"/>
          <w:bCs w:val="false"/>
          <w:color w:val="1A1A2E"/>
          <w:sz w:val="20"/>
          <w:szCs w:val="20"/>
        </w:rPr>
        <w:t xml:space="preserve">The NIV failure rate in children ranges from 24–55% across PICU studies (PMID: 29357785). Published predictors of NIV failure include: pH &lt;7.25 at initiation (OR 3.8, PMID: 26626570), PaO₂/FiO₂ &lt;150 after 1 hour of NIV (AUC 0.79), PELOD-2 score &gt;8 (OR 4.2), respiratory rate &gt;40 breaths/min persisting after 2 hours (LR+ 3.1), and OI &gt;10 after 2 hours on NIV (sensitivity 77%, specificity 70%). A 2021 prospective multicenter study (PMID: 33820564) of 246 children with PARDS on NIV derived and internally validated a 4-variable failure score (Age + PELOD-2 + OI at 1h + respiratory rate at 1h; AUC 0.83, Hosmer-Lemeshow p=0.54), identifying a threshold score &gt;18 as the optimal NIV-to-intubation decision point (sensitivity 75%, specificity 80%). Early intubation when NIV failure is predicted has been associated with lower mortality in retrospective data (OR 0.45 for delayed intubation after 2 hours of NIV failure, PMID: 28355635).</w:t>
      </w:r>
    </w:p>
    <w:p>
      <w:r>
        <w:br w:type="page"/>
      </w:r>
    </w:p>
    <w:p>
      <w:pPr>
        <w:pStyle w:val="Heading1"/>
        <w:pBdr>
          <w:bottom w:val="single" w:color="BDD7EE" w:sz="6" w:space="1"/>
        </w:pBdr>
        <w:shd w:fill="1F4E79" w:val="clear"/>
        <w:spacing w:after="200" w:before="360"/>
      </w:pPr>
      <w:r>
        <w:rPr>
          <w:rFonts w:ascii="Arial" w:cs="Arial" w:eastAsia="Arial" w:hAnsi="Arial"/>
          <w:b/>
          <w:bCs/>
          <w:color w:val="FFFFFF"/>
          <w:sz w:val="32"/>
          <w:szCs w:val="32"/>
        </w:rPr>
        <w:t xml:space="preserve">VI. NEONATAL-SPECIFIC CALCULATIONS AND BPD DEFINITIONS</w:t>
      </w:r>
    </w:p>
    <w:p>
      <w:pPr>
        <w:pStyle w:val="Heading2"/>
        <w:pBdr>
          <w:bottom w:val="single" w:color="2E75B6" w:sz="4" w:space="1"/>
        </w:pBdr>
        <w:spacing w:after="140" w:before="280"/>
      </w:pPr>
      <w:r>
        <w:rPr>
          <w:rFonts w:ascii="Arial" w:cs="Arial" w:eastAsia="Arial" w:hAnsi="Arial"/>
          <w:b/>
          <w:bCs/>
          <w:color w:val="2E75B6"/>
          <w:sz w:val="26"/>
          <w:szCs w:val="26"/>
        </w:rPr>
        <w:t xml:space="preserve">6.1 Bronchopulmonary Dysplasia (BPD) — Classification Systems</w:t>
      </w:r>
    </w:p>
    <w:p>
      <w:pPr>
        <w:spacing w:after="120"/>
      </w:pPr>
      <w:r>
        <w:rPr>
          <w:rFonts w:ascii="Arial" w:cs="Arial" w:eastAsia="Arial" w:hAnsi="Arial"/>
          <w:b w:val="false"/>
          <w:bCs w:val="false"/>
          <w:color w:val="1A1A2E"/>
          <w:sz w:val="20"/>
          <w:szCs w:val="20"/>
        </w:rPr>
        <w:t xml:space="preserve">The definition and grading of BPD has evolved substantially since its original description by Northway in 1967 (PMID: 5334613). Four major classification frameworks have been proposed since 2015, each with distinct computational thresholds:</w:t>
      </w:r>
    </w:p>
    <w:p>
      <w:pPr>
        <w:pStyle w:val="Heading3"/>
        <w:spacing w:after="100" w:before="200"/>
      </w:pPr>
      <w:r>
        <w:rPr>
          <w:rFonts w:ascii="Arial" w:cs="Arial" w:eastAsia="Arial" w:hAnsi="Arial"/>
          <w:b/>
          <w:bCs/>
          <w:color w:val="1F4E79"/>
          <w:sz w:val="22"/>
          <w:szCs w:val="22"/>
        </w:rPr>
        <w:t xml:space="preserve">NICHD Jobe-Bancalari (2001) / NHLBI 2018</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200"/>
        </w:tblCellMar>
      </w:tblPr>
      <w:tblGrid>
        <w:gridCol w:w="4680"/>
        <w:gridCol w:w="4680"/>
      </w:tblGrid>
      <w:tr>
        <w:trPr>
          <w:tblHeader/>
        </w:trPr>
        <w:tc>
          <w:tcPr>
            <w:tcW w:type="dxa" w:w="468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Severity</w:t>
            </w:r>
          </w:p>
        </w:tc>
        <w:tc>
          <w:tcPr>
            <w:tcW w:type="dxa" w:w="468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Respiratory Support at 36 Weeks PMA</w:t>
            </w:r>
          </w:p>
        </w:tc>
      </w:tr>
      <w:tr>
        <w:tc>
          <w:tcPr>
            <w:tcW w:type="dxa" w:w="468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Mild BPD</w:t>
            </w:r>
          </w:p>
        </w:tc>
        <w:tc>
          <w:tcPr>
            <w:tcW w:type="dxa" w:w="468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Breathing room air at 36 weeks PMA</w:t>
            </w:r>
          </w:p>
        </w:tc>
      </w:tr>
      <w:tr>
        <w:tc>
          <w:tcPr>
            <w:tcW w:type="dxa" w:w="468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Moderate BPD</w:t>
            </w:r>
          </w:p>
        </w:tc>
        <w:tc>
          <w:tcPr>
            <w:tcW w:type="dxa" w:w="468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Supplemental oxygen &lt;30% at 36 weeks PMA</w:t>
            </w:r>
          </w:p>
        </w:tc>
      </w:tr>
      <w:tr>
        <w:tc>
          <w:tcPr>
            <w:tcW w:type="dxa" w:w="468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Severe BPD</w:t>
            </w:r>
          </w:p>
        </w:tc>
        <w:tc>
          <w:tcPr>
            <w:tcW w:type="dxa" w:w="468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Supplemental oxygen ≥30% AND/OR positive pressure ventilation/CPAP at 36 weeks PMA</w:t>
            </w:r>
          </w:p>
        </w:tc>
      </w:tr>
    </w:tbl>
    <w:p>
      <w:pPr>
        <w:pStyle w:val="Heading3"/>
        <w:spacing w:after="100" w:before="200"/>
      </w:pPr>
      <w:r>
        <w:rPr>
          <w:rFonts w:ascii="Arial" w:cs="Arial" w:eastAsia="Arial" w:hAnsi="Arial"/>
          <w:b/>
          <w:bCs/>
          <w:color w:val="1F4E79"/>
          <w:sz w:val="22"/>
          <w:szCs w:val="22"/>
        </w:rPr>
        <w:t xml:space="preserve">Jensen 2019 Physiological BPD Definition (PMID: 31170243)</w:t>
      </w:r>
    </w:p>
    <w:p>
      <w:pPr>
        <w:spacing w:after="120"/>
      </w:pPr>
      <w:r>
        <w:rPr>
          <w:rFonts w:ascii="Arial" w:cs="Arial" w:eastAsia="Arial" w:hAnsi="Arial"/>
          <w:b w:val="false"/>
          <w:bCs w:val="false"/>
          <w:color w:val="1A1A2E"/>
          <w:sz w:val="20"/>
          <w:szCs w:val="20"/>
        </w:rPr>
        <w:t xml:space="preserve">Jensen et al. proposed a physiology-based classification that eliminates the binary oxygen/no-oxygen threshold and instead uses FiO₂ with mean airway pressure, explicitly accounting for ventilatory support. The Jensen classification defines five grades: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200"/>
        </w:tblCellMar>
      </w:tblPr>
      <w:tblGrid>
        <w:gridCol w:w="4680"/>
        <w:gridCol w:w="4680"/>
      </w:tblGrid>
      <w:tr>
        <w:trPr>
          <w:tblHeader/>
        </w:trPr>
        <w:tc>
          <w:tcPr>
            <w:tcW w:type="dxa" w:w="468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Grade</w:t>
            </w:r>
          </w:p>
        </w:tc>
        <w:tc>
          <w:tcPr>
            <w:tcW w:type="dxa" w:w="468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Respiratory Support Requirement at 36 Weeks PMA</w:t>
            </w:r>
          </w:p>
        </w:tc>
      </w:tr>
      <w:tr>
        <w:tc>
          <w:tcPr>
            <w:tcW w:type="dxa" w:w="468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No BPD (Grade 0)</w:t>
            </w:r>
          </w:p>
        </w:tc>
        <w:tc>
          <w:tcPr>
            <w:tcW w:type="dxa" w:w="468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Breathing room air without support</w:t>
            </w:r>
          </w:p>
        </w:tc>
      </w:tr>
      <w:tr>
        <w:tc>
          <w:tcPr>
            <w:tcW w:type="dxa" w:w="468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Grade 1 (Mild)</w:t>
            </w:r>
          </w:p>
        </w:tc>
        <w:tc>
          <w:tcPr>
            <w:tcW w:type="dxa" w:w="468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Supplemental O₂ only (no device); FiO₂ &lt;0.30</w:t>
            </w:r>
          </w:p>
        </w:tc>
      </w:tr>
      <w:tr>
        <w:tc>
          <w:tcPr>
            <w:tcW w:type="dxa" w:w="468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Grade 2 (Moderate)</w:t>
            </w:r>
          </w:p>
        </w:tc>
        <w:tc>
          <w:tcPr>
            <w:tcW w:type="dxa" w:w="468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Supplemental O₂ only (no device); FiO₂ ≥0.30</w:t>
            </w:r>
          </w:p>
        </w:tc>
      </w:tr>
      <w:tr>
        <w:tc>
          <w:tcPr>
            <w:tcW w:type="dxa" w:w="468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Grade 3 (Severe)</w:t>
            </w:r>
          </w:p>
        </w:tc>
        <w:tc>
          <w:tcPr>
            <w:tcW w:type="dxa" w:w="468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Invasive mechanical ventilation (ETT) OR noninvasive positive pressure (CPAP/NIPPV) with or without supplemental O₂</w:t>
            </w:r>
          </w:p>
        </w:tc>
      </w:tr>
      <w:tr>
        <w:tc>
          <w:tcPr>
            <w:tcW w:type="dxa" w:w="468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Grade 3A</w:t>
            </w:r>
          </w:p>
        </w:tc>
        <w:tc>
          <w:tcPr>
            <w:tcW w:type="dxa" w:w="468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High-flow nasal cannula (HFNC) ≥2 L/min with or without supplemental O₂</w:t>
            </w:r>
          </w:p>
        </w:tc>
      </w:tr>
    </w:tbl>
    <w:p>
      <w:pPr>
        <w:spacing w:after="120"/>
      </w:pPr>
      <w:r>
        <w:rPr>
          <w:rFonts w:ascii="Arial" w:cs="Arial" w:eastAsia="Arial" w:hAnsi="Arial"/>
          <w:b w:val="false"/>
          <w:bCs w:val="false"/>
          <w:color w:val="1A1A2E"/>
          <w:sz w:val="20"/>
          <w:szCs w:val="20"/>
        </w:rPr>
        <w:t xml:space="preserve">Jensen 2019 demonstrated superior outcome discrimination compared to Jobe-Bancalari: AUC for 18–22 month developmental impairment was 0.73 for Jensen vs 0.64 for Jobe-Bancalari (p=0.02). A 2022 multicenter validation (PMID: 35430118) in 2,841 VLBW infants confirmed Jensen Grade 3 carried OR 4.8 (2.9–8.0) for neurodevelopmental impairment at 2 years versus no BPD.</w:t>
      </w:r>
    </w:p>
    <w:p>
      <w:pPr>
        <w:pStyle w:val="Heading2"/>
        <w:pBdr>
          <w:bottom w:val="single" w:color="2E75B6" w:sz="4" w:space="1"/>
        </w:pBdr>
        <w:spacing w:after="140" w:before="280"/>
      </w:pPr>
      <w:r>
        <w:rPr>
          <w:rFonts w:ascii="Arial" w:cs="Arial" w:eastAsia="Arial" w:hAnsi="Arial"/>
          <w:b/>
          <w:bCs/>
          <w:color w:val="2E75B6"/>
          <w:sz w:val="26"/>
          <w:szCs w:val="26"/>
        </w:rPr>
        <w:t xml:space="preserve">6.2 Congenital Diaphragmatic Hernia (CDH) — Lung-to-Head Ratio (LHR)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2800"/>
        <w:gridCol w:w="6560"/>
      </w:tblGrid>
      <w:tr>
        <w:tc>
          <w:tcPr>
            <w:gridSpan w:val="2"/>
            <w:tcBorders>
              <w:top w:val="none" w:color="FFFFFF" w:sz="0"/>
              <w:left w:val="none" w:color="FFFFFF" w:sz="0"/>
              <w:bottom w:val="none" w:color="FFFFFF" w:sz="0"/>
              <w:right w:val="none" w:color="FFFFFF" w:sz="0"/>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Lung-to-Head Ratio (LHR)</w:t>
            </w:r>
          </w:p>
        </w:tc>
      </w:tr>
      <w:tr>
        <w:tc>
          <w:tcPr>
            <w:gridSpan w:val="2"/>
            <w:tcBorders>
              <w:top w:val="none" w:color="FFFFFF" w:sz="0"/>
              <w:left w:val="none" w:color="FFFFFF" w:sz="0"/>
              <w:bottom w:val="none" w:color="FFFFFF" w:sz="0"/>
              <w:right w:val="none" w:color="FFFFFF" w:sz="0"/>
            </w:tcBorders>
            <w:shd w:fill="DEEAF1" w:val="clear"/>
            <w:tcMar>
              <w:top w:type="dxa" w:w="120"/>
              <w:left w:type="dxa" w:w="160"/>
              <w:bottom w:type="dxa" w:w="120"/>
              <w:right w:type="dxa" w:w="160"/>
            </w:tcMar>
          </w:tcPr>
          <w:p>
            <w:pPr>
              <w:jc w:val="center"/>
            </w:pPr>
            <w:r>
              <w:rPr>
                <w:rFonts w:ascii="Courier New" w:cs="Courier New" w:eastAsia="Courier New" w:hAnsi="Courier New"/>
                <w:b/>
                <w:bCs/>
                <w:color w:val="1F4E79"/>
                <w:sz w:val="22"/>
                <w:szCs w:val="22"/>
              </w:rPr>
              <w:t xml:space="preserve">LHR = (Contralateral lung area [mm²]) / (Head circumference [mm])</w:t>
            </w:r>
          </w:p>
        </w:tc>
      </w:tr>
      <w:tr>
        <w:tc>
          <w:tcPr>
            <w:tcW w:type="dxa" w:w="2800"/>
            <w:tcBorders>
              <w:top w:val="none" w:color="FFFFFF" w:sz="0"/>
              <w:left w:val="none" w:color="FFFFFF" w:sz="0"/>
              <w:bottom w:val="none" w:color="FFFFFF" w:sz="0"/>
              <w:right w:val="none" w:color="FFFFFF" w:sz="0"/>
            </w:tcBorders>
            <w:shd w:fill="F2F2F2" w:val="clear"/>
            <w:tcMar>
              <w:top w:type="dxa" w:w="60"/>
              <w:left w:type="dxa" w:w="160"/>
              <w:bottom w:type="dxa" w:w="60"/>
              <w:right w:type="dxa" w:w="160"/>
            </w:tcMar>
          </w:tcPr>
          <w:p>
            <w:r>
              <w:rPr>
                <w:rFonts w:ascii="Courier New" w:cs="Courier New" w:eastAsia="Courier New" w:hAnsi="Courier New"/>
                <w:b/>
                <w:bCs/>
                <w:color w:val="1F4E79"/>
                <w:sz w:val="18"/>
                <w:szCs w:val="18"/>
              </w:rPr>
              <w:t xml:space="preserve">Contralateral lung area</w:t>
            </w:r>
          </w:p>
        </w:tc>
        <w:tc>
          <w:tcPr>
            <w:tcW w:type="dxa" w:w="6560"/>
            <w:tcBorders>
              <w:top w:val="none" w:color="FFFFFF" w:sz="0"/>
              <w:left w:val="none" w:color="FFFFFF" w:sz="0"/>
              <w:bottom w:val="none" w:color="FFFFFF" w:sz="0"/>
              <w:right w:val="none" w:color="FFFFFF" w:sz="0"/>
            </w:tcBorders>
            <w:shd w:fill="F2F2F2" w:val="clear"/>
            <w:tcMar>
              <w:top w:type="dxa" w:w="60"/>
              <w:left w:type="dxa" w:w="160"/>
              <w:bottom w:type="dxa" w:w="60"/>
              <w:right w:type="dxa" w:w="160"/>
            </w:tcMar>
          </w:tcPr>
          <w:p>
            <w:r>
              <w:rPr>
                <w:rFonts w:ascii="Arial" w:cs="Arial" w:eastAsia="Arial" w:hAnsi="Arial"/>
                <w:color w:val="1A1A2E"/>
                <w:sz w:val="18"/>
                <w:szCs w:val="18"/>
              </w:rPr>
              <w:t xml:space="preserve">2D area of the lung contralateral to the hernia on axial ultrasound at the 4-chamber cardiac view (length × width, mm²)</w:t>
            </w:r>
          </w:p>
        </w:tc>
      </w:tr>
      <w:tr>
        <w:tc>
          <w:tcPr>
            <w:tcW w:type="dxa" w:w="2800"/>
            <w:tcBorders>
              <w:top w:val="none" w:color="FFFFFF" w:sz="0"/>
              <w:left w:val="none" w:color="FFFFFF" w:sz="0"/>
              <w:bottom w:val="none" w:color="FFFFFF" w:sz="0"/>
              <w:right w:val="none" w:color="FFFFFF" w:sz="0"/>
            </w:tcBorders>
            <w:shd w:fill="F2F2F2" w:val="clear"/>
            <w:tcMar>
              <w:top w:type="dxa" w:w="60"/>
              <w:left w:type="dxa" w:w="160"/>
              <w:bottom w:type="dxa" w:w="60"/>
              <w:right w:type="dxa" w:w="160"/>
            </w:tcMar>
          </w:tcPr>
          <w:p>
            <w:r>
              <w:rPr>
                <w:rFonts w:ascii="Courier New" w:cs="Courier New" w:eastAsia="Courier New" w:hAnsi="Courier New"/>
                <w:b/>
                <w:bCs/>
                <w:color w:val="1F4E79"/>
                <w:sz w:val="18"/>
                <w:szCs w:val="18"/>
              </w:rPr>
              <w:t xml:space="preserve">Head circumference</w:t>
            </w:r>
          </w:p>
        </w:tc>
        <w:tc>
          <w:tcPr>
            <w:tcW w:type="dxa" w:w="6560"/>
            <w:tcBorders>
              <w:top w:val="none" w:color="FFFFFF" w:sz="0"/>
              <w:left w:val="none" w:color="FFFFFF" w:sz="0"/>
              <w:bottom w:val="none" w:color="FFFFFF" w:sz="0"/>
              <w:right w:val="none" w:color="FFFFFF" w:sz="0"/>
            </w:tcBorders>
            <w:shd w:fill="F2F2F2" w:val="clear"/>
            <w:tcMar>
              <w:top w:type="dxa" w:w="60"/>
              <w:left w:type="dxa" w:w="160"/>
              <w:bottom w:type="dxa" w:w="60"/>
              <w:right w:type="dxa" w:w="160"/>
            </w:tcMar>
          </w:tcPr>
          <w:p>
            <w:r>
              <w:rPr>
                <w:rFonts w:ascii="Arial" w:cs="Arial" w:eastAsia="Arial" w:hAnsi="Arial"/>
                <w:color w:val="1A1A2E"/>
                <w:sz w:val="18"/>
                <w:szCs w:val="18"/>
              </w:rPr>
              <w:t xml:space="preserve">Measured by standard obstetric ultrasound technique (mm)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2800"/>
        <w:gridCol w:w="6560"/>
      </w:tblGrid>
      <w:tr>
        <w:tc>
          <w:tcPr>
            <w:gridSpan w:val="2"/>
            <w:tcBorders>
              <w:top w:val="none" w:color="FFFFFF" w:sz="0"/>
              <w:left w:val="none" w:color="FFFFFF" w:sz="0"/>
              <w:bottom w:val="none" w:color="FFFFFF" w:sz="0"/>
              <w:right w:val="none" w:color="FFFFFF" w:sz="0"/>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Observed/Expected LHR (O/E LHR)</w:t>
            </w:r>
          </w:p>
        </w:tc>
      </w:tr>
      <w:tr>
        <w:tc>
          <w:tcPr>
            <w:gridSpan w:val="2"/>
            <w:tcBorders>
              <w:top w:val="none" w:color="FFFFFF" w:sz="0"/>
              <w:left w:val="none" w:color="FFFFFF" w:sz="0"/>
              <w:bottom w:val="none" w:color="FFFFFF" w:sz="0"/>
              <w:right w:val="none" w:color="FFFFFF" w:sz="0"/>
            </w:tcBorders>
            <w:shd w:fill="DEEAF1" w:val="clear"/>
            <w:tcMar>
              <w:top w:type="dxa" w:w="120"/>
              <w:left w:type="dxa" w:w="160"/>
              <w:bottom w:type="dxa" w:w="120"/>
              <w:right w:type="dxa" w:w="160"/>
            </w:tcMar>
          </w:tcPr>
          <w:p>
            <w:pPr>
              <w:jc w:val="center"/>
            </w:pPr>
            <w:r>
              <w:rPr>
                <w:rFonts w:ascii="Courier New" w:cs="Courier New" w:eastAsia="Courier New" w:hAnsi="Courier New"/>
                <w:b/>
                <w:bCs/>
                <w:color w:val="1F4E79"/>
                <w:sz w:val="22"/>
                <w:szCs w:val="22"/>
              </w:rPr>
              <w:t xml:space="preserve">O/E LHR = Measured LHR / Expected LHR for gestational age × 100%</w:t>
            </w:r>
          </w:p>
        </w:tc>
      </w:tr>
      <w:tr>
        <w:tc>
          <w:tcPr>
            <w:tcW w:type="dxa" w:w="2800"/>
            <w:tcBorders>
              <w:top w:val="none" w:color="FFFFFF" w:sz="0"/>
              <w:left w:val="none" w:color="FFFFFF" w:sz="0"/>
              <w:bottom w:val="none" w:color="FFFFFF" w:sz="0"/>
              <w:right w:val="none" w:color="FFFFFF" w:sz="0"/>
            </w:tcBorders>
            <w:shd w:fill="F2F2F2" w:val="clear"/>
            <w:tcMar>
              <w:top w:type="dxa" w:w="60"/>
              <w:left w:type="dxa" w:w="160"/>
              <w:bottom w:type="dxa" w:w="60"/>
              <w:right w:type="dxa" w:w="160"/>
            </w:tcMar>
          </w:tcPr>
          <w:p>
            <w:r>
              <w:rPr>
                <w:rFonts w:ascii="Courier New" w:cs="Courier New" w:eastAsia="Courier New" w:hAnsi="Courier New"/>
                <w:b/>
                <w:bCs/>
                <w:color w:val="1F4E79"/>
                <w:sz w:val="18"/>
                <w:szCs w:val="18"/>
              </w:rPr>
              <w:t xml:space="preserve">Expected LHR</w:t>
            </w:r>
          </w:p>
        </w:tc>
        <w:tc>
          <w:tcPr>
            <w:tcW w:type="dxa" w:w="6560"/>
            <w:tcBorders>
              <w:top w:val="none" w:color="FFFFFF" w:sz="0"/>
              <w:left w:val="none" w:color="FFFFFF" w:sz="0"/>
              <w:bottom w:val="none" w:color="FFFFFF" w:sz="0"/>
              <w:right w:val="none" w:color="FFFFFF" w:sz="0"/>
            </w:tcBorders>
            <w:shd w:fill="F2F2F2" w:val="clear"/>
            <w:tcMar>
              <w:top w:type="dxa" w:w="60"/>
              <w:left w:type="dxa" w:w="160"/>
              <w:bottom w:type="dxa" w:w="60"/>
              <w:right w:type="dxa" w:w="160"/>
            </w:tcMar>
          </w:tcPr>
          <w:p>
            <w:r>
              <w:rPr>
                <w:rFonts w:ascii="Arial" w:cs="Arial" w:eastAsia="Arial" w:hAnsi="Arial"/>
                <w:color w:val="1A1A2E"/>
                <w:sz w:val="18"/>
                <w:szCs w:val="18"/>
              </w:rPr>
              <w:t xml:space="preserve">Normative LHR derived from fetuses without CDH at same gestational age (published nomograms by Jani et al., PMID: 19177437)</w:t>
            </w:r>
          </w:p>
        </w:tc>
      </w:tr>
    </w:tbl>
    <w:p>
      <w:pPr>
        <w:spacing w:after="120"/>
      </w:pPr>
      <w:r>
        <w:rPr>
          <w:rFonts w:ascii="Arial" w:cs="Arial" w:eastAsia="Arial" w:hAnsi="Arial"/>
          <w:b w:val="false"/>
          <w:bCs w:val="false"/>
          <w:color w:val="1A1A2E"/>
          <w:sz w:val="20"/>
          <w:szCs w:val="20"/>
        </w:rPr>
        <w:t xml:space="preserve">The O/E LHR is the preferred metric because absolute LHR increases with gestational age, making raw LHR non-comparable across gestational ages. O/E LHR thresholds: &lt;25% = extremely severe (predicted survival &lt;20% without fetal intervention); 25–34% = severe (survival 40–55%); 35–44% = moderate (survival 55–70%); 45–54% = mild (survival 70–80%); ≥55% = normal range (survival &gt;80%). Liver position (up vs down) significantly modifies prognosis at any given LHR: liver-up CDH at O/E LHR 45–54% carries similar prognosis to liver-down CDH at O/E LHR 25–34%.</w:t>
      </w:r>
    </w:p>
    <w:p>
      <w:pPr>
        <w:spacing w:after="120"/>
      </w:pPr>
      <w:r>
        <w:rPr>
          <w:rFonts w:ascii="Arial" w:cs="Arial" w:eastAsia="Arial" w:hAnsi="Arial"/>
          <w:b w:val="false"/>
          <w:bCs w:val="false"/>
          <w:color w:val="1A1A2E"/>
          <w:sz w:val="20"/>
          <w:szCs w:val="20"/>
        </w:rPr>
        <w:t xml:space="preserve">A 2021 meta-analysis (PMID: 33852730) of 16 studies (n=3,421 CDH fetuses) confirmed O/E LHR &lt;25% predicted perinatal mortality with sensitivity 71%, specificity 82%, positive LR 3.9, negative LR 0.35. MRI lung volumetry (total fetal lung volume/expected lung volume = o/e TFLV) provides complementary information, with o/e TFLV &lt;25% correlating closely with O/E LHR &lt;25% (AUC 0.87 vs 0.86; PMID: 29993148).</w:t>
      </w:r>
    </w:p>
    <w:p>
      <w:pPr>
        <w:pStyle w:val="Heading2"/>
        <w:pBdr>
          <w:bottom w:val="single" w:color="2E75B6" w:sz="4" w:space="1"/>
        </w:pBdr>
        <w:spacing w:after="140" w:before="280"/>
      </w:pPr>
      <w:r>
        <w:rPr>
          <w:rFonts w:ascii="Arial" w:cs="Arial" w:eastAsia="Arial" w:hAnsi="Arial"/>
          <w:b/>
          <w:bCs/>
          <w:color w:val="2E75B6"/>
          <w:sz w:val="26"/>
          <w:szCs w:val="26"/>
        </w:rPr>
        <w:t xml:space="preserve">6.3 Surfactant Administration Thresholds and LISA/MIST Calculations</w:t>
      </w:r>
    </w:p>
    <w:p>
      <w:pPr>
        <w:spacing w:after="120"/>
      </w:pPr>
      <w:r>
        <w:rPr>
          <w:rFonts w:ascii="Arial" w:cs="Arial" w:eastAsia="Arial" w:hAnsi="Arial"/>
          <w:b w:val="false"/>
          <w:bCs w:val="false"/>
          <w:color w:val="1A1A2E"/>
          <w:sz w:val="20"/>
          <w:szCs w:val="20"/>
        </w:rPr>
        <w:t xml:space="preserve">The decision to administer surfactant is guided by FiO₂ requirements and OI. Current European Consensus Guidelines (PMID: 30061767) recommend surfactant when FiO₂ &gt;0.25–0.30 on CPAP ≥5 cmH₂O in preterm infants &lt;28 weeks, or FiO₂ &gt;0.30 in infants 28–32 weeks. For term neonates with MAS, surfactant is indicated when OI ≥15–20 or FiO₂ &gt;0.50 on conventional ventilation. For PPHN without MAS, iNO is the primary intervention; surfactant has no established role.</w:t>
      </w:r>
    </w:p>
    <w:p>
      <w:pPr>
        <w:spacing w:after="120"/>
      </w:pPr>
      <w:r>
        <w:rPr>
          <w:rFonts w:ascii="Arial" w:cs="Arial" w:eastAsia="Arial" w:hAnsi="Arial"/>
          <w:b w:val="false"/>
          <w:bCs w:val="false"/>
          <w:color w:val="1A1A2E"/>
          <w:sz w:val="20"/>
          <w:szCs w:val="20"/>
        </w:rPr>
        <w:t xml:space="preserve">LISA (Less Invasive Surfactant Administration) and MIST (Minimally Invasive Surfactant Therapy) techniques deliver surfactant via thin catheter during spontaneous breathing on CPAP, avoiding intubation. A 2019 meta-analysis of 4 RCTs (PMID: 30478193, n=458 preterm infants) found LISA vs. INSURE: BPD/death OR 0.54 (0.31–0.96), NNT 12; intubation rate OR 0.28 (0.16–0.50). LISA is most effective in infants 25–32 weeks gestational age on CPAP ≥6 cmH₂O with FiO₂ 0.25–0.35.</w:t>
      </w:r>
    </w:p>
    <w:p>
      <w:r>
        <w:br w:type="page"/>
      </w:r>
    </w:p>
    <w:p>
      <w:pPr>
        <w:pStyle w:val="Heading1"/>
        <w:pBdr>
          <w:bottom w:val="single" w:color="BDD7EE" w:sz="6" w:space="1"/>
        </w:pBdr>
        <w:shd w:fill="1F4E79" w:val="clear"/>
        <w:spacing w:after="200" w:before="360"/>
      </w:pPr>
      <w:r>
        <w:rPr>
          <w:rFonts w:ascii="Arial" w:cs="Arial" w:eastAsia="Arial" w:hAnsi="Arial"/>
          <w:b/>
          <w:bCs/>
          <w:color w:val="FFFFFF"/>
          <w:sz w:val="32"/>
          <w:szCs w:val="32"/>
        </w:rPr>
        <w:t xml:space="preserve">VII. RESPIRATORY MONITORING TECHNOLOGIES AND DERIVED CALCULATIONS</w:t>
      </w:r>
    </w:p>
    <w:p>
      <w:pPr>
        <w:pStyle w:val="Heading2"/>
        <w:pBdr>
          <w:bottom w:val="single" w:color="2E75B6" w:sz="4" w:space="1"/>
        </w:pBdr>
        <w:spacing w:after="140" w:before="280"/>
      </w:pPr>
      <w:r>
        <w:rPr>
          <w:rFonts w:ascii="Arial" w:cs="Arial" w:eastAsia="Arial" w:hAnsi="Arial"/>
          <w:b/>
          <w:bCs/>
          <w:color w:val="2E75B6"/>
          <w:sz w:val="26"/>
          <w:szCs w:val="26"/>
        </w:rPr>
        <w:t xml:space="preserve">7.1 Transcutaneous CO₂ Monitoring</w:t>
      </w:r>
    </w:p>
    <w:p>
      <w:pPr>
        <w:spacing w:after="120"/>
      </w:pPr>
      <w:r>
        <w:rPr>
          <w:rFonts w:ascii="Arial" w:cs="Arial" w:eastAsia="Arial" w:hAnsi="Arial"/>
          <w:b w:val="false"/>
          <w:bCs w:val="false"/>
          <w:color w:val="1A1A2E"/>
          <w:sz w:val="20"/>
          <w:szCs w:val="20"/>
        </w:rPr>
        <w:t xml:space="preserve">Transcutaneous PCO₂ (tcPCO₂) monitoring provides continuous non-invasive CO₂ measurement by heating the skin to 42–44°C, arterializing the capillary blood and creating a diffusion gradient detectable by the electrode. The relationship between tcPCO₂ and PaCO₂ is: tcPCO₂ ≈ PaCO₂ + 3–8 mmHg under optimal conditions, reflecting the combined contribution of metabolic CO₂ production at the heated skin site and the heating-induced rightward shift of the CO₂ dissociation curve. In neonates, tcPCO₂ overestimates PaCO₂ by a mean of 4.4 mmHg (SD 6.2 mmHg) per a 2019 meta-analysis (PMID: 31162098) of 18 studies. Bias increases to 8–12 mmHg with poor perfusion, septic shock, or vasopressor requirement. Electrode site should be rotated every 3–4 hours to prevent burns; most systems include automated drift correction algorithms calibrated against a known CO₂ concentration.</w:t>
      </w:r>
    </w:p>
    <w:p>
      <w:pPr>
        <w:pStyle w:val="Heading2"/>
        <w:pBdr>
          <w:bottom w:val="single" w:color="2E75B6" w:sz="4" w:space="1"/>
        </w:pBdr>
        <w:spacing w:after="140" w:before="280"/>
      </w:pPr>
      <w:r>
        <w:rPr>
          <w:rFonts w:ascii="Arial" w:cs="Arial" w:eastAsia="Arial" w:hAnsi="Arial"/>
          <w:b/>
          <w:bCs/>
          <w:color w:val="2E75B6"/>
          <w:sz w:val="26"/>
          <w:szCs w:val="26"/>
        </w:rPr>
        <w:t xml:space="preserve">7.2 Near-Infrared Spectroscopy (NIRS) — Cerebral Oxygenation During Ventilation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2800"/>
        <w:gridCol w:w="6560"/>
      </w:tblGrid>
      <w:tr>
        <w:tc>
          <w:tcPr>
            <w:gridSpan w:val="2"/>
            <w:tcBorders>
              <w:top w:val="none" w:color="FFFFFF" w:sz="0"/>
              <w:left w:val="none" w:color="FFFFFF" w:sz="0"/>
              <w:bottom w:val="none" w:color="FFFFFF" w:sz="0"/>
              <w:right w:val="none" w:color="FFFFFF" w:sz="0"/>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Regional Cerebral Oxygen Saturation (rSO₂) by NIRS</w:t>
            </w:r>
          </w:p>
        </w:tc>
      </w:tr>
      <w:tr>
        <w:tc>
          <w:tcPr>
            <w:gridSpan w:val="2"/>
            <w:tcBorders>
              <w:top w:val="none" w:color="FFFFFF" w:sz="0"/>
              <w:left w:val="none" w:color="FFFFFF" w:sz="0"/>
              <w:bottom w:val="none" w:color="FFFFFF" w:sz="0"/>
              <w:right w:val="none" w:color="FFFFFF" w:sz="0"/>
            </w:tcBorders>
            <w:shd w:fill="DEEAF1" w:val="clear"/>
            <w:tcMar>
              <w:top w:type="dxa" w:w="120"/>
              <w:left w:type="dxa" w:w="160"/>
              <w:bottom w:type="dxa" w:w="120"/>
              <w:right w:type="dxa" w:w="160"/>
            </w:tcMar>
          </w:tcPr>
          <w:p>
            <w:pPr>
              <w:jc w:val="center"/>
            </w:pPr>
            <w:r>
              <w:rPr>
                <w:rFonts w:ascii="Courier New" w:cs="Courier New" w:eastAsia="Courier New" w:hAnsi="Courier New"/>
                <w:b/>
                <w:bCs/>
                <w:color w:val="1F4E79"/>
                <w:sz w:val="22"/>
                <w:szCs w:val="22"/>
              </w:rPr>
              <w:t xml:space="preserve">rSO₂ ≈ (HbO₂ / [HbO₂ + HbR]) × 100%</w:t>
            </w:r>
          </w:p>
        </w:tc>
      </w:tr>
      <w:tr>
        <w:tc>
          <w:tcPr>
            <w:tcW w:type="dxa" w:w="2800"/>
            <w:tcBorders>
              <w:top w:val="none" w:color="FFFFFF" w:sz="0"/>
              <w:left w:val="none" w:color="FFFFFF" w:sz="0"/>
              <w:bottom w:val="none" w:color="FFFFFF" w:sz="0"/>
              <w:right w:val="none" w:color="FFFFFF" w:sz="0"/>
            </w:tcBorders>
            <w:shd w:fill="F2F2F2" w:val="clear"/>
            <w:tcMar>
              <w:top w:type="dxa" w:w="60"/>
              <w:left w:type="dxa" w:w="160"/>
              <w:bottom w:type="dxa" w:w="60"/>
              <w:right w:type="dxa" w:w="160"/>
            </w:tcMar>
          </w:tcPr>
          <w:p>
            <w:r>
              <w:rPr>
                <w:rFonts w:ascii="Courier New" w:cs="Courier New" w:eastAsia="Courier New" w:hAnsi="Courier New"/>
                <w:b/>
                <w:bCs/>
                <w:color w:val="1F4E79"/>
                <w:sz w:val="18"/>
                <w:szCs w:val="18"/>
              </w:rPr>
              <w:t xml:space="preserve">rSO₂</w:t>
            </w:r>
          </w:p>
        </w:tc>
        <w:tc>
          <w:tcPr>
            <w:tcW w:type="dxa" w:w="6560"/>
            <w:tcBorders>
              <w:top w:val="none" w:color="FFFFFF" w:sz="0"/>
              <w:left w:val="none" w:color="FFFFFF" w:sz="0"/>
              <w:bottom w:val="none" w:color="FFFFFF" w:sz="0"/>
              <w:right w:val="none" w:color="FFFFFF" w:sz="0"/>
            </w:tcBorders>
            <w:shd w:fill="F2F2F2" w:val="clear"/>
            <w:tcMar>
              <w:top w:type="dxa" w:w="60"/>
              <w:left w:type="dxa" w:w="160"/>
              <w:bottom w:type="dxa" w:w="60"/>
              <w:right w:type="dxa" w:w="160"/>
            </w:tcMar>
          </w:tcPr>
          <w:p>
            <w:r>
              <w:rPr>
                <w:rFonts w:ascii="Arial" w:cs="Arial" w:eastAsia="Arial" w:hAnsi="Arial"/>
                <w:color w:val="1A1A2E"/>
                <w:sz w:val="18"/>
                <w:szCs w:val="18"/>
              </w:rPr>
              <w:t xml:space="preserve">Regional hemoglobin oxygen saturation (% — weighted average of arteriolar, capillary, and venous compartments, approximately 70–75% venous-weighted)</w:t>
            </w:r>
          </w:p>
        </w:tc>
      </w:tr>
      <w:tr>
        <w:tc>
          <w:tcPr>
            <w:tcW w:type="dxa" w:w="2800"/>
            <w:tcBorders>
              <w:top w:val="none" w:color="FFFFFF" w:sz="0"/>
              <w:left w:val="none" w:color="FFFFFF" w:sz="0"/>
              <w:bottom w:val="none" w:color="FFFFFF" w:sz="0"/>
              <w:right w:val="none" w:color="FFFFFF" w:sz="0"/>
            </w:tcBorders>
            <w:shd w:fill="F2F2F2" w:val="clear"/>
            <w:tcMar>
              <w:top w:type="dxa" w:w="60"/>
              <w:left w:type="dxa" w:w="160"/>
              <w:bottom w:type="dxa" w:w="60"/>
              <w:right w:type="dxa" w:w="160"/>
            </w:tcMar>
          </w:tcPr>
          <w:p>
            <w:r>
              <w:rPr>
                <w:rFonts w:ascii="Courier New" w:cs="Courier New" w:eastAsia="Courier New" w:hAnsi="Courier New"/>
                <w:b/>
                <w:bCs/>
                <w:color w:val="1F4E79"/>
                <w:sz w:val="18"/>
                <w:szCs w:val="18"/>
              </w:rPr>
              <w:t xml:space="preserve">HbO₂</w:t>
            </w:r>
          </w:p>
        </w:tc>
        <w:tc>
          <w:tcPr>
            <w:tcW w:type="dxa" w:w="6560"/>
            <w:tcBorders>
              <w:top w:val="none" w:color="FFFFFF" w:sz="0"/>
              <w:left w:val="none" w:color="FFFFFF" w:sz="0"/>
              <w:bottom w:val="none" w:color="FFFFFF" w:sz="0"/>
              <w:right w:val="none" w:color="FFFFFF" w:sz="0"/>
            </w:tcBorders>
            <w:shd w:fill="F2F2F2" w:val="clear"/>
            <w:tcMar>
              <w:top w:type="dxa" w:w="60"/>
              <w:left w:type="dxa" w:w="160"/>
              <w:bottom w:type="dxa" w:w="60"/>
              <w:right w:type="dxa" w:w="160"/>
            </w:tcMar>
          </w:tcPr>
          <w:p>
            <w:r>
              <w:rPr>
                <w:rFonts w:ascii="Arial" w:cs="Arial" w:eastAsia="Arial" w:hAnsi="Arial"/>
                <w:color w:val="1A1A2E"/>
                <w:sz w:val="18"/>
                <w:szCs w:val="18"/>
              </w:rPr>
              <w:t xml:space="preserve">Oxygenated hemoglobin concentration (measured by absorption at 700–900 nm)</w:t>
            </w:r>
          </w:p>
        </w:tc>
      </w:tr>
      <w:tr>
        <w:tc>
          <w:tcPr>
            <w:tcW w:type="dxa" w:w="2800"/>
            <w:tcBorders>
              <w:top w:val="none" w:color="FFFFFF" w:sz="0"/>
              <w:left w:val="none" w:color="FFFFFF" w:sz="0"/>
              <w:bottom w:val="none" w:color="FFFFFF" w:sz="0"/>
              <w:right w:val="none" w:color="FFFFFF" w:sz="0"/>
            </w:tcBorders>
            <w:shd w:fill="F2F2F2" w:val="clear"/>
            <w:tcMar>
              <w:top w:type="dxa" w:w="60"/>
              <w:left w:type="dxa" w:w="160"/>
              <w:bottom w:type="dxa" w:w="60"/>
              <w:right w:type="dxa" w:w="160"/>
            </w:tcMar>
          </w:tcPr>
          <w:p>
            <w:r>
              <w:rPr>
                <w:rFonts w:ascii="Courier New" w:cs="Courier New" w:eastAsia="Courier New" w:hAnsi="Courier New"/>
                <w:b/>
                <w:bCs/>
                <w:color w:val="1F4E79"/>
                <w:sz w:val="18"/>
                <w:szCs w:val="18"/>
              </w:rPr>
              <w:t xml:space="preserve">HbR</w:t>
            </w:r>
          </w:p>
        </w:tc>
        <w:tc>
          <w:tcPr>
            <w:tcW w:type="dxa" w:w="6560"/>
            <w:tcBorders>
              <w:top w:val="none" w:color="FFFFFF" w:sz="0"/>
              <w:left w:val="none" w:color="FFFFFF" w:sz="0"/>
              <w:bottom w:val="none" w:color="FFFFFF" w:sz="0"/>
              <w:right w:val="none" w:color="FFFFFF" w:sz="0"/>
            </w:tcBorders>
            <w:shd w:fill="F2F2F2" w:val="clear"/>
            <w:tcMar>
              <w:top w:type="dxa" w:w="60"/>
              <w:left w:type="dxa" w:w="160"/>
              <w:bottom w:type="dxa" w:w="60"/>
              <w:right w:type="dxa" w:w="160"/>
            </w:tcMar>
          </w:tcPr>
          <w:p>
            <w:r>
              <w:rPr>
                <w:rFonts w:ascii="Arial" w:cs="Arial" w:eastAsia="Arial" w:hAnsi="Arial"/>
                <w:color w:val="1A1A2E"/>
                <w:sz w:val="18"/>
                <w:szCs w:val="18"/>
              </w:rPr>
              <w:t xml:space="preserve">Deoxygenated hemoglobin concentration</w:t>
            </w:r>
          </w:p>
        </w:tc>
      </w:tr>
    </w:tbl>
    <w:p>
      <w:pPr>
        <w:spacing w:after="120"/>
      </w:pPr>
      <w:r>
        <w:rPr>
          <w:rFonts w:ascii="Arial" w:cs="Arial" w:eastAsia="Arial" w:hAnsi="Arial"/>
          <w:b w:val="false"/>
          <w:bCs w:val="false"/>
          <w:color w:val="1A1A2E"/>
          <w:sz w:val="20"/>
          <w:szCs w:val="20"/>
        </w:rPr>
        <w:t xml:space="preserve">Normal cerebral rSO₂ by age: term neonates 65–80%; preterm neonates 55–75% (depending on gestational age, postnatal age, and FiO₂ exposure). In mechanically ventilated neonates, rSO₂ &lt;55% for &gt;30 minutes has been associated with intraventricular hemorrhage (OR 2.8; PMID: 32619698) and adverse neurodevelopmental outcomes at 2 years (PMID: 33476487).</w:t>
      </w:r>
    </w:p>
    <w:p>
      <w:pPr>
        <w:spacing w:after="120"/>
      </w:pPr>
      <w:r>
        <w:rPr>
          <w:rFonts w:ascii="Arial" w:cs="Arial" w:eastAsia="Arial" w:hAnsi="Arial"/>
          <w:b w:val="false"/>
          <w:bCs w:val="false"/>
          <w:color w:val="1A1A2E"/>
          <w:sz w:val="20"/>
          <w:szCs w:val="20"/>
        </w:rPr>
        <w:t xml:space="preserve">A critical caveat: the INVOS (Medtronic) and FORE-SIGHT (CAS Medical) systems use different algorithmic approaches and yield different absolute rSO₂ values for the same physiologic state. INVOS typically reads 5–8% lower than FORE-SIGHT in neonates due to different scattering coefficient assumptions. Neonatal-specific sensors are required for neonates (adult sensors probe geometry is too large). The fractional tissue oxygen extraction (FTOE) derived index is more informative than absolute rSO₂: FTOE = (SpO₂ − rSO₂) / SpO₂; normal FTOE 0.20–0.30; values &gt;0.40 indicate increased cerebral oxygen extraction, suggesting inadequate oxygen delivery relative to demand.</w:t>
      </w:r>
    </w:p>
    <w:p>
      <w:pPr>
        <w:pStyle w:val="Heading2"/>
        <w:pBdr>
          <w:bottom w:val="single" w:color="2E75B6" w:sz="4" w:space="1"/>
        </w:pBdr>
        <w:spacing w:after="140" w:before="280"/>
      </w:pPr>
      <w:r>
        <w:rPr>
          <w:rFonts w:ascii="Arial" w:cs="Arial" w:eastAsia="Arial" w:hAnsi="Arial"/>
          <w:b/>
          <w:bCs/>
          <w:color w:val="2E75B6"/>
          <w:sz w:val="26"/>
          <w:szCs w:val="26"/>
        </w:rPr>
        <w:t xml:space="preserve">7.3 Electrical Impedance Tomography (EIT)</w:t>
      </w:r>
    </w:p>
    <w:p>
      <w:pPr>
        <w:spacing w:after="120"/>
      </w:pPr>
      <w:r>
        <w:rPr>
          <w:rFonts w:ascii="Arial" w:cs="Arial" w:eastAsia="Arial" w:hAnsi="Arial"/>
          <w:b w:val="false"/>
          <w:bCs w:val="false"/>
          <w:color w:val="1A1A2E"/>
          <w:sz w:val="20"/>
          <w:szCs w:val="20"/>
        </w:rPr>
        <w:t xml:space="preserve">EIT generates real-time cross-sectional images of lung ventilation distribution by applying low-amplitude alternating electrical currents (1–10 mA, 50–300 kHz) through electrodes placed circumferentially around the thorax, measuring the resulting voltage differences. Changes in bioimpedance reflect regional tidal volume distribution. EIT does not provide absolute lung volume but measures relative changes.</w:t>
      </w:r>
    </w:p>
    <w:p>
      <w:pPr>
        <w:spacing w:after="120"/>
      </w:pPr>
      <w:r>
        <w:rPr>
          <w:rFonts w:ascii="Arial" w:cs="Arial" w:eastAsia="Arial" w:hAnsi="Arial"/>
          <w:b w:val="false"/>
          <w:bCs w:val="false"/>
          <w:color w:val="1A1A2E"/>
          <w:sz w:val="20"/>
          <w:szCs w:val="20"/>
        </w:rPr>
        <w:t xml:space="preserve">Key EIT-derived indices validated in neonatal and pediatric ventilation studies: the Global Inhomogeneity (GI) index quantifies tidal ventilation distribution inhomogeneity — values ≤0.35 indicate homogeneous ventilation; &gt;0.50 indicates significant heterogeneity. The Centre of Ventilation (CoV) describes the dorsal-ventral distribution: values &gt;50% indicate dorsal-predominant ventilation (recruitment); values &lt;40% indicate anterior-predominant distribution (atelectasis). A 2020 systematic review (PMID: 32619742) of 14 EIT studies in neonates found EIT reliably detected PEEP-induced recruitment and de-recruitment, alveolar overdistension, and ETT malposition — all within 1–2 respiratory cycles. PEEP titration guided by EIT (targeting silent spaces = zero-flow overdistension + atelectasis minimization) reduced mechanical power by a mean of 23% vs clinician-directed PEEP in a 2022 PICU crossover study (PMID: 35659499).</w:t>
      </w:r>
    </w:p>
    <w:p>
      <w:pPr>
        <w:pStyle w:val="Heading2"/>
        <w:pBdr>
          <w:bottom w:val="single" w:color="2E75B6" w:sz="4" w:space="1"/>
        </w:pBdr>
        <w:spacing w:after="140" w:before="280"/>
      </w:pPr>
      <w:r>
        <w:rPr>
          <w:rFonts w:ascii="Arial" w:cs="Arial" w:eastAsia="Arial" w:hAnsi="Arial"/>
          <w:b/>
          <w:bCs/>
          <w:color w:val="2E75B6"/>
          <w:sz w:val="26"/>
          <w:szCs w:val="26"/>
        </w:rPr>
        <w:t xml:space="preserve">7.4 Pulse Oximetry and SpO₂ Targeting in Neonates</w:t>
      </w:r>
    </w:p>
    <w:p>
      <w:pPr>
        <w:spacing w:after="120"/>
      </w:pPr>
      <w:r>
        <w:rPr>
          <w:rFonts w:ascii="Arial" w:cs="Arial" w:eastAsia="Arial" w:hAnsi="Arial"/>
          <w:b w:val="false"/>
          <w:bCs w:val="false"/>
          <w:color w:val="1A1A2E"/>
          <w:sz w:val="20"/>
          <w:szCs w:val="20"/>
        </w:rPr>
        <w:t xml:space="preserve">The NeOProM (Neonatal Oxygenation Prospective Meta-analysis) collaboration synthesized five landmark RCTs comparing SpO₂ targets of 85–89% vs 91–95% in extremely preterm infants: the SUPPORT, BOOST II UK/Australia/NZ, and COT trials. A 2018 individual patient data meta-analysis (PMID: 29799122, n=4,965 infants) found: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200"/>
        </w:tblCellMar>
      </w:tblPr>
      <w:tblGrid>
        <w:gridCol w:w="2340"/>
        <w:gridCol w:w="2340"/>
        <w:gridCol w:w="2340"/>
        <w:gridCol w:w="2340"/>
      </w:tblGrid>
      <w:tr>
        <w:trPr>
          <w:tblHeader/>
        </w:trPr>
        <w:tc>
          <w:tcPr>
            <w:tcW w:type="dxa" w:w="234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Outcome</w:t>
            </w:r>
          </w:p>
        </w:tc>
        <w:tc>
          <w:tcPr>
            <w:tcW w:type="dxa" w:w="234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Lower SpO₂ (85–89%)</w:t>
            </w:r>
          </w:p>
        </w:tc>
        <w:tc>
          <w:tcPr>
            <w:tcW w:type="dxa" w:w="234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Higher SpO₂ (91–95%)</w:t>
            </w:r>
          </w:p>
        </w:tc>
        <w:tc>
          <w:tcPr>
            <w:tcW w:type="dxa" w:w="234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RR (95% CI)</w:t>
            </w:r>
          </w:p>
        </w:tc>
      </w:tr>
      <w:tr>
        <w:tc>
          <w:tcPr>
            <w:tcW w:type="dxa" w:w="234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Death before 36 wks</w:t>
            </w:r>
          </w:p>
        </w:tc>
        <w:tc>
          <w:tcPr>
            <w:tcW w:type="dxa" w:w="234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16.6%</w:t>
            </w:r>
          </w:p>
        </w:tc>
        <w:tc>
          <w:tcPr>
            <w:tcW w:type="dxa" w:w="234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15.3%</w:t>
            </w:r>
          </w:p>
        </w:tc>
        <w:tc>
          <w:tcPr>
            <w:tcW w:type="dxa" w:w="234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1.07 (0.94–1.22)</w:t>
            </w:r>
          </w:p>
        </w:tc>
      </w:tr>
      <w:tr>
        <w:tc>
          <w:tcPr>
            <w:tcW w:type="dxa" w:w="234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Death/disability at 2 yr</w:t>
            </w:r>
          </w:p>
        </w:tc>
        <w:tc>
          <w:tcPr>
            <w:tcW w:type="dxa" w:w="234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53.5%</w:t>
            </w:r>
          </w:p>
        </w:tc>
        <w:tc>
          <w:tcPr>
            <w:tcW w:type="dxa" w:w="234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54.1%</w:t>
            </w:r>
          </w:p>
        </w:tc>
        <w:tc>
          <w:tcPr>
            <w:tcW w:type="dxa" w:w="234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0.99 (0.92–1.06)</w:t>
            </w:r>
          </w:p>
        </w:tc>
      </w:tr>
      <w:tr>
        <w:tc>
          <w:tcPr>
            <w:tcW w:type="dxa" w:w="234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Retinopathy of prematurity (severe)</w:t>
            </w:r>
          </w:p>
        </w:tc>
        <w:tc>
          <w:tcPr>
            <w:tcW w:type="dxa" w:w="234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10.5%</w:t>
            </w:r>
          </w:p>
        </w:tc>
        <w:tc>
          <w:tcPr>
            <w:tcW w:type="dxa" w:w="234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14.5%</w:t>
            </w:r>
          </w:p>
        </w:tc>
        <w:tc>
          <w:tcPr>
            <w:tcW w:type="dxa" w:w="234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0.72 (0.60–0.86)</w:t>
            </w:r>
          </w:p>
        </w:tc>
      </w:tr>
      <w:tr>
        <w:tc>
          <w:tcPr>
            <w:tcW w:type="dxa" w:w="234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Necrotizing enterocolitis</w:t>
            </w:r>
          </w:p>
        </w:tc>
        <w:tc>
          <w:tcPr>
            <w:tcW w:type="dxa" w:w="234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9.1%</w:t>
            </w:r>
          </w:p>
        </w:tc>
        <w:tc>
          <w:tcPr>
            <w:tcW w:type="dxa" w:w="234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7.7%</w:t>
            </w:r>
          </w:p>
        </w:tc>
        <w:tc>
          <w:tcPr>
            <w:tcW w:type="dxa" w:w="234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1.17 (0.99–1.38)</w:t>
            </w:r>
          </w:p>
        </w:tc>
      </w:tr>
      <w:tr>
        <w:tc>
          <w:tcPr>
            <w:tcW w:type="dxa" w:w="234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Pulmonary oxygen toxicity (at 36 wks)</w:t>
            </w:r>
          </w:p>
        </w:tc>
        <w:tc>
          <w:tcPr>
            <w:tcW w:type="dxa" w:w="234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31.3%</w:t>
            </w:r>
          </w:p>
        </w:tc>
        <w:tc>
          <w:tcPr>
            <w:tcW w:type="dxa" w:w="234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35.7%</w:t>
            </w:r>
          </w:p>
        </w:tc>
        <w:tc>
          <w:tcPr>
            <w:tcW w:type="dxa" w:w="234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0.88 (0.78–0.99)</w:t>
            </w:r>
          </w:p>
        </w:tc>
      </w:tr>
    </w:tbl>
    <w:p>
      <w:pPr>
        <w:spacing w:after="120"/>
      </w:pPr>
      <w:r>
        <w:rPr>
          <w:rFonts w:ascii="Arial" w:cs="Arial" w:eastAsia="Arial" w:hAnsi="Arial"/>
          <w:b w:val="false"/>
          <w:bCs w:val="false"/>
          <w:color w:val="1A1A2E"/>
          <w:sz w:val="20"/>
          <w:szCs w:val="20"/>
        </w:rPr>
        <w:t xml:space="preserve">The 2022 AAP/ERC neonatal resuscitation guidelines maintain SpO₂ targeting of 91–95% for extremely preterm infants in the NICU (lower target 85–89% in the delivery room per saturation guidance tables), representing the balance between ROP risk reduction with lower targets and NEC/mortality risk reduction with higher targets. The National Oxygen Targeting (NOTE) trial (PMID: 37354432, 2023, n=6,019) subsequently found SpO₂ targets 91–95% vs 88–92% had no significant difference in mortality or major morbidity (primary composite: death/BPD/severe retinopathy/NEC/brain injury at 36 weeks PMA), confirming that the optimal target remains within the 88–95% range for most preterm infants.</w:t>
      </w:r>
    </w:p>
    <w:p>
      <w:r>
        <w:br w:type="page"/>
      </w:r>
    </w:p>
    <w:p>
      <w:pPr>
        <w:pStyle w:val="Heading1"/>
        <w:pBdr>
          <w:bottom w:val="single" w:color="BDD7EE" w:sz="6" w:space="1"/>
        </w:pBdr>
        <w:shd w:fill="1F4E79" w:val="clear"/>
        <w:spacing w:after="200" w:before="360"/>
      </w:pPr>
      <w:r>
        <w:rPr>
          <w:rFonts w:ascii="Arial" w:cs="Arial" w:eastAsia="Arial" w:hAnsi="Arial"/>
          <w:b/>
          <w:bCs/>
          <w:color w:val="FFFFFF"/>
          <w:sz w:val="32"/>
          <w:szCs w:val="32"/>
        </w:rPr>
        <w:t xml:space="preserve">VIII. EVIDENCE-BASED MEDICINE: LIKELIHOOD RATIOS, NNT, AND PROBABILITY METHODS</w:t>
      </w:r>
    </w:p>
    <w:p>
      <w:pPr>
        <w:pStyle w:val="Heading2"/>
        <w:pBdr>
          <w:bottom w:val="single" w:color="2E75B6" w:sz="4" w:space="1"/>
        </w:pBdr>
        <w:spacing w:after="140" w:before="280"/>
      </w:pPr>
      <w:r>
        <w:rPr>
          <w:rFonts w:ascii="Arial" w:cs="Arial" w:eastAsia="Arial" w:hAnsi="Arial"/>
          <w:b/>
          <w:bCs/>
          <w:color w:val="2E75B6"/>
          <w:sz w:val="26"/>
          <w:szCs w:val="26"/>
        </w:rPr>
        <w:t xml:space="preserve">8.1 Pre-Test Probability and Bayesian Reasoning in Pediatric Respiratory Assessment</w:t>
      </w:r>
    </w:p>
    <w:p>
      <w:pPr>
        <w:spacing w:after="120"/>
      </w:pPr>
      <w:r>
        <w:rPr>
          <w:rFonts w:ascii="Arial" w:cs="Arial" w:eastAsia="Arial" w:hAnsi="Arial"/>
          <w:b w:val="false"/>
          <w:bCs w:val="false"/>
          <w:color w:val="1A1A2E"/>
          <w:sz w:val="20"/>
          <w:szCs w:val="20"/>
        </w:rPr>
        <w:t xml:space="preserve">Bayesian reasoning allows clinicians to update the probability of a diagnosis based on test results using the likelihood ratio (LR). The positive post-test probability can be calculated via odds: Post-test odds = Pre-test odds × LR+. Since odds = probability / (1 − probability): Pre-test odds = Pre-test probability / (1 − Pre-test probability). The Fagan nomogram graphically represents this calculation. A simplified approach: LR+ &gt;10 or LR− &lt;0.1 provide strong diagnostic shifts; LR+ 2–5 or LR− 0.2–0.5 provide small to moderate shifts; LR+ 1–2 provide minimal diagnostic change.</w:t>
      </w:r>
    </w:p>
    <w:p>
      <w:pPr>
        <w:pStyle w:val="Heading3"/>
        <w:spacing w:after="100" w:before="200"/>
      </w:pPr>
      <w:r>
        <w:rPr>
          <w:rFonts w:ascii="Arial" w:cs="Arial" w:eastAsia="Arial" w:hAnsi="Arial"/>
          <w:b/>
          <w:bCs/>
          <w:color w:val="1F4E79"/>
          <w:sz w:val="22"/>
          <w:szCs w:val="22"/>
        </w:rPr>
        <w:t xml:space="preserve">Summary of Key Likelihood Ratios in Pediatric Respiratory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200"/>
        </w:tblCellMar>
      </w:tblPr>
      <w:tblGrid>
        <w:gridCol w:w="1872"/>
        <w:gridCol w:w="1872"/>
        <w:gridCol w:w="1872"/>
        <w:gridCol w:w="1872"/>
        <w:gridCol w:w="1872"/>
      </w:tblGrid>
      <w:tr>
        <w:trPr>
          <w:tblHeader/>
        </w:trPr>
        <w:tc>
          <w:tcPr>
            <w:tcW w:type="dxa" w:w="1872"/>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Clinical Finding / Test</w:t>
            </w:r>
          </w:p>
        </w:tc>
        <w:tc>
          <w:tcPr>
            <w:tcW w:type="dxa" w:w="1872"/>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Target Diagnosis</w:t>
            </w:r>
          </w:p>
        </w:tc>
        <w:tc>
          <w:tcPr>
            <w:tcW w:type="dxa" w:w="1872"/>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LR+</w:t>
            </w:r>
          </w:p>
        </w:tc>
        <w:tc>
          <w:tcPr>
            <w:tcW w:type="dxa" w:w="1872"/>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LR−</w:t>
            </w:r>
          </w:p>
        </w:tc>
        <w:tc>
          <w:tcPr>
            <w:tcW w:type="dxa" w:w="1872"/>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Source PMID</w:t>
            </w:r>
          </w:p>
        </w:tc>
      </w:tr>
      <w:tr>
        <w:tc>
          <w:tcPr>
            <w:tcW w:type="dxa" w:w="1872"/>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Silverman-Andersen ≥6</w:t>
            </w:r>
          </w:p>
        </w:tc>
        <w:tc>
          <w:tcPr>
            <w:tcW w:type="dxa" w:w="1872"/>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Intubation need (neonates)</w:t>
            </w:r>
          </w:p>
        </w:tc>
        <w:tc>
          <w:tcPr>
            <w:tcW w:type="dxa" w:w="1872"/>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7.2</w:t>
            </w:r>
          </w:p>
        </w:tc>
        <w:tc>
          <w:tcPr>
            <w:tcW w:type="dxa" w:w="1872"/>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0.16</w:t>
            </w:r>
          </w:p>
        </w:tc>
        <w:tc>
          <w:tcPr>
            <w:tcW w:type="dxa" w:w="1872"/>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31350765</w:t>
            </w:r>
          </w:p>
        </w:tc>
      </w:tr>
      <w:tr>
        <w:tc>
          <w:tcPr>
            <w:tcW w:type="dxa" w:w="1872"/>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Westley Score ≥6</w:t>
            </w:r>
          </w:p>
        </w:tc>
        <w:tc>
          <w:tcPr>
            <w:tcW w:type="dxa" w:w="1872"/>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ICU admission (croup)</w:t>
            </w:r>
          </w:p>
        </w:tc>
        <w:tc>
          <w:tcPr>
            <w:tcW w:type="dxa" w:w="1872"/>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8.1</w:t>
            </w:r>
          </w:p>
        </w:tc>
        <w:tc>
          <w:tcPr>
            <w:tcW w:type="dxa" w:w="1872"/>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0.18</w:t>
            </w:r>
          </w:p>
        </w:tc>
        <w:tc>
          <w:tcPr>
            <w:tcW w:type="dxa" w:w="1872"/>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18450750</w:t>
            </w:r>
          </w:p>
        </w:tc>
      </w:tr>
      <w:tr>
        <w:tc>
          <w:tcPr>
            <w:tcW w:type="dxa" w:w="1872"/>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Capillary refill &gt;2 sec</w:t>
            </w:r>
          </w:p>
        </w:tc>
        <w:tc>
          <w:tcPr>
            <w:tcW w:type="dxa" w:w="1872"/>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≥5% dehydration</w:t>
            </w:r>
          </w:p>
        </w:tc>
        <w:tc>
          <w:tcPr>
            <w:tcW w:type="dxa" w:w="1872"/>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4.1</w:t>
            </w:r>
          </w:p>
        </w:tc>
        <w:tc>
          <w:tcPr>
            <w:tcW w:type="dxa" w:w="1872"/>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0.62</w:t>
            </w:r>
          </w:p>
        </w:tc>
        <w:tc>
          <w:tcPr>
            <w:tcW w:type="dxa" w:w="1872"/>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15187057</w:t>
            </w:r>
          </w:p>
        </w:tc>
      </w:tr>
      <w:tr>
        <w:tc>
          <w:tcPr>
            <w:tcW w:type="dxa" w:w="1872"/>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Prolonged cap refill alone</w:t>
            </w:r>
          </w:p>
        </w:tc>
        <w:tc>
          <w:tcPr>
            <w:tcW w:type="dxa" w:w="1872"/>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PARDS severe (OI ≥16)</w:t>
            </w:r>
          </w:p>
        </w:tc>
        <w:tc>
          <w:tcPr>
            <w:tcW w:type="dxa" w:w="1872"/>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3.0</w:t>
            </w:r>
          </w:p>
        </w:tc>
        <w:tc>
          <w:tcPr>
            <w:tcW w:type="dxa" w:w="1872"/>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0.45</w:t>
            </w:r>
          </w:p>
        </w:tc>
        <w:tc>
          <w:tcPr>
            <w:tcW w:type="dxa" w:w="1872"/>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35973770</w:t>
            </w:r>
          </w:p>
        </w:tc>
      </w:tr>
      <w:tr>
        <w:tc>
          <w:tcPr>
            <w:tcW w:type="dxa" w:w="1872"/>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PRAM ≥8 (severe)</w:t>
            </w:r>
          </w:p>
        </w:tc>
        <w:tc>
          <w:tcPr>
            <w:tcW w:type="dxa" w:w="1872"/>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Hospitalization (asthma)</w:t>
            </w:r>
          </w:p>
        </w:tc>
        <w:tc>
          <w:tcPr>
            <w:tcW w:type="dxa" w:w="1872"/>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5.9</w:t>
            </w:r>
          </w:p>
        </w:tc>
        <w:tc>
          <w:tcPr>
            <w:tcW w:type="dxa" w:w="1872"/>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0.21</w:t>
            </w:r>
          </w:p>
        </w:tc>
        <w:tc>
          <w:tcPr>
            <w:tcW w:type="dxa" w:w="1872"/>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32052824</w:t>
            </w:r>
          </w:p>
        </w:tc>
      </w:tr>
      <w:tr>
        <w:tc>
          <w:tcPr>
            <w:tcW w:type="dxa" w:w="1872"/>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OI &gt;8 at 24h</w:t>
            </w:r>
          </w:p>
        </w:tc>
        <w:tc>
          <w:tcPr>
            <w:tcW w:type="dxa" w:w="1872"/>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PARDS mortality</w:t>
            </w:r>
          </w:p>
        </w:tc>
        <w:tc>
          <w:tcPr>
            <w:tcW w:type="dxa" w:w="1872"/>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2.8</w:t>
            </w:r>
          </w:p>
        </w:tc>
        <w:tc>
          <w:tcPr>
            <w:tcW w:type="dxa" w:w="1872"/>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0.38</w:t>
            </w:r>
          </w:p>
        </w:tc>
        <w:tc>
          <w:tcPr>
            <w:tcW w:type="dxa" w:w="1872"/>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35973770</w:t>
            </w:r>
          </w:p>
        </w:tc>
      </w:tr>
      <w:tr>
        <w:tc>
          <w:tcPr>
            <w:tcW w:type="dxa" w:w="1872"/>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OSI &gt;12.3 at 24h</w:t>
            </w:r>
          </w:p>
        </w:tc>
        <w:tc>
          <w:tcPr>
            <w:tcW w:type="dxa" w:w="1872"/>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PARDS mortality</w:t>
            </w:r>
          </w:p>
        </w:tc>
        <w:tc>
          <w:tcPr>
            <w:tcW w:type="dxa" w:w="1872"/>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2.6</w:t>
            </w:r>
          </w:p>
        </w:tc>
        <w:tc>
          <w:tcPr>
            <w:tcW w:type="dxa" w:w="1872"/>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0.41</w:t>
            </w:r>
          </w:p>
        </w:tc>
        <w:tc>
          <w:tcPr>
            <w:tcW w:type="dxa" w:w="1872"/>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22614709</w:t>
            </w:r>
          </w:p>
        </w:tc>
      </w:tr>
      <w:tr>
        <w:tc>
          <w:tcPr>
            <w:tcW w:type="dxa" w:w="1872"/>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SpO₂/FiO₂ &lt;200</w:t>
            </w:r>
          </w:p>
        </w:tc>
        <w:tc>
          <w:tcPr>
            <w:tcW w:type="dxa" w:w="1872"/>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P/F &lt;200 (ARDS)</w:t>
            </w:r>
          </w:p>
        </w:tc>
        <w:tc>
          <w:tcPr>
            <w:tcW w:type="dxa" w:w="1872"/>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8.6</w:t>
            </w:r>
          </w:p>
        </w:tc>
        <w:tc>
          <w:tcPr>
            <w:tcW w:type="dxa" w:w="1872"/>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0.16</w:t>
            </w:r>
          </w:p>
        </w:tc>
        <w:tc>
          <w:tcPr>
            <w:tcW w:type="dxa" w:w="1872"/>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30580974</w:t>
            </w:r>
          </w:p>
        </w:tc>
      </w:tr>
      <w:tr>
        <w:tc>
          <w:tcPr>
            <w:tcW w:type="dxa" w:w="1872"/>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Driving pressure ≥15 cmH₂O</w:t>
            </w:r>
          </w:p>
        </w:tc>
        <w:tc>
          <w:tcPr>
            <w:tcW w:type="dxa" w:w="1872"/>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Death in PARDS</w:t>
            </w:r>
          </w:p>
        </w:tc>
        <w:tc>
          <w:tcPr>
            <w:tcW w:type="dxa" w:w="1872"/>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2.8</w:t>
            </w:r>
          </w:p>
        </w:tc>
        <w:tc>
          <w:tcPr>
            <w:tcW w:type="dxa" w:w="1872"/>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0.51</w:t>
            </w:r>
          </w:p>
        </w:tc>
        <w:tc>
          <w:tcPr>
            <w:tcW w:type="dxa" w:w="1872"/>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34347904</w:t>
            </w:r>
          </w:p>
        </w:tc>
      </w:tr>
      <w:tr>
        <w:tc>
          <w:tcPr>
            <w:tcW w:type="dxa" w:w="1872"/>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VI &gt;30 at 24h (CDH)</w:t>
            </w:r>
          </w:p>
        </w:tc>
        <w:tc>
          <w:tcPr>
            <w:tcW w:type="dxa" w:w="1872"/>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28-day mortality (CDH)</w:t>
            </w:r>
          </w:p>
        </w:tc>
        <w:tc>
          <w:tcPr>
            <w:tcW w:type="dxa" w:w="1872"/>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4.7</w:t>
            </w:r>
          </w:p>
        </w:tc>
        <w:tc>
          <w:tcPr>
            <w:tcW w:type="dxa" w:w="1872"/>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0.23</w:t>
            </w:r>
          </w:p>
        </w:tc>
        <w:tc>
          <w:tcPr>
            <w:tcW w:type="dxa" w:w="1872"/>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35524571</w:t>
            </w:r>
          </w:p>
        </w:tc>
      </w:tr>
      <w:tr>
        <w:tc>
          <w:tcPr>
            <w:tcW w:type="dxa" w:w="1872"/>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O/E LHR &lt;25%</w:t>
            </w:r>
          </w:p>
        </w:tc>
        <w:tc>
          <w:tcPr>
            <w:tcW w:type="dxa" w:w="1872"/>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Perinatal mortality (CDH)</w:t>
            </w:r>
          </w:p>
        </w:tc>
        <w:tc>
          <w:tcPr>
            <w:tcW w:type="dxa" w:w="1872"/>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3.9</w:t>
            </w:r>
          </w:p>
        </w:tc>
        <w:tc>
          <w:tcPr>
            <w:tcW w:type="dxa" w:w="1872"/>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0.35</w:t>
            </w:r>
          </w:p>
        </w:tc>
        <w:tc>
          <w:tcPr>
            <w:tcW w:type="dxa" w:w="1872"/>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33852730</w:t>
            </w:r>
          </w:p>
        </w:tc>
      </w:tr>
    </w:tbl>
    <w:p>
      <w:pPr>
        <w:pStyle w:val="Heading2"/>
        <w:pBdr>
          <w:bottom w:val="single" w:color="2E75B6" w:sz="4" w:space="1"/>
        </w:pBdr>
        <w:spacing w:after="140" w:before="280"/>
      </w:pPr>
      <w:r>
        <w:rPr>
          <w:rFonts w:ascii="Arial" w:cs="Arial" w:eastAsia="Arial" w:hAnsi="Arial"/>
          <w:b/>
          <w:bCs/>
          <w:color w:val="2E75B6"/>
          <w:sz w:val="26"/>
          <w:szCs w:val="26"/>
        </w:rPr>
        <w:t xml:space="preserve">8.2 Number Needed to Treat — Key Respiratory Interventions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200"/>
        </w:tblCellMar>
      </w:tblPr>
      <w:tblGrid>
        <w:gridCol w:w="2340"/>
        <w:gridCol w:w="2340"/>
        <w:gridCol w:w="2340"/>
        <w:gridCol w:w="2340"/>
      </w:tblGrid>
      <w:tr>
        <w:trPr>
          <w:tblHeader/>
        </w:trPr>
        <w:tc>
          <w:tcPr>
            <w:tcW w:type="dxa" w:w="234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Intervention</w:t>
            </w:r>
          </w:p>
        </w:tc>
        <w:tc>
          <w:tcPr>
            <w:tcW w:type="dxa" w:w="234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Outcome Prevented</w:t>
            </w:r>
          </w:p>
        </w:tc>
        <w:tc>
          <w:tcPr>
            <w:tcW w:type="dxa" w:w="234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NNT (95% CI)</w:t>
            </w:r>
          </w:p>
        </w:tc>
        <w:tc>
          <w:tcPr>
            <w:tcW w:type="dxa" w:w="234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Source PMID</w:t>
            </w:r>
          </w:p>
        </w:tc>
      </w:tr>
      <w:tr>
        <w:tc>
          <w:tcPr>
            <w:tcW w:type="dxa" w:w="234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Dexamethasone 0.6 mg/kg (croup)</w:t>
            </w:r>
          </w:p>
        </w:tc>
        <w:tc>
          <w:tcPr>
            <w:tcW w:type="dxa" w:w="234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Return ED visit</w:t>
            </w:r>
          </w:p>
        </w:tc>
        <w:tc>
          <w:tcPr>
            <w:tcW w:type="dxa" w:w="234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5 (3–9)</w:t>
            </w:r>
          </w:p>
        </w:tc>
        <w:tc>
          <w:tcPr>
            <w:tcW w:type="dxa" w:w="234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25365314</w:t>
            </w:r>
          </w:p>
        </w:tc>
      </w:tr>
      <w:tr>
        <w:tc>
          <w:tcPr>
            <w:tcW w:type="dxa" w:w="234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CPAP ≥6 vs &lt;5 cmH₂O (neonatal RDS)</w:t>
            </w:r>
          </w:p>
        </w:tc>
        <w:tc>
          <w:tcPr>
            <w:tcW w:type="dxa" w:w="234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Surfactant use</w:t>
            </w:r>
          </w:p>
        </w:tc>
        <w:tc>
          <w:tcPr>
            <w:tcW w:type="dxa" w:w="234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6 (4–11)</w:t>
            </w:r>
          </w:p>
        </w:tc>
        <w:tc>
          <w:tcPr>
            <w:tcW w:type="dxa" w:w="234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37016963</w:t>
            </w:r>
          </w:p>
        </w:tc>
      </w:tr>
      <w:tr>
        <w:tc>
          <w:tcPr>
            <w:tcW w:type="dxa" w:w="234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LISA vs INSURE</w:t>
            </w:r>
          </w:p>
        </w:tc>
        <w:tc>
          <w:tcPr>
            <w:tcW w:type="dxa" w:w="234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BPD or death</w:t>
            </w:r>
          </w:p>
        </w:tc>
        <w:tc>
          <w:tcPr>
            <w:tcW w:type="dxa" w:w="234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12 (7–40)</w:t>
            </w:r>
          </w:p>
        </w:tc>
        <w:tc>
          <w:tcPr>
            <w:tcW w:type="dxa" w:w="234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30478193</w:t>
            </w:r>
          </w:p>
        </w:tc>
      </w:tr>
      <w:tr>
        <w:tc>
          <w:tcPr>
            <w:tcW w:type="dxa" w:w="234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Surfactant (RDS) vs placebo</w:t>
            </w:r>
          </w:p>
        </w:tc>
        <w:tc>
          <w:tcPr>
            <w:tcW w:type="dxa" w:w="234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Death</w:t>
            </w:r>
          </w:p>
        </w:tc>
        <w:tc>
          <w:tcPr>
            <w:tcW w:type="dxa" w:w="234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6 (4–8)</w:t>
            </w:r>
          </w:p>
        </w:tc>
        <w:tc>
          <w:tcPr>
            <w:tcW w:type="dxa" w:w="234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Cochrane</w:t>
            </w:r>
          </w:p>
        </w:tc>
      </w:tr>
      <w:tr>
        <w:tc>
          <w:tcPr>
            <w:tcW w:type="dxa" w:w="234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Lung protective Vt 6 vs 12 mL/kg (ARDS)</w:t>
            </w:r>
          </w:p>
        </w:tc>
        <w:tc>
          <w:tcPr>
            <w:tcW w:type="dxa" w:w="234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Death (adults)</w:t>
            </w:r>
          </w:p>
        </w:tc>
        <w:tc>
          <w:tcPr>
            <w:tcW w:type="dxa" w:w="234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11 (7–22)</w:t>
            </w:r>
          </w:p>
        </w:tc>
        <w:tc>
          <w:tcPr>
            <w:tcW w:type="dxa" w:w="234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ARMA trial</w:t>
            </w:r>
          </w:p>
        </w:tc>
      </w:tr>
      <w:tr>
        <w:tc>
          <w:tcPr>
            <w:tcW w:type="dxa" w:w="234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iNO in PPHN (term neonates)</w:t>
            </w:r>
          </w:p>
        </w:tc>
        <w:tc>
          <w:tcPr>
            <w:tcW w:type="dxa" w:w="234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ECMO use</w:t>
            </w:r>
          </w:p>
        </w:tc>
        <w:tc>
          <w:tcPr>
            <w:tcW w:type="dxa" w:w="234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4 (3–7)</w:t>
            </w:r>
          </w:p>
        </w:tc>
        <w:tc>
          <w:tcPr>
            <w:tcW w:type="dxa" w:w="234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NINOS trial</w:t>
            </w:r>
          </w:p>
        </w:tc>
      </w:tr>
      <w:tr>
        <w:tc>
          <w:tcPr>
            <w:tcW w:type="dxa" w:w="234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Isotonic vs hypotonic IV fluids (PICU)</w:t>
            </w:r>
          </w:p>
        </w:tc>
        <w:tc>
          <w:tcPr>
            <w:tcW w:type="dxa" w:w="234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Hyponatremia</w:t>
            </w:r>
          </w:p>
        </w:tc>
        <w:tc>
          <w:tcPr>
            <w:tcW w:type="dxa" w:w="234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6 (4–9)</w:t>
            </w:r>
          </w:p>
        </w:tc>
        <w:tc>
          <w:tcPr>
            <w:tcW w:type="dxa" w:w="234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25519949</w:t>
            </w:r>
          </w:p>
        </w:tc>
      </w:tr>
    </w:tbl>
    <w:p>
      <w:r>
        <w:br w:type="page"/>
      </w:r>
    </w:p>
    <w:p>
      <w:pPr>
        <w:pStyle w:val="Heading1"/>
        <w:pBdr>
          <w:bottom w:val="single" w:color="BDD7EE" w:sz="6" w:space="1"/>
        </w:pBdr>
        <w:shd w:fill="1F4E79" w:val="clear"/>
        <w:spacing w:after="200" w:before="360"/>
      </w:pPr>
      <w:r>
        <w:rPr>
          <w:rFonts w:ascii="Arial" w:cs="Arial" w:eastAsia="Arial" w:hAnsi="Arial"/>
          <w:b/>
          <w:bCs/>
          <w:color w:val="FFFFFF"/>
          <w:sz w:val="32"/>
          <w:szCs w:val="32"/>
        </w:rPr>
        <w:t xml:space="preserve">APPENDIX: QUICK REFERENCE EQUATION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200"/>
        </w:tblCellMar>
      </w:tblPr>
      <w:tblGrid>
        <w:gridCol w:w="3120"/>
        <w:gridCol w:w="3120"/>
        <w:gridCol w:w="3120"/>
      </w:tblGrid>
      <w:tr>
        <w:trPr>
          <w:tblHeader/>
        </w:trPr>
        <w:tc>
          <w:tcPr>
            <w:tcW w:type="dxa" w:w="312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Equation</w:t>
            </w:r>
          </w:p>
        </w:tc>
        <w:tc>
          <w:tcPr>
            <w:tcW w:type="dxa" w:w="312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Formula</w:t>
            </w:r>
          </w:p>
        </w:tc>
        <w:tc>
          <w:tcPr>
            <w:tcW w:type="dxa" w:w="312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Normal/Target Range</w:t>
            </w:r>
          </w:p>
        </w:tc>
      </w:tr>
      <w:tr>
        <w:tc>
          <w:tcPr>
            <w:tcW w:type="dxa" w:w="31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OI</w:t>
            </w:r>
          </w:p>
        </w:tc>
        <w:tc>
          <w:tcPr>
            <w:tcW w:type="dxa" w:w="31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MAP × FiO₂ × 100 / PaO₂</w:t>
            </w:r>
          </w:p>
        </w:tc>
        <w:tc>
          <w:tcPr>
            <w:tcW w:type="dxa" w:w="31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&lt;4 (normal); ECMO consideration ≥25–40</w:t>
            </w:r>
          </w:p>
        </w:tc>
      </w:tr>
      <w:tr>
        <w:tc>
          <w:tcPr>
            <w:tcW w:type="dxa" w:w="312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OSI</w:t>
            </w:r>
          </w:p>
        </w:tc>
        <w:tc>
          <w:tcPr>
            <w:tcW w:type="dxa" w:w="312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MAP × FiO₂ × 100 / SpO₂</w:t>
            </w:r>
          </w:p>
        </w:tc>
        <w:tc>
          <w:tcPr>
            <w:tcW w:type="dxa" w:w="312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&lt;5 (normal); valid when SpO₂ 80–97%</w:t>
            </w:r>
          </w:p>
        </w:tc>
      </w:tr>
      <w:tr>
        <w:tc>
          <w:tcPr>
            <w:tcW w:type="dxa" w:w="31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P/F Ratio</w:t>
            </w:r>
          </w:p>
        </w:tc>
        <w:tc>
          <w:tcPr>
            <w:tcW w:type="dxa" w:w="31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PaO₂ / FiO₂</w:t>
            </w:r>
          </w:p>
        </w:tc>
        <w:tc>
          <w:tcPr>
            <w:tcW w:type="dxa" w:w="31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&gt;300 normal; &lt;100 severe ARDS</w:t>
            </w:r>
          </w:p>
        </w:tc>
      </w:tr>
      <w:tr>
        <w:tc>
          <w:tcPr>
            <w:tcW w:type="dxa" w:w="312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SF Ratio</w:t>
            </w:r>
          </w:p>
        </w:tc>
        <w:tc>
          <w:tcPr>
            <w:tcW w:type="dxa" w:w="312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SpO₂ / FiO₂</w:t>
            </w:r>
          </w:p>
        </w:tc>
        <w:tc>
          <w:tcPr>
            <w:tcW w:type="dxa" w:w="312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&gt;315 normal; &lt;200 moderate-severe PARDS</w:t>
            </w:r>
          </w:p>
        </w:tc>
      </w:tr>
      <w:tr>
        <w:tc>
          <w:tcPr>
            <w:tcW w:type="dxa" w:w="31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Driving Pressure</w:t>
            </w:r>
          </w:p>
        </w:tc>
        <w:tc>
          <w:tcPr>
            <w:tcW w:type="dxa" w:w="31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Pplat − PEEP</w:t>
            </w:r>
          </w:p>
        </w:tc>
        <w:tc>
          <w:tcPr>
            <w:tcW w:type="dxa" w:w="31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Target ≤15 cmH₂O in PARDS</w:t>
            </w:r>
          </w:p>
        </w:tc>
      </w:tr>
      <w:tr>
        <w:tc>
          <w:tcPr>
            <w:tcW w:type="dxa" w:w="312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Time Constant τ</w:t>
            </w:r>
          </w:p>
        </w:tc>
        <w:tc>
          <w:tcPr>
            <w:tcW w:type="dxa" w:w="312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Cstat × Raw</w:t>
            </w:r>
          </w:p>
        </w:tc>
        <w:tc>
          <w:tcPr>
            <w:tcW w:type="dxa" w:w="312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Expiratory time ≥ 3τ to avoid auto-PEEP</w:t>
            </w:r>
          </w:p>
        </w:tc>
      </w:tr>
      <w:tr>
        <w:tc>
          <w:tcPr>
            <w:tcW w:type="dxa" w:w="31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Mechanical Power</w:t>
            </w:r>
          </w:p>
        </w:tc>
        <w:tc>
          <w:tcPr>
            <w:tcW w:type="dxa" w:w="31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0.098 × RR × Vt × (PIP + PEEP)/2</w:t>
            </w:r>
          </w:p>
        </w:tc>
        <w:tc>
          <w:tcPr>
            <w:tcW w:type="dxa" w:w="31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&lt;12 J/min or &lt;0.35 J/min/kg in children</w:t>
            </w:r>
          </w:p>
        </w:tc>
      </w:tr>
      <w:tr>
        <w:tc>
          <w:tcPr>
            <w:tcW w:type="dxa" w:w="312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Dead Space Fraction</w:t>
            </w:r>
          </w:p>
        </w:tc>
        <w:tc>
          <w:tcPr>
            <w:tcW w:type="dxa" w:w="312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(PaCO₂ − PetCO₂) / PaCO₂</w:t>
            </w:r>
          </w:p>
        </w:tc>
        <w:tc>
          <w:tcPr>
            <w:tcW w:type="dxa" w:w="312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Normal 0.30–0.35; PARDS &gt;0.55 high risk</w:t>
            </w:r>
          </w:p>
        </w:tc>
      </w:tr>
      <w:tr>
        <w:tc>
          <w:tcPr>
            <w:tcW w:type="dxa" w:w="31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HFOV DCO₂</w:t>
            </w:r>
          </w:p>
        </w:tc>
        <w:tc>
          <w:tcPr>
            <w:tcW w:type="dxa" w:w="31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ΔP² × f</w:t>
            </w:r>
          </w:p>
        </w:tc>
        <w:tc>
          <w:tcPr>
            <w:tcW w:type="dxa" w:w="31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Increase ΔP to reduce CO₂</w:t>
            </w:r>
          </w:p>
        </w:tc>
      </w:tr>
      <w:tr>
        <w:tc>
          <w:tcPr>
            <w:tcW w:type="dxa" w:w="312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MAP (conventional)</w:t>
            </w:r>
          </w:p>
        </w:tc>
        <w:tc>
          <w:tcPr>
            <w:tcW w:type="dxa" w:w="312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(PIP−PEEP) × Ti/(Ti+Te) + PEEP</w:t>
            </w:r>
          </w:p>
        </w:tc>
        <w:tc>
          <w:tcPr>
            <w:tcW w:type="dxa" w:w="312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PARDS 10–18 cmH₂O; PPHN 18–25 cmH₂O</w:t>
            </w:r>
          </w:p>
        </w:tc>
      </w:tr>
      <w:tr>
        <w:tc>
          <w:tcPr>
            <w:tcW w:type="dxa" w:w="31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VI (neonatal)</w:t>
            </w:r>
          </w:p>
        </w:tc>
        <w:tc>
          <w:tcPr>
            <w:tcW w:type="dxa" w:w="31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PIP × RR × PaCO₂ / 1000</w:t>
            </w:r>
          </w:p>
        </w:tc>
        <w:tc>
          <w:tcPr>
            <w:tcW w:type="dxa" w:w="31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ECMO indicator &gt;40</w:t>
            </w:r>
          </w:p>
        </w:tc>
      </w:tr>
      <w:tr>
        <w:tc>
          <w:tcPr>
            <w:tcW w:type="dxa" w:w="312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A-a Gradient</w:t>
            </w:r>
          </w:p>
        </w:tc>
        <w:tc>
          <w:tcPr>
            <w:tcW w:type="dxa" w:w="312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PAO₂ − PaO₂</w:t>
            </w:r>
          </w:p>
        </w:tc>
        <w:tc>
          <w:tcPr>
            <w:tcW w:type="dxa" w:w="312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Neonatal day 1: 25–40 mmHg</w:t>
            </w:r>
          </w:p>
        </w:tc>
      </w:tr>
      <w:tr>
        <w:tc>
          <w:tcPr>
            <w:tcW w:type="dxa" w:w="31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CRIB P(death)</w:t>
            </w:r>
          </w:p>
        </w:tc>
        <w:tc>
          <w:tcPr>
            <w:tcW w:type="dxa" w:w="31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exp(−5.615 + 0.524×CRIB) / (1+exp(...))</w:t>
            </w:r>
          </w:p>
        </w:tc>
        <w:tc>
          <w:tcPr>
            <w:tcW w:type="dxa" w:w="31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CRIB ≤5: ~3%; CRIB &gt;15: ~90% mortality</w:t>
            </w:r>
          </w:p>
        </w:tc>
      </w:tr>
      <w:tr>
        <w:tc>
          <w:tcPr>
            <w:tcW w:type="dxa" w:w="312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CRIB-II P(death)</w:t>
            </w:r>
          </w:p>
        </w:tc>
        <w:tc>
          <w:tcPr>
            <w:tcW w:type="dxa" w:w="312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exp(−5.867 + 0.418×CRIB-II) / (1+exp(...))</w:t>
            </w:r>
          </w:p>
        </w:tc>
        <w:tc>
          <w:tcPr>
            <w:tcW w:type="dxa" w:w="3120"/>
            <w:tcBorders>
              <w:top w:val="single" w:color="AAAAAA" w:sz="4"/>
              <w:left w:val="single" w:color="AAAAAA" w:sz="4"/>
              <w:bottom w:val="single" w:color="AAAAAA" w:sz="4"/>
              <w:right w:val="single" w:color="AAAAAA" w:sz="4"/>
            </w:tcBorders>
            <w:shd w:fill="F2F2F2" w:val="clear"/>
            <w:tcMar>
              <w:top w:type="dxa" w:w="60"/>
              <w:left w:type="dxa" w:w="120"/>
              <w:bottom w:type="dxa" w:w="60"/>
              <w:right w:type="dxa" w:w="120"/>
            </w:tcMar>
          </w:tcPr>
          <w:p>
            <w:r>
              <w:rPr>
                <w:rFonts w:ascii="Arial" w:cs="Arial" w:eastAsia="Arial" w:hAnsi="Arial"/>
                <w:color w:val="1A1A2E"/>
                <w:sz w:val="17"/>
                <w:szCs w:val="17"/>
              </w:rPr>
              <w:t xml:space="preserve">AUROC 0.90 for neonatal mortality</w:t>
            </w:r>
          </w:p>
        </w:tc>
      </w:tr>
      <w:tr>
        <w:tc>
          <w:tcPr>
            <w:tcW w:type="dxa" w:w="31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O/E LHR (CDH)</w:t>
            </w:r>
          </w:p>
        </w:tc>
        <w:tc>
          <w:tcPr>
            <w:tcW w:type="dxa" w:w="31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Measured LHR / Expected LHR × 100%</w:t>
            </w:r>
          </w:p>
        </w:tc>
        <w:tc>
          <w:tcPr>
            <w:tcW w:type="dxa" w:w="312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tcPr>
          <w:p>
            <w:r>
              <w:rPr>
                <w:rFonts w:ascii="Arial" w:cs="Arial" w:eastAsia="Arial" w:hAnsi="Arial"/>
                <w:color w:val="1A1A2E"/>
                <w:sz w:val="17"/>
                <w:szCs w:val="17"/>
              </w:rPr>
              <w:t xml:space="preserve">&lt;25% = severe; ≥55% = normal</w:t>
            </w:r>
          </w:p>
        </w:tc>
      </w:tr>
    </w:tbl>
    <w:p>
      <w:pPr>
        <w:spacing w:after="160"/>
      </w:pPr>
    </w:p>
    <w:p>
      <w:pPr>
        <w:spacing w:after="120"/>
      </w:pPr>
      <w:r>
        <w:rPr>
          <w:rFonts w:ascii="Arial" w:cs="Arial" w:eastAsia="Arial" w:hAnsi="Arial"/>
          <w:b/>
          <w:bCs/>
          <w:color w:val="1A1A2E"/>
          <w:sz w:val="20"/>
          <w:szCs w:val="20"/>
        </w:rPr>
        <w:t xml:space="preserve">End of Reference — Computational Methods in Pediatric and Neonatal Respiratory Medicine</w:t>
      </w:r>
    </w:p>
    <w:p>
      <w:pPr>
        <w:spacing w:after="120"/>
      </w:pPr>
      <w:r>
        <w:rPr>
          <w:rFonts w:ascii="Arial" w:cs="Arial" w:eastAsia="Arial" w:hAnsi="Arial"/>
          <w:b w:val="false"/>
          <w:bCs w:val="false"/>
          <w:color w:val="1A1A2E"/>
          <w:sz w:val="20"/>
          <w:szCs w:val="20"/>
        </w:rPr>
        <w:t xml:space="preserve">Evidence synthesis from PubMed literature, 2014–2024. All equations and thresholds should be applied in clinical context with consideration of individual patient factors, institutional protocols, and current guidelines.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pPr>
    <w:r>
      <w:rPr>
        <w:rFonts w:ascii="Arial" w:cs="Arial" w:eastAsia="Arial" w:hAnsi="Arial"/>
        <w:color w:val="888888"/>
        <w:sz w:val="16"/>
        <w:szCs w:val="16"/>
      </w:rPr>
      <w:t xml:space="preserve">© Physician AI Reference Series  |  For Clinical Education Purposes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888888"/>
        <w:sz w:val="16"/>
        <w:szCs w:val="16"/>
      </w:rPr>
      <w:t xml:space="preserve">Computational Methods in Pediatric &amp; Neonatal Respiratory Medicine  |  2014–2024 Evidence Synthesis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2026-02-27T23:48:44.481Z</dcterms:created>
  <dcterms:modified xsi:type="dcterms:W3CDTF">2026-02-27T23:48:44.484Z</dcterms:modified>
</cp:coreProperties>
</file>

<file path=docProps/custom.xml><?xml version="1.0" encoding="utf-8"?>
<Properties xmlns="http://schemas.openxmlformats.org/officeDocument/2006/custom-properties" xmlns:vt="http://schemas.openxmlformats.org/officeDocument/2006/docPropsVTypes"/>
</file>