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sz w:val="48"/>
          <w:szCs w:val="48"/>
        </w:rPr>
        <w:t xml:space="preserve">Neonatal Infectious Diseases</w:t>
      </w:r>
    </w:p>
    <w:p>
      <w:pPr>
        <w:spacing w:after="200"/>
        <w:jc w:val="center"/>
      </w:pPr>
      <w:r>
        <w:rPr>
          <w:rFonts w:ascii="Arial" w:cs="Arial" w:eastAsia="Arial" w:hAnsi="Arial"/>
          <w:sz w:val="32"/>
          <w:szCs w:val="32"/>
        </w:rPr>
        <w:t xml:space="preserve">Audio Education Guide</w:t>
      </w:r>
    </w:p>
    <w:p>
      <w:pPr>
        <w:spacing w:after="400"/>
        <w:jc w:val="center"/>
      </w:pPr>
      <w:r>
        <w:rPr>
          <w:rFonts w:ascii="Arial" w:cs="Arial" w:eastAsia="Arial" w:hAnsi="Arial"/>
          <w:sz w:val="24"/>
          <w:szCs w:val="24"/>
        </w:rPr>
        <w:t xml:space="preserve">Level I / Level II Nursery Education Series | Pediatric Emergency CDS Project</w:t>
      </w:r>
    </w:p>
    <w:p>
      <w:r>
        <w:br w:type="page"/>
      </w:r>
    </w:p>
    <w:p>
      <w:pPr>
        <w:pStyle w:val="Heading1"/>
      </w:pPr>
      <w:r>
        <w:t xml:space="preserve">Track 1: Introduction</w:t>
      </w:r>
    </w:p>
    <w:p>
      <w:pPr>
        <w:spacing w:after="120"/>
      </w:pPr>
      <w:r>
        <w:rPr>
          <w:rFonts w:ascii="Arial" w:cs="Arial" w:eastAsia="Arial" w:hAnsi="Arial"/>
          <w:sz w:val="24"/>
          <w:szCs w:val="24"/>
        </w:rPr>
        <w:t xml:space="preserve">[Estimated duration: approximately 7 minutes]</w:t>
      </w:r>
    </w:p>
    <w:p>
      <w:pPr>
        <w:spacing w:after="120"/>
      </w:pPr>
      <w:r>
        <w:rPr>
          <w:rFonts w:ascii="Arial" w:cs="Arial" w:eastAsia="Arial" w:hAnsi="Arial"/>
          <w:sz w:val="24"/>
          <w:szCs w:val="24"/>
        </w:rPr>
        <w:t xml:space="preserve">Welcome to the Audio Education Guide on Neonatal Infectious Diseases. This guide is designed for providers in rural Level I and Level II nurseries. Infection is one of the most common reasons for sepsis evaluations in the newborn nursery, and one of the most consequential conditions to get right. Miss it, and the baby can die. Overtreat it, and you expose healthy babies to unnecessary antibiotics with real long-term consequences.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In this audio guide, we will cover early-onset sepsis (the most common diagnostic dilemma in the nursery), neonatal herpes simplex virus (a rare but devastating infection), the TORCH infections, congenital syphilis (which is surging in the United States), and practical guidance on when to treat, when to observe, and when to transfer.</w:t>
      </w:r>
    </w:p>
    <w:p>
      <w:pPr>
        <w:spacing w:after="120"/>
      </w:pPr>
      <w:r>
        <w:rPr>
          <w:rFonts w:ascii="Arial" w:cs="Arial" w:eastAsia="Arial" w:hAnsi="Arial"/>
          <w:sz w:val="24"/>
          <w:szCs w:val="24"/>
        </w:rPr>
        <w:t xml:space="preserve">[SECTION BREAK]</w:t>
      </w:r>
    </w:p>
    <w:p>
      <w:pPr>
        <w:pStyle w:val="Heading1"/>
      </w:pPr>
      <w:r>
        <w:t xml:space="preserve">Track 2: Early-Onset Sepsis — The Big Picture</w:t>
      </w:r>
    </w:p>
    <w:p>
      <w:pPr>
        <w:spacing w:after="120"/>
      </w:pPr>
      <w:r>
        <w:rPr>
          <w:rFonts w:ascii="Arial" w:cs="Arial" w:eastAsia="Arial" w:hAnsi="Arial"/>
          <w:sz w:val="24"/>
          <w:szCs w:val="24"/>
        </w:rPr>
        <w:t xml:space="preserve">[Estimated duration: approximately 14 minutes]</w:t>
      </w:r>
    </w:p>
    <w:p>
      <w:pPr>
        <w:spacing w:after="120"/>
      </w:pPr>
      <w:r>
        <w:rPr>
          <w:rFonts w:ascii="Arial" w:cs="Arial" w:eastAsia="Arial" w:hAnsi="Arial"/>
          <w:sz w:val="24"/>
          <w:szCs w:val="24"/>
        </w:rPr>
        <w:t xml:space="preserve">Early-onset sepsis, or E-O-S, is defined as a bloodstream infection occurring in the first seventy-two hours of life. In term and late preterm infants, the incidence is about one half per one thousand live births. That means in a hospital delivering two thousand babies a year, you will see about one case annually. It is rare, but it is deadly: about three percent of affected term infants die, and the rate is much higher in premature babies.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two most important pathogens are Group B Streptococcus (STREP-toh-KOK-us), also called G-B-S or Streptococcus agalactiae (AG-ah-LAK-tee-ay), and Escherichia coli (ESH-er-IK-ee-ah KOH-lye). G-B-S is the number one cause of E-O-S in term infants. E. coli is the number one cause in preterm infants and is increasingly resistant to ampicillin.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The risk factors you need to know: maternal G-B-S colonization with inadequate or absent intrapartum antibiotic prophylaxis (I-A-P); prolonged rupture of membranes greater than eighteen hours; maternal intrapartum fever above one hundred point four degrees Fahrenheit or thirty-eight degrees Celsius; clinical chorioamnionitis (KOR-ee-oh-AM-nee-oh-NY-tis); and preterm labor.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Clinical presentation. Respiratory distress is the most common sign of E-O-S, occurring in about eighty-five percent of cases. Other signs include temperature instability, and here is an important point: hypothermia (LOW temperature) is more common than fever in neonatal sepsis, especially in preterm infants. Other signs are poor feeding, lethargy, hypotonia (low muscle tone), tachycardia, apnea (AP-nee-ah), and in severe cases, hypotension and shock.</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the diagnostic evaluation. The gold standard is the blood culture. You need at least one milliliter of blood in a single aerobic blood culture bottle. Most neonatal pathogens grow within twenty-four to thirty-six hours in modern continuous-monitoring systems. The C-B-C with differential has limited diagnostic accuracy. It is neither sensitive nor specific for E-O-S. However, severely abnormal values are concerning: a white blood cell count below five thousand, an absolute neutrophil count below one thousand, or an immature-to-total neutrophil ratio (I-to-T ratio) above zero point three should prompt treatment. C-reactive protein, or C-R-P, is not useful at the time of initial evaluation because it takes six to twelve hours to rise after infection. Serial C-R-P at twenty-four and forty-eight hours can help guide antibiotic duration.</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Empirical treatment for suspected E-O-S is ampicillin plus gentamicin. Ampicillin covers G-B-S, Listeria (lis-TEER-ee-ah), and some gram-negatives. Gentamicin covers gram-negatives and provides synergy with ampicillin against G-B-S. The dose for ampicillin is fifty milligrams per kilogram per dose, given every twelve hours in the first week of life for infants under two kilograms, or every eight hours for term infants. For suspected meningitis, the ampicillin dose increases to one hundred milligrams per kilogram per dose. Gentamicin is typically four to five milligrams per kilogram per dose, given every twenty-four to forty-eight hours depending on gestational age.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a critical point about antibiotic duration. If the blood culture is negative at thirty-six to forty-eight hours and the baby is clinically well, STOP the antibiotics. I will say that again. Negative cultures at thirty-six to forty-eight hours in a well baby equals STOP antibiotics. Prolonged empirical antibiotic therapy with negative cultures, meaning five or more days, has been associated with increased risk of N-E-C, late-onset sepsis, and death. This is one of the most important antibiotic stewardship messages in neonatology.</w:t>
      </w:r>
    </w:p>
    <w:p>
      <w:pPr>
        <w:spacing w:after="120"/>
      </w:pPr>
      <w:r>
        <w:rPr>
          <w:rFonts w:ascii="Arial" w:cs="Arial" w:eastAsia="Arial" w:hAnsi="Arial"/>
          <w:sz w:val="24"/>
          <w:szCs w:val="24"/>
        </w:rPr>
        <w:t xml:space="preserve">[SECTION BREAK]</w:t>
      </w:r>
    </w:p>
    <w:p>
      <w:pPr>
        <w:pStyle w:val="Heading1"/>
      </w:pPr>
      <w:r>
        <w:t xml:space="preserve">Track 3: The AAP EOS Management Approaches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The A-A-P twenty eighteen clinical report outlined three approaches for managing infants born at thirty-five or more weeks of gestation who are at risk for E-O-S. Let me walk through each one.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Approach one: categorical risk assessment. This is the most traditional approach. You categorize infants based on maternal risk factors. If the mother has chorioamnionitis, or if the baby has clinical signs of illness, you do a full sepsis evaluation with blood culture, C-B-C, and empirical antibiotics. If the mother is G-B-S positive with inadequate I-A-P but the baby is well-appearing, you may do limited evaluation or observation depending on the specific circumstances. This approach is straightforward but tends to overtreat, leading to a lot of well babies getting unnecessary antibiotics.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Approach two: the E-O-S Risk Calculator, also called the Kaiser Permanente Sepsis Risk Calculator. This is a web-based tool, available at neonatalsepsiscalculator dot kaiserpermanente dot org. You enter gestational age, the highest maternal intrapartum temperature, duration of rupture of membranes, maternal G-B-S status, and the type and timing of intrapartum antibiotics. The calculator gives you a prior probability of E-O-S. Then you update the probability based on the baby's clinical condition: well-appearing, equivocal, or clinically ill. If the risk is one per one thousand or greater, you get a blood culture and do enhanced observation. If the risk is three per one thousand or greater, you get a blood culture and start empirical antibiotics. This approach has been validated in multiple studies and reduces blood cultures by sixty-six percent and antibiotic use by forty-eight percent without compromising safety. It was updated in twenty twenty-four with a contemporary cohort.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Approach three: enhanced serial clinical observation. This means structured, standardized physical exams every four to six hours for the first twenty-four to forty-eight hours. If the baby develops signs of illness, you evaluate and treat. If the baby remains well, no labs or antibiotics are needed. This approach has the lowest antibiotic exposure but requires dedicated nursing resources for frequent, reliable clinical assessments.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For the rural nursery, approach one or approach two are the most practical. The E-O-S calculator is particularly useful because it quantifies risk and helps you make a defensible, evidence-based decision about whether to observe or treat.</w:t>
      </w:r>
    </w:p>
    <w:p>
      <w:pPr>
        <w:spacing w:after="120"/>
      </w:pPr>
      <w:r>
        <w:rPr>
          <w:rFonts w:ascii="Arial" w:cs="Arial" w:eastAsia="Arial" w:hAnsi="Arial"/>
          <w:sz w:val="24"/>
          <w:szCs w:val="24"/>
        </w:rPr>
        <w:t xml:space="preserve">[SECTION BREAK]</w:t>
      </w:r>
    </w:p>
    <w:p>
      <w:pPr>
        <w:pStyle w:val="Heading1"/>
      </w:pPr>
      <w:r>
        <w:t xml:space="preserve">Track 4: Neonatal Herpes Simplex Virus</w:t>
      </w:r>
    </w:p>
    <w:p>
      <w:pPr>
        <w:spacing w:after="120"/>
      </w:pPr>
      <w:r>
        <w:rPr>
          <w:rFonts w:ascii="Arial" w:cs="Arial" w:eastAsia="Arial" w:hAnsi="Arial"/>
          <w:sz w:val="24"/>
          <w:szCs w:val="24"/>
        </w:rPr>
        <w:t xml:space="preserve">[Estimated duration: approximately 12 minutes]</w:t>
      </w:r>
    </w:p>
    <w:p>
      <w:pPr>
        <w:spacing w:after="120"/>
      </w:pPr>
      <w:r>
        <w:rPr>
          <w:rFonts w:ascii="Arial" w:cs="Arial" w:eastAsia="Arial" w:hAnsi="Arial"/>
          <w:sz w:val="24"/>
          <w:szCs w:val="24"/>
        </w:rPr>
        <w:t xml:space="preserve">Neonatal herpes simplex virus, or H-S-V, is a rare infection, about one in three thousand two hundred births, but it is one of the most important infections not to miss. It can kill a baby or cause devastating brain damage within days if not treated.</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Neonatal H-S-V is classified into three categories. Category one: skin, eyes, and mouth disease, or S-E-M. This accounts for about forty-five percent of cases and presents with clusters of vesicular (VESS-IK-you-lar) lesions, which look like small blisters, typically appearing at seven to fourteen days of life. With treatment, mortality is about one percent. Category two: central nervous system disease, or C-N-S H-S-V. This accounts for about thirty percent and presents with seizures, lethargy, poor feeding, and a bulging fontanelle. Importantly, thirty to forty percent of babies with C-N-S H-S-V have NO skin vesicles. Mortality with treatment is about four percent, but seventy percent of survivors have neurologic impairment. Category three: disseminated disease. This accounts for about twenty-five percent and presents like bacterial sepsis, with hepatitis (elevated liver enzymes), D-I-C (disseminated intravascular coagulation), pneumonitis (noo-moh-NY-tis), and multiorgan failure. Mortality with treatment is about twenty-nine percent.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Here is the critical teaching point. Neonatal H-S-V can present WITHOUT skin vesicles. Let me say that again. You can have disseminated or C-N-S H-S-V with no skin lesions at all. So when should you think about H-S-V? When a neonate, especially between day five and day twenty-one of life, presents with a sepsis-like illness and bacterial cultures are coming back negative, or when you see seizures, or when the A-L-T (alanine aminotransferase) is elevated, or when there is C-S-F pleocytosis (PLEE-oh-sy-TOH-sis, meaning elevated white cells in the spinal fluid), or of course when you see vesicular skin lesions.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Treatment is intravenous acyclovir (ay-SY-kloh-veer), twenty milligrams per kilogram per dose, given every eight hours. That is sixty milligrams per kilogram per day. For S-E-M disease, treatment is fourteen days. For C-N-S or disseminated disease, treatment is twenty-one days. Before stopping acyclovir for C-N-S disease, you must do a repeat lumbar puncture and confirm the C-S-F H-S-V P-C-R is negative. If it is still positive, continue acyclovir and repeat the L-P weekly until it clears. After completing I-V treatment, all infants should receive oral acyclovir suppressive therapy, three hundred milligrams per meter squared per dose, three times daily, for six months. This has been shown to improve neurodevelopmental outcomes.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Key side effects of acyclovir to monitor: neutropenia (NEW-troh-PEE-nee-ah), occurring in about twenty percent of neonates on high-dose acyclovir, so check the absolute neutrophil count twice weekly; and nephrotoxicity (nef-roh-tok-SIS-ih-tee), so check renal function weekly and ensure adequate hydration.</w:t>
      </w:r>
    </w:p>
    <w:p>
      <w:pPr>
        <w:spacing w:after="120"/>
      </w:pPr>
      <w:r>
        <w:rPr>
          <w:rFonts w:ascii="Arial" w:cs="Arial" w:eastAsia="Arial" w:hAnsi="Arial"/>
          <w:sz w:val="24"/>
          <w:szCs w:val="24"/>
        </w:rPr>
        <w:t xml:space="preserve">[SECTION BREAK]</w:t>
      </w:r>
    </w:p>
    <w:p>
      <w:pPr>
        <w:pStyle w:val="Heading1"/>
      </w:pPr>
      <w:r>
        <w:t xml:space="preserve">Track 5: Congenital Syphilis and TORCH Infections</w:t>
      </w:r>
    </w:p>
    <w:p>
      <w:pPr>
        <w:spacing w:after="120"/>
      </w:pPr>
      <w:r>
        <w:rPr>
          <w:rFonts w:ascii="Arial" w:cs="Arial" w:eastAsia="Arial" w:hAnsi="Arial"/>
          <w:sz w:val="24"/>
          <w:szCs w:val="24"/>
        </w:rPr>
        <w:t xml:space="preserve">[Estimated duration: approximately 10 minutes]</w:t>
      </w:r>
    </w:p>
    <w:p>
      <w:pPr>
        <w:spacing w:after="120"/>
      </w:pPr>
      <w:r>
        <w:rPr>
          <w:rFonts w:ascii="Arial" w:cs="Arial" w:eastAsia="Arial" w:hAnsi="Arial"/>
          <w:sz w:val="24"/>
          <w:szCs w:val="24"/>
        </w:rPr>
        <w:t xml:space="preserve">Congenital syphilis is a public health emergency in the United States. Cases have increased by over nine hundred percent between twenty twelve and twenty twenty-two. Over three thousand seven hundred cases were reported in twenty twenty-two, including two hundred eighty-two stillbirths and infant deaths. And here is the heartbreaking part: every single one of these cases was preventable. Adequate prenatal screening and treatment with penicillin before delivery prevents congenital syphilis one hundred percent of the time.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Clinical features in the neonate include hepatosplenomegaly (HEP-ah-toh-SPLEE-no-MEG-ah-lee), jaundice, diffuse maculopapular rash including the palms and soles, snuffles (which is a bloody or mucopurulent nasal discharge), anemia, thrombocytopenia, and bony changes on X-ray called osteochondritis (OS-tee-oh-kon-DRY-tis). But up to sixty percent of infected newborns are completely asymptomatic at birth, so you cannot rely on clinical appearance. Screening is the key.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Diagnostic workup for any infant born to a mother with reactive syphilis serology: infant R-P-R with titer, C-B-C, liver function tests, C-S-F analysis including V-D-R-L, cell count, and protein, and long bone radiographs. Treatment for proven or presumed congenital syphilis is I-V aqueous crystalline penicillin G, fifty thousand units per kilogram per dose, every twelve hours for the first seven days of life, then every eight hours for days eight through twenty-eight, for a total of ten days.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Now, a quick word about congenital C-M-V, or cytomegalovirus (SY-toh-MEG-ah-loh-VY-rus). This is the most common congenital viral infection, occurring in about one in two hundred births. It is the leading non-genetic cause of sensorineural hearing loss. Most infected babies are asymptomatic at birth, but ten to fifteen percent of those asymptomatic babies will develop late-onset hearing loss. Diagnosis must be made within the first twenty-one days of life, using C-M-V P-C-R on urine or saliva. If you wait past twenty-one days, you cannot distinguish congenital from postnatal acquisition. Symptomatic babies with C-N-S involvement are treated with oral valganciclovir (val-GAN-sy-kloh-veer) for six months.</w:t>
      </w:r>
    </w:p>
    <w:p>
      <w:pPr>
        <w:spacing w:after="120"/>
      </w:pPr>
      <w:r>
        <w:rPr>
          <w:rFonts w:ascii="Arial" w:cs="Arial" w:eastAsia="Arial" w:hAnsi="Arial"/>
          <w:sz w:val="24"/>
          <w:szCs w:val="24"/>
        </w:rPr>
        <w:t xml:space="preserve">[SECTION BREAK]</w:t>
      </w:r>
    </w:p>
    <w:p>
      <w:pPr>
        <w:pStyle w:val="Heading1"/>
      </w:pPr>
      <w:r>
        <w:t xml:space="preserve">Track 6: Practical Tips for the Rural Nursery</w:t>
      </w:r>
    </w:p>
    <w:p>
      <w:pPr>
        <w:spacing w:after="120"/>
      </w:pPr>
      <w:r>
        <w:rPr>
          <w:rFonts w:ascii="Arial" w:cs="Arial" w:eastAsia="Arial" w:hAnsi="Arial"/>
          <w:sz w:val="24"/>
          <w:szCs w:val="24"/>
        </w:rPr>
        <w:t xml:space="preserve">[Estimated duration: approximately 7 minutes]</w:t>
      </w:r>
    </w:p>
    <w:p>
      <w:pPr>
        <w:spacing w:after="120"/>
      </w:pPr>
      <w:r>
        <w:rPr>
          <w:rFonts w:ascii="Arial" w:cs="Arial" w:eastAsia="Arial" w:hAnsi="Arial"/>
          <w:sz w:val="24"/>
          <w:szCs w:val="24"/>
        </w:rPr>
        <w:t xml:space="preserve">Let me close with some practical wisdom for the rural nursery provider.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Tip one. Have a sepsis policy. Whether you use the categorical risk assessment or the E-O-S calculator, put it in writing. Post it in the nursery. Make sure every provider and nurse knows the protocol. Consistency saves lives and prevents both overtreatment and undertreatment.</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Tip two. Get good blood cultures. One milliliter of blood in a single aerobic bottle. Label it correctly. Get it to the lab promptly. The blood culture is the only definitive test for bacterial sepsis, and its accuracy depends entirely on technique.</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Tip three. Stop antibiotics at thirty-six to forty-eight hours if cultures are negative and the baby is well. Do not let culture-negative antibiotics drag on for five, seven, or ten days. This is one of the most impactful things you can do for antibiotic stewardship in neonatology.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Tip four. Think about H-S-V when the clinical picture does not fit bacterial sepsis. Seizures in a one to three week old, elevated liver enzymes, C-S-F pleocytosis with negative bacterial culture, or vesicular rash: start acyclovir first, ask questions later.</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Tip five. Check syphilis serology on every pregnant woman, as early as possible and again at delivery if she is at high risk. And if it is positive, look at the treatment record with a magnifying glass. Adequate treatment is a full course of penicillin, completed at least thirty days before delivery. If anything is questionable, evaluate and treat the baby.</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Tip six. Remember that all infants born to hepatitis B surface antigen positive mothers need H-B-I-G plus the hepatitis B vaccine within twelve hours of birth. No exceptions. No delays.</w:t>
      </w:r>
    </w:p>
    <w:p>
      <w:pPr>
        <w:spacing w:after="120"/>
      </w:pPr>
      <w:r>
        <w:rPr>
          <w:rFonts w:ascii="Arial" w:cs="Arial" w:eastAsia="Arial" w:hAnsi="Arial"/>
          <w:sz w:val="24"/>
          <w:szCs w:val="24"/>
        </w:rPr>
        <w:t xml:space="preserve">[PAUSE]</w:t>
      </w:r>
    </w:p>
    <w:p>
      <w:pPr>
        <w:spacing w:after="120"/>
      </w:pPr>
      <w:r>
        <w:rPr>
          <w:rFonts w:ascii="Arial" w:cs="Arial" w:eastAsia="Arial" w:hAnsi="Arial"/>
          <w:sz w:val="24"/>
          <w:szCs w:val="24"/>
        </w:rPr>
        <w:t xml:space="preserve">Thank you for listening. Your vigilance in recognizing neonatal infections early, treating appropriately, and knowing when to transfer directly impacts the outcomes of the most vulnerable patients in your care.</w:t>
      </w:r>
    </w:p>
    <w:p>
      <w:pPr>
        <w:spacing w:after="120"/>
      </w:pPr>
      <w:r>
        <w:rPr>
          <w:rFonts w:ascii="Arial" w:cs="Arial" w:eastAsia="Arial" w:hAnsi="Arial"/>
          <w:sz w:val="24"/>
          <w:szCs w:val="24"/>
        </w:rPr>
        <w:t xml:space="preserve">[SECTION BREAK]</w:t>
      </w:r>
    </w:p>
    <w:p>
      <w:pPr>
        <w:spacing w:after="120"/>
      </w:pPr>
      <w:r>
        <w:rPr>
          <w:rFonts w:ascii="Arial" w:cs="Arial" w:eastAsia="Arial" w:hAnsi="Arial"/>
          <w:sz w:val="24"/>
          <w:szCs w:val="24"/>
        </w:rPr>
        <w:t xml:space="preserve">End of Audio Education Guide.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Infectious Diseases — Audio Education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2026-03-19T00:59:14.009Z</dcterms:created>
  <dcterms:modified xsi:type="dcterms:W3CDTF">2026-03-19T00:59:14.009Z</dcterms:modified>
</cp:coreProperties>
</file>

<file path=docProps/custom.xml><?xml version="1.0" encoding="utf-8"?>
<Properties xmlns="http://schemas.openxmlformats.org/officeDocument/2006/custom-properties" xmlns:vt="http://schemas.openxmlformats.org/officeDocument/2006/docPropsVTypes"/>
</file>