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3864"/>
          <w:sz w:val="56"/>
          <w:szCs w:val="56"/>
        </w:rPr>
        <w:t xml:space="preserve">Neonatal Gastrointestinal and Liver Disorders</w:t>
      </w:r>
    </w:p>
    <w:p>
      <w:pPr>
        <w:spacing w:after="200"/>
        <w:jc w:val="center"/>
      </w:pPr>
      <w:r>
        <w:rPr>
          <w:rFonts w:ascii="Arial" w:cs="Arial" w:eastAsia="Arial" w:hAnsi="Arial"/>
          <w:color w:val="2E75B6"/>
          <w:sz w:val="32"/>
          <w:szCs w:val="32"/>
        </w:rPr>
        <w:t xml:space="preserve">A Comprehensive Guide for Rural Nursery Providers</w:t>
      </w:r>
    </w:p>
    <w:p>
      <w:pPr>
        <w:spacing w:after="200"/>
        <w:jc w:val="center"/>
      </w:pPr>
      <w:r>
        <w:rPr>
          <w:rFonts w:ascii="Arial" w:cs="Arial" w:eastAsia="Arial" w:hAnsi="Arial"/>
          <w:color w:val="404040"/>
          <w:sz w:val="28"/>
          <w:szCs w:val="28"/>
        </w:rPr>
        <w:t xml:space="preserve">Level I and Level II/II+ Nursery Education Series</w:t>
      </w:r>
    </w:p>
    <w:p>
      <w:pPr>
        <w:spacing w:after="200"/>
        <w:jc w:val="center"/>
      </w:pPr>
      <w:r>
        <w:rPr>
          <w:rFonts w:ascii="Arial" w:cs="Arial" w:eastAsia="Arial" w:hAnsi="Arial"/>
          <w:color w:val="404040"/>
          <w:sz w:val="24"/>
          <w:szCs w:val="24"/>
        </w:rPr>
        <w:t xml:space="preserve">For the Pediatric Emergency Medicine CDS Project</w:t>
      </w:r>
    </w:p>
    <w:p>
      <w:pPr>
        <w:spacing w:after="400"/>
        <w:jc w:val="center"/>
      </w:pPr>
      <w:r>
        <w:rPr>
          <w:rFonts w:ascii="Arial" w:cs="Arial" w:eastAsia="Arial" w:hAnsi="Arial"/>
          <w:color w:val="808080"/>
          <w:sz w:val="24"/>
          <w:szCs w:val="24"/>
        </w:rPr>
        <w:t xml:space="preserve">Date: March 18, 2026</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Introduction and Scope</w:t>
      </w:r>
    </w:p>
    <w:p>
      <w:pPr>
        <w:pStyle w:val="Heading2"/>
      </w:pPr>
      <w:r>
        <w:t xml:space="preserve">1.1 Why This Topic Matters in the Rural Nursery</w:t>
      </w:r>
    </w:p>
    <w:p>
      <w:pPr>
        <w:spacing w:after="120"/>
      </w:pPr>
      <w:r>
        <w:rPr>
          <w:rFonts w:ascii="Arial" w:cs="Arial" w:eastAsia="Arial" w:hAnsi="Arial"/>
          <w:sz w:val="24"/>
          <w:szCs w:val="24"/>
        </w:rPr>
        <w:t xml:space="preserve">Gastrointestinal and hepatic disorders represent some of the most time-sensitive conditions encountered in the neonatal period. A newborn with bilious vomiting may have midgut volvulus with only hours before irreversible intestinal ischemia. An infant with progressive abdominal distension may be developing necrotizing enterocolitis, which carries mortality rates of 20 to 30 percent in its most severe forms. A baby with persistent jaundice beyond two weeks of age may have biliary atresia, where the window for the Kasai portoenterostomy closes rapidly after 60 days of life.</w:t>
      </w:r>
    </w:p>
    <w:p>
      <w:pPr>
        <w:spacing w:after="120"/>
      </w:pPr>
      <w:r>
        <w:rPr>
          <w:rFonts w:ascii="Arial" w:cs="Arial" w:eastAsia="Arial" w:hAnsi="Arial"/>
          <w:sz w:val="24"/>
          <w:szCs w:val="24"/>
        </w:rPr>
        <w:t xml:space="preserve">In the rural nursery, the provider's role is not to perform definitive surgical repair but to recognize the patterns that signal surgical or hepatologic emergency, initiate appropriate stabilization, and communicate effectively with the receiving pediatric surgical and gastroenterology teams. This requires a firm understanding of neonatal GI embryology, the pathophysiology of common conditions, and the red-flag clinical presentations that demand immediate action.</w:t>
      </w:r>
    </w:p>
    <w:p>
      <w:pPr>
        <w:spacing w:after="120"/>
      </w:pPr>
      <w:r>
        <w:rPr>
          <w:rFonts w:ascii="Arial" w:cs="Arial" w:eastAsia="Arial" w:hAnsi="Arial"/>
          <w:sz w:val="24"/>
          <w:szCs w:val="24"/>
        </w:rPr>
        <w:t xml:space="preserve">This guide covers the full spectrum of neonatal gastrointestinal and liver conditions relevant to Level I and Level II nursery providers: surgical emergencies (malrotation with volvulus, intestinal atresias, necrotizing enterocolitis, Hirschsprung disease), common nursery GI problems (feeding intolerance, gastroesophageal reflux, meconium-related disorders), abdominal wall defects (gastroschisis and omphalocele), neonatal liver disease (cholestasis, biliary atresia, neonatal hepatitis), and the GI-relevant aspects of neonatal jaundice management per the 2022 AAP guidelines.</w:t>
      </w:r>
    </w:p>
    <w:p>
      <w:pPr>
        <w:pStyle w:val="Heading2"/>
      </w:pPr>
      <w:r>
        <w:t xml:space="preserve">1.2 Scope of Practice: Level I vs Level II</w:t>
      </w:r>
    </w:p>
    <w:p>
      <w:pPr>
        <w:spacing w:after="120"/>
      </w:pPr>
      <w:r>
        <w:rPr>
          <w:rFonts w:ascii="Arial" w:cs="Arial" w:eastAsia="Arial" w:hAnsi="Arial"/>
          <w:sz w:val="24"/>
          <w:szCs w:val="24"/>
        </w:rPr>
        <w:t xml:space="preserve">Level I nurseries manage well newborns. Most neonatal GI surgical conditions will require transfer to a Level III or IV NICU with pediatric surgery capability. However, the initial recognition, stabilization, and pre-transport management occur in the community hospital. Level II nurseries may manage some conditions locally (mild feeding intolerance, uncomplicated GER, breast milk jaundice) while transferring others (suspected NEC, bowel obstruction, cholestasis requiring hepatobiliary evaluation). This guide clarifies which conditions can be managed locally and which require immediate escalation.</w:t>
      </w:r>
    </w:p>
    <w:p>
      <w:r>
        <w:br w:type="page"/>
      </w:r>
    </w:p>
    <w:p>
      <w:pPr>
        <w:pStyle w:val="Heading1"/>
      </w:pPr>
      <w:r>
        <w:t xml:space="preserve">Chapter 2: Foundational Knowledge</w:t>
      </w:r>
    </w:p>
    <w:p>
      <w:pPr>
        <w:pStyle w:val="Heading2"/>
      </w:pPr>
      <w:r>
        <w:t xml:space="preserve">2.1 Embryology of the Neonatal GI Tract</w:t>
      </w:r>
    </w:p>
    <w:p>
      <w:pPr>
        <w:spacing w:after="120"/>
      </w:pPr>
      <w:r>
        <w:rPr>
          <w:rFonts w:ascii="Arial" w:cs="Arial" w:eastAsia="Arial" w:hAnsi="Arial"/>
          <w:sz w:val="24"/>
          <w:szCs w:val="24"/>
        </w:rPr>
        <w:t xml:space="preserve">The gastrointestinal tract develops from three divisions of the primitive gut tube: the foregut (esophagus, stomach, proximal duodenum, liver, biliary system, pancreas), midgut (distal duodenum, jejunum, ileum, cecum, appendix, ascending colon, and proximal two-thirds of the transverse colon), and hindgut (distal transverse colon, descending colon, sigmoid, rectum). Understanding this embryologic division is clinically important because it explains the vascular supply (celiac axis for foregut, superior mesenteric artery for midgut, inferior mesenteric artery for hindgut) and the patterns of pathology. Midgut volvulus, for example, involves twisting of the midgut around the superior mesenteric artery axis, threatening the entire blood supply from the duodenum to the proximal transverse colon.</w:t>
      </w:r>
    </w:p>
    <w:p>
      <w:pPr>
        <w:spacing w:after="120"/>
      </w:pPr>
      <w:r>
        <w:rPr>
          <w:rFonts w:ascii="Arial" w:cs="Arial" w:eastAsia="Arial" w:hAnsi="Arial"/>
          <w:sz w:val="24"/>
          <w:szCs w:val="24"/>
        </w:rPr>
        <w:t xml:space="preserve">During the 6th to 10th weeks of gestation, the rapidly growing midgut herniates through the umbilical ring into the extraembryonic coelom, undergoes a 270-degree counterclockwise rotation around the SMA, and then returns to the abdominal cavity. The cecum descends to the right lower quadrant and becomes fixed by peritoneal bands. When this rotation and fixation process is incomplete or abnormal, malrotation results, creating the anatomic substrate for volvulus. Failure of the midgut to return to the abdomen results in an omphalocele; failure of the body wall to close lateral to the umbilicus results in gastroschisis.</w:t>
      </w:r>
    </w:p>
    <w:p>
      <w:pPr>
        <w:pStyle w:val="Heading2"/>
      </w:pPr>
      <w:r>
        <w:t xml:space="preserve">2.2 GI Physiology in the Newborn</w:t>
      </w:r>
    </w:p>
    <w:p>
      <w:pPr>
        <w:spacing w:after="120"/>
      </w:pPr>
      <w:r>
        <w:rPr>
          <w:rFonts w:ascii="Arial" w:cs="Arial" w:eastAsia="Arial" w:hAnsi="Arial"/>
          <w:sz w:val="24"/>
          <w:szCs w:val="24"/>
        </w:rPr>
        <w:t xml:space="preserve">The neonatal GI tract is functionally immature. Gastric acid production is low at birth and increases gradually over the first months of life. Pancreatic enzyme secretion is limited, particularly lipase. Intestinal motility is disorganized in preterm infants, with mature migrating motor complexes not consistently present until approximately 34 weeks postmenstrual age. The intestinal barrier is relatively permeable in neonates, allowing macromolecular absorption (which facilitates immunoglobulin transfer from colostrum but also increases susceptibility to bacterial translocation). The intestinal microbiome undergoes rapid colonization after birth, heavily influenced by mode of delivery, feeding type, antibiotic exposure, and the NICU environment.</w:t>
      </w:r>
    </w:p>
    <w:p>
      <w:pPr>
        <w:spacing w:after="120"/>
      </w:pPr>
      <w:r>
        <w:rPr>
          <w:rFonts w:ascii="Arial" w:cs="Arial" w:eastAsia="Arial" w:hAnsi="Arial"/>
          <w:sz w:val="24"/>
          <w:szCs w:val="24"/>
        </w:rPr>
        <w:t xml:space="preserve">Meconium is the first stool of the newborn, composed of ingested amniotic fluid, desquamated epithelial cells, bile, and mucus. It is typically dark green to black, thick, and viscous. Most term infants pass their first meconium within 24 hours of birth; 99 percent pass it within 48 hours. Delayed meconium passage (beyond 48 hours) should prompt evaluation for Hirschsprung disease, meconium ileus (associated with cystic fibrosis), or low intestinal obstruction.</w:t>
      </w:r>
    </w:p>
    <w:p>
      <w:pPr>
        <w:pStyle w:val="Heading2"/>
      </w:pPr>
      <w:r>
        <w:t xml:space="preserve">2.3 Hepatobiliary Physiology in the Newborn</w:t>
      </w:r>
    </w:p>
    <w:p>
      <w:pPr>
        <w:spacing w:after="120"/>
      </w:pPr>
      <w:r>
        <w:rPr>
          <w:rFonts w:ascii="Arial" w:cs="Arial" w:eastAsia="Arial" w:hAnsi="Arial"/>
          <w:sz w:val="24"/>
          <w:szCs w:val="24"/>
        </w:rPr>
        <w:t xml:space="preserve">The neonatal liver is the largest solid organ relative to body size, accounting for approximately 5 percent of body weight (compared to 2 percent in adults). It performs critical functions in bilirubin conjugation, bile acid synthesis and excretion, protein synthesis, drug metabolism, and glycogen storage. The biliary system consists of intrahepatic bile ducts that converge to form the right and left hepatic ducts, which join to form the common hepatic duct. The cystic duct from the gallbladder joins the common hepatic duct to form the common bile duct (CBD), which empties into the duodenum at the ampulla of Vater. Obstruction or destruction of any part of this system leads to cholestasis: the impaired formation or flow of bile.</w:t>
      </w:r>
    </w:p>
    <w:p>
      <w:pPr>
        <w:spacing w:after="120"/>
      </w:pPr>
      <w:r>
        <w:rPr>
          <w:rFonts w:ascii="Arial" w:cs="Arial" w:eastAsia="Arial" w:hAnsi="Arial"/>
          <w:sz w:val="24"/>
          <w:szCs w:val="24"/>
        </w:rPr>
        <w:t xml:space="preserve">Bilirubin metabolism is particularly relevant. Unconjugated (indirect) bilirubin is produced from the breakdown of heme, primarily from senescent red blood cells. It is lipid-soluble and transported bound to albumin to the liver, where it is conjugated with glucuronic acid by the enzyme uridine diphosphate glucuronosyltransferase (UGT1A1) to form conjugated (direct) bilirubin, which is water-soluble and excreted into bile. Conjugated bilirubin in the intestine is further metabolized by gut bacteria to urobilinogen and stercobilin, giving stool its characteristic color. In the neonate, UGT1A1 activity is low at birth, contributing to physiologic jaundice. When the conjugated (direct) fraction of bilirubin is elevated, this indicates pathologic cholestasis and warrants urgent evaluation.</w:t>
      </w:r>
    </w:p>
    <w:p>
      <w:pPr>
        <w:pStyle w:val="Heading2"/>
      </w:pPr>
      <w:r>
        <w:t xml:space="preserve">2.4 Epidemiology of Neonatal GI and Liver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Condition</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Incidence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Urgency Level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Malrotation with volvulus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Symptomatic: ~1 in 6,000 live births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Surgical emergency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Duodenal atresia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in 5,000-10,000 (30% with trisomy 21)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Surgical, semi-urgent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Jejunoileal atresia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in 5,000 live births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Surgical, semi-urgent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Necrotizing enterocolitis (NEC)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5-10% of VLBW infants; 0.3-2.4/1000 live births overall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Medical/surgical emergency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Hirschsprung disease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in 5,000 live births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Surgical, semi-urgent to urgent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Meconium ileus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15-20% of infants with cystic fibrosis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Surgical/medical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Gastroschisis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in 2,000-4,000 live births (increasing)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Immediate surgical management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Omphalocele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in 4,000-7,000 live births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Surgical; evaluate for associated anomalies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Biliary atresia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in 8,000-18,000 live births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Time-sensitive surgical (Kasai by 60 days)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Esophageal atresia/TEF</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in 2,500-4,500 live births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Surgical, semi-urgent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Imperforate anus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in 5,000 live births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Surgical evaluation within 24h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Infantile hypertrophic pyloric stenosis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 per 1,000 live births (presents 2-8 wk)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Surgical after rehydration</w:t>
            </w:r>
          </w:p>
        </w:tc>
      </w:tr>
    </w:tbl>
    <w:p>
      <w:pPr>
        <w:spacing w:after="120"/>
      </w:pPr>
      <w:r>
        <w:rPr>
          <w:rFonts w:ascii="Arial" w:cs="Arial" w:eastAsia="Arial" w:hAnsi="Arial"/>
          <w:sz w:val="24"/>
          <w:szCs w:val="24"/>
        </w:rPr>
        <w:t xml:space="preserve">Table 1. Incidence and urgency classification of major neonatal GI and liver conditions.</w:t>
      </w:r>
    </w:p>
    <w:p>
      <w:r>
        <w:br w:type="page"/>
      </w:r>
    </w:p>
    <w:p>
      <w:pPr>
        <w:pStyle w:val="Heading1"/>
      </w:pPr>
      <w:r>
        <w:t xml:space="preserve">Chapter 3: The Acute Neonatal Abdomen — Clinical Presentation</w:t>
      </w:r>
    </w:p>
    <w:p>
      <w:pPr>
        <w:pStyle w:val="Heading2"/>
      </w:pPr>
      <w:r>
        <w:t xml:space="preserve">3.1 The Cardinal Signs of Neonatal Intestinal Obstruction</w:t>
      </w:r>
    </w:p>
    <w:p>
      <w:pPr>
        <w:spacing w:after="120"/>
      </w:pPr>
      <w:r>
        <w:rPr>
          <w:rFonts w:ascii="Arial" w:cs="Arial" w:eastAsia="Arial" w:hAnsi="Arial"/>
          <w:sz w:val="24"/>
          <w:szCs w:val="24"/>
        </w:rPr>
        <w:t xml:space="preserve">Three cardinal signs define neonatal intestinal obstruction: bilious vomiting, abdominal distension, and failure to pass meconium. Not all three are present in every case; the specific combination depends on the level of obstruction. High (proximal) obstruction produces bilious vomiting early with minimal distension. Low (distal) obstruction produces marked distension with delayed or absent meconium passage, and vomiting occurs later. Understanding this pattern is essential for rapid differential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Bilious (green) vomiting in a neonate is a surgical emergency until proven otherwise. The most dangerous diagnosis is malrotation with midgut volvulus, which can progress from viable bowel to complete midgut infarction within hours. Any neonate with bilious vomiting requires immediate nasogastric decompression, IV access, fluid resuscitation, and urgent surgical consultation with imaging.</w:t>
            </w:r>
          </w:p>
        </w:tc>
      </w:tr>
    </w:tbl>
    <w:p>
      <w:pPr>
        <w:pStyle w:val="Heading2"/>
      </w:pPr>
      <w:r>
        <w:t xml:space="preserve">3.2 Malrotation with Midgut Volvulus</w:t>
      </w:r>
    </w:p>
    <w:p>
      <w:pPr>
        <w:spacing w:after="120"/>
      </w:pPr>
      <w:r>
        <w:rPr>
          <w:rFonts w:ascii="Arial" w:cs="Arial" w:eastAsia="Arial" w:hAnsi="Arial"/>
          <w:sz w:val="24"/>
          <w:szCs w:val="24"/>
        </w:rPr>
        <w:t xml:space="preserve">Malrotation with midgut volvulus is the quintessential neonatal surgical emergency. Approximately 75 to 85 percent of patients present within the first month of life, and most within the first week. The hallmark presentation is sudden-onset bilious vomiting in a previously well-appearing neonate. The abdomen may initially be soft and non-distended (scaphoid), which can be deceptively reassuring. As ischemia progresses, the infant develops abdominal tenderness, distension, bloody stools (current jelly stools indicating mucosal ischemia), lethargy, hemodynamic instability, and metabolic acidosis.</w:t>
      </w:r>
    </w:p>
    <w:p>
      <w:pPr>
        <w:spacing w:after="120"/>
      </w:pPr>
      <w:r>
        <w:rPr>
          <w:rFonts w:ascii="Arial" w:cs="Arial" w:eastAsia="Arial" w:hAnsi="Arial"/>
          <w:sz w:val="24"/>
          <w:szCs w:val="24"/>
        </w:rPr>
        <w:t xml:space="preserve">Diagnosis requires an urgent upper GI contrast study, which is the gold standard. Classic findings include abnormal positioning of the duodenojejunal junction (which normally should be to the left of the spine at the level of the pylorus) and a corkscrew or spiral appearance of the proximal jejunum. Ultrasound may show the whirlpool sign (rotation of the superior mesenteric vein around the superior mesenteric artery) and reversal of the normal SMA-SMV relationship. Plain abdominal radiographs are often nonspecific or even normal early in the course, which is why they should not provide false reassurance in the setting of bilious vomiting.</w:t>
      </w:r>
    </w:p>
    <w:p>
      <w:pPr>
        <w:spacing w:after="120"/>
      </w:pPr>
      <w:r>
        <w:rPr>
          <w:rFonts w:ascii="Arial" w:cs="Arial" w:eastAsia="Arial" w:hAnsi="Arial"/>
          <w:sz w:val="24"/>
          <w:szCs w:val="24"/>
        </w:rPr>
        <w:t xml:space="preserve">Treatment is emergent surgical intervention: Ladd procedure (reduction of volvulus, division of Ladd bands, widening of the mesenteric base, appendectomy, and placement of the bowel in a non-rotated position with the small bowel on the right and colon on the left). Mortality from midgut volvulus with established bowel necrosis remains approximately 10 to 28 percent. If the bowel is frankly necrotic at exploration, extensive resection may be required, potentially resulting in short bowel syndrome.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24"/>
                <w:szCs w:val="24"/>
              </w:rPr>
              <w:t xml:space="preserve">RURAL CONSIDERATION</w:t>
            </w:r>
          </w:p>
          <w:p>
            <w:pPr>
              <w:spacing w:after="120"/>
            </w:pPr>
            <w:r>
              <w:rPr>
                <w:rFonts w:ascii="Arial" w:cs="Arial" w:eastAsia="Arial" w:hAnsi="Arial"/>
                <w:sz w:val="24"/>
                <w:szCs w:val="24"/>
              </w:rPr>
              <w:t xml:space="preserve">In the rural ED or nursery, if a neonate presents with bilious vomiting, do not wait for an upper GI study to initiate resuscitation. Place an orogastric or nasogastric tube to decompress the stomach, establish IV access, begin fluid resuscitation with NS 20 mL/kg, start broad-spectrum antibiotics (ampicillin + gentamicin), and contact the receiving pediatric surgical center immediately for emergent transfer. If an upper GI study can be performed rapidly without delaying transfer, it may help guide surgical planning, but transport should not be delayed for imaging.</w:t>
            </w:r>
          </w:p>
        </w:tc>
      </w:tr>
    </w:tbl>
    <w:p>
      <w:pPr>
        <w:pStyle w:val="Heading2"/>
      </w:pPr>
      <w:r>
        <w:t xml:space="preserve">3.3 Duodenal Atresia and Stenosis</w:t>
      </w:r>
    </w:p>
    <w:p>
      <w:pPr>
        <w:spacing w:after="120"/>
      </w:pPr>
      <w:r>
        <w:rPr>
          <w:rFonts w:ascii="Arial" w:cs="Arial" w:eastAsia="Arial" w:hAnsi="Arial"/>
          <w:sz w:val="24"/>
          <w:szCs w:val="24"/>
        </w:rPr>
        <w:t xml:space="preserve">Duodenal atresia results from failure of the duodenal lumen to recanalize during the 8th to 10th week of gestation. It is strongly associated with trisomy 21 (present in approximately 30 percent of cases) and other anomalies including congenital heart disease, annular pancreas, and malrotation. The classic presentation is bilious vomiting (if the atresia is distal to the ampulla of Vater, which is the majority) or non-bilious vomiting (if proximal to the ampulla) within the first 24 to 48 hours of life. Polyhydramnios is frequently noted prenatally. The abdominal radiograph shows the classic double-bubble sign: a dilated, air-filled stomach and proximal duodenum with no distal bowel gas. This is virtually pathognomonic when no air is seen distally. Treatment is surgical (duodenoduodenostomy) after stabilization and evaluation for associated anomalies, particularly cardiac defects and chromosomal abnormalities.</w:t>
      </w:r>
    </w:p>
    <w:p>
      <w:pPr>
        <w:pStyle w:val="Heading2"/>
      </w:pPr>
      <w:r>
        <w:t xml:space="preserve">3.4 Jejunoileal Atresia</w:t>
      </w:r>
    </w:p>
    <w:p>
      <w:pPr>
        <w:spacing w:after="120"/>
      </w:pPr>
      <w:r>
        <w:rPr>
          <w:rFonts w:ascii="Arial" w:cs="Arial" w:eastAsia="Arial" w:hAnsi="Arial"/>
          <w:sz w:val="24"/>
          <w:szCs w:val="24"/>
        </w:rPr>
        <w:t xml:space="preserve">Jejunoileal atresia results from an in-utero mesenteric vascular accident leading to ischemic necrosis of a segment of bowel. Unlike duodenal atresia, it is not associated with chromosomal abnormalities. Presentation depends on the level: jejunal atresia presents with bilious vomiting and relatively few dilated loops on radiograph (triple bubble sign); ileal atresia presents with more marked distension, multiple dilated bowel loops, and delayed meconium passage. Treatment is surgical resection and primary anastomosis.</w:t>
      </w:r>
    </w:p>
    <w:p>
      <w:pPr>
        <w:pStyle w:val="Heading2"/>
      </w:pPr>
      <w:r>
        <w:t xml:space="preserve">3.5 Necrotizing Enterocolitis</w:t>
      </w:r>
    </w:p>
    <w:p>
      <w:pPr>
        <w:spacing w:after="120"/>
      </w:pPr>
      <w:r>
        <w:rPr>
          <w:rFonts w:ascii="Arial" w:cs="Arial" w:eastAsia="Arial" w:hAnsi="Arial"/>
          <w:sz w:val="24"/>
          <w:szCs w:val="24"/>
        </w:rPr>
        <w:t xml:space="preserve">Necrotizing enterocolitis (NEC) is the most common gastrointestinal emergency in neonates and the leading cause of GI-related mortality in the NICU. It primarily affects premature and very low birth weight (VLBW) infants, but approximately 10 percent of cases occur in term or near-term infants. The pathogenesis is multifactorial, involving intestinal immaturity, abnormal bacterial colonization, formula feeding, ischemia-reperfusion injury, and an exaggerated inflammatory response. In term infants, NEC is more commonly associated with underlying conditions such as congenital heart disease, birth asphyxia, sepsis, polycythemia, and small-for-gestational-age status.</w:t>
      </w:r>
    </w:p>
    <w:p>
      <w:pPr>
        <w:spacing w:after="120"/>
      </w:pPr>
      <w:r>
        <w:rPr>
          <w:rFonts w:ascii="Arial" w:cs="Arial" w:eastAsia="Arial" w:hAnsi="Arial"/>
          <w:sz w:val="24"/>
          <w:szCs w:val="24"/>
        </w:rPr>
        <w:t xml:space="preserve">The classic clinical triad is feeding intolerance (increased gastric residuals, emesis), abdominal distension, and bloody stools. Additional signs include lethargy, temperature instability, apnea and bradycardia episodes, and signs of sepsis. NEC is staged using the modified Bell criteria: Stage I (suspected NEC, nonspecific signs); Stage II (definite NEC, with pneumatosis intestinalis on radiograph and/or portal venous gas); Stage III (advanced NEC, with bowel perforation evidenced by pneumoperitoneum, or clinical deterioration with shock and DIC).</w:t>
      </w:r>
    </w:p>
    <w:p>
      <w:pPr>
        <w:spacing w:after="120"/>
      </w:pPr>
      <w:r>
        <w:rPr>
          <w:rFonts w:ascii="Arial" w:cs="Arial" w:eastAsia="Arial" w:hAnsi="Arial"/>
          <w:sz w:val="24"/>
          <w:szCs w:val="24"/>
        </w:rPr>
        <w:t xml:space="preserve">Diagnosis is primarily radiographic. The hallmark finding is pneumatosis intestinalis (intramural gas), which appears as linear or bubbly lucencies within the bowel wall. Portal venous gas (branching linear lucencies overlying the liver) indicates more advanced disease. Pneumoperitoneum (free air) indicates perforation and is an absolute indication for surgical intervention. A persistent fixed dilated loop on serial radiographs suggests bowel necrosis.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Bell Stage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Signs</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Radiographs</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Treatment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IA (Suspected)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Temperature instability, apnea, bradycardia, gastric residuals, mild distension, heme-positive stool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Normal or mild ileus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NPO, OG decompression, IV antibiotics x 3 days, serial exams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IB (Suspected)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Same as IA plus bright red blood per rectum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Same as IA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Same as IA</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IIA (Definite, mild)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Same as I plus absent bowel sounds, abdominal tenderness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Intestinal dilation, ileus, pneumatosis intestinalis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NPO, antibiotics x 7-10 days, serial radiographs q6-8h</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IIB (Definite, moderate)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Same as IIA plus abdominal wall edema/erythema, palpable mass, metabolic acidosis, thrombocytopenia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Same as IIA plus portal venous gas, ascites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Same as IIA plus paracentesis if needed</w:t>
            </w:r>
          </w:p>
        </w:tc>
      </w:tr>
      <w:tr>
        <w:tc>
          <w:tcPr>
            <w:tcW w:type="dxa" w:w="15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IIIA (Advanced, no perf)</w:t>
            </w:r>
          </w:p>
        </w:tc>
        <w:tc>
          <w:tcPr>
            <w:tcW w:type="dxa" w:w="2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Shock, DIC, severe metabolic acidosis, neutropenia, anuria</w:t>
            </w:r>
          </w:p>
        </w:tc>
        <w:tc>
          <w:tcPr>
            <w:tcW w:type="dxa" w:w="2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Same as IIB plus ascites, fixed loop</w:t>
            </w:r>
          </w:p>
        </w:tc>
        <w:tc>
          <w:tcPr>
            <w:tcW w:type="dxa" w:w="2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All of above + fluid resuscitation, vasopressors, ventilatory support, surgical consult</w:t>
            </w:r>
          </w:p>
        </w:tc>
      </w:tr>
      <w:tr>
        <w:tc>
          <w:tcPr>
            <w:tcW w:type="dxa" w:w="15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IIIB (Advanced, perforation)</w:t>
            </w:r>
          </w:p>
        </w:tc>
        <w:tc>
          <w:tcPr>
            <w:tcW w:type="dxa" w:w="2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Same as IIIA with evidence of perforation</w:t>
            </w:r>
          </w:p>
        </w:tc>
        <w:tc>
          <w:tcPr>
            <w:tcW w:type="dxa" w:w="2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Pneumoperitoneum</w:t>
            </w:r>
          </w:p>
        </w:tc>
        <w:tc>
          <w:tcPr>
            <w:tcW w:type="dxa" w:w="2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EMERGENT SURGERY (laparotomy or drain placement)</w:t>
            </w:r>
          </w:p>
        </w:tc>
      </w:tr>
    </w:tbl>
    <w:p>
      <w:pPr>
        <w:spacing w:after="120"/>
      </w:pPr>
      <w:r>
        <w:rPr>
          <w:rFonts w:ascii="Arial" w:cs="Arial" w:eastAsia="Arial" w:hAnsi="Arial"/>
          <w:sz w:val="24"/>
          <w:szCs w:val="24"/>
        </w:rPr>
        <w:t xml:space="preserve">Table 2. Modified Bell staging criteria for necrotizing enterocolitis.</w:t>
      </w:r>
    </w:p>
    <w:p>
      <w:pPr>
        <w:pStyle w:val="Heading2"/>
      </w:pPr>
      <w:r>
        <w:t xml:space="preserve">3.6 Hirschsprung Disease</w:t>
      </w:r>
    </w:p>
    <w:p>
      <w:pPr>
        <w:spacing w:after="120"/>
      </w:pPr>
      <w:r>
        <w:rPr>
          <w:rFonts w:ascii="Arial" w:cs="Arial" w:eastAsia="Arial" w:hAnsi="Arial"/>
          <w:sz w:val="24"/>
          <w:szCs w:val="24"/>
        </w:rPr>
        <w:t xml:space="preserve">Hirschsprung disease results from the failure of neural crest cells to complete their craniocaudal migration through the GI tract, resulting in an aganglionic segment of bowel. The aganglionic segment is unable to relax, creating a functional obstruction. The rectosigmoid colon is most commonly affected (short-segment disease, approximately 75-80 percent of cases), but total colonic or even total intestinal aganglionosis can occur. The incidence is approximately 1 in 5,000 live births, with a 4:1 male predominance. It is associated with trisomy 21 (approximately 2-10 percent of Hirschsprung patients have Down syndrome).</w:t>
      </w:r>
    </w:p>
    <w:p>
      <w:pPr>
        <w:spacing w:after="120"/>
      </w:pPr>
      <w:r>
        <w:rPr>
          <w:rFonts w:ascii="Arial" w:cs="Arial" w:eastAsia="Arial" w:hAnsi="Arial"/>
          <w:sz w:val="24"/>
          <w:szCs w:val="24"/>
        </w:rPr>
        <w:t xml:space="preserve">The classic presentation is delayed passage of meconium (failure to pass meconium within 48 hours of birth), progressive abdominal distension, and vomiting. However, the diagnosis can be subtle: some infants, particularly those who are breastfed (breast milk produces little residue), may present later with chronic constipation. The most feared complication is Hirschsprung-associated enterocolitis (HAEC), a potentially fatal condition characterized by explosive diarrhea, abdominal distension, fever, and sepsis. HAEC can occur before or after surgical correction.</w:t>
      </w:r>
    </w:p>
    <w:p>
      <w:pPr>
        <w:spacing w:after="120"/>
      </w:pPr>
      <w:r>
        <w:rPr>
          <w:rFonts w:ascii="Arial" w:cs="Arial" w:eastAsia="Arial" w:hAnsi="Arial"/>
          <w:sz w:val="24"/>
          <w:szCs w:val="24"/>
        </w:rPr>
        <w:t xml:space="preserve">Diagnosis is suggested by contrast enema (which shows a transition zone between the narrow aganglionic distal segment and the dilated proximal ganglionic bowel) and confirmed by suction rectal biopsy demonstrating absence of ganglion cells and hypertrophied nerve trunks. Anorectal manometry can support the diagnosis (absence of the rectoanal inhibitory reflex). It is important to note that the digital rectal examination should be deferred until after contrast enema, because the evacuation of stool triggered by rectal stimulation can decompress the colon and obscure the transition zone on imaging.</w:t>
      </w:r>
    </w:p>
    <w:p>
      <w:pPr>
        <w:pStyle w:val="Heading2"/>
      </w:pPr>
      <w:r>
        <w:t xml:space="preserve">3.7 Meconium-Related Disorders</w:t>
      </w:r>
    </w:p>
    <w:p>
      <w:pPr>
        <w:spacing w:after="120"/>
      </w:pPr>
      <w:r>
        <w:rPr>
          <w:rFonts w:ascii="Arial" w:cs="Arial" w:eastAsia="Arial" w:hAnsi="Arial"/>
          <w:sz w:val="24"/>
          <w:szCs w:val="24"/>
        </w:rPr>
        <w:t xml:space="preserve">Meconium ileus is the intraluminal obstruction of the distal ileum by abnormally thick, inspissated meconium. It is the earliest manifestation of cystic fibrosis (CF), occurring in approximately 15 to 20 percent of infants with CF. Presentation includes abdominal distension, bilious vomiting, and failure to pass meconium. Abdominal radiographs show dilated loops of bowel with a characteristic ground-glass or soap-bubble appearance in the right lower quadrant (Neuhauser sign), representing air mixed with meconium. Treatment may be non-operative (therapeutic Gastrografin enema, which is hyperosmolar and draws fluid into the bowel lumen to soften the meconium) or surgical (enterotomy with irrigation). All infants with meconium ileus should be tested for CF with a sweat chloride test and genetic testing.</w:t>
      </w:r>
    </w:p>
    <w:p>
      <w:pPr>
        <w:spacing w:after="120"/>
      </w:pPr>
      <w:r>
        <w:rPr>
          <w:rFonts w:ascii="Arial" w:cs="Arial" w:eastAsia="Arial" w:hAnsi="Arial"/>
          <w:sz w:val="24"/>
          <w:szCs w:val="24"/>
        </w:rPr>
        <w:t xml:space="preserve">Meconium plug syndrome (also called functional immaturity of the colon or neonatal small left colon syndrome) is a more benign condition in which a tenacious plug of meconium causes distal colonic obstruction. It is more common in infants of diabetic mothers and after maternal magnesium sulfate exposure. The contrast enema is both diagnostic and therapeutic. If symptoms persist after evacuation, Hirschsprung disease must be excluded with rectal biopsy.</w:t>
      </w:r>
    </w:p>
    <w:p>
      <w:pPr>
        <w:pStyle w:val="Heading2"/>
      </w:pPr>
      <w:r>
        <w:t xml:space="preserve">3.8 Abdominal Wall Defects: Gastroschisis and Omphalocele</w:t>
      </w:r>
    </w:p>
    <w:p>
      <w:pPr>
        <w:spacing w:after="120"/>
      </w:pPr>
      <w:r>
        <w:rPr>
          <w:rFonts w:ascii="Arial" w:cs="Arial" w:eastAsia="Arial" w:hAnsi="Arial"/>
          <w:sz w:val="24"/>
          <w:szCs w:val="24"/>
        </w:rPr>
        <w:t xml:space="preserve">Gastroschisis is a full-thickness abdominal wall defect, typically located to the right of the umbilicus, through which bowel (and sometimes other organs) herniates without a covering membrane. The incidence is increasing, particularly in infants of young mothers. The exposed bowel is at risk for hypothermia, fluid loss, infection, and ischemic injury from constriction at the abdominal wall defect. Immediate management in the delivery room includes wrapping the exposed bowel in warm, saline-moistened sterile gauze, placing the infant in a bowel bag (sterile plastic pouch) to minimize heat and fluid loss, establishing IV access, starting fluid resuscitation (these infants have massive third-space losses), and placing a nasogastric tube for decompression. Definitive management is surgical (primary closure or staged silo reduction).</w:t>
      </w:r>
    </w:p>
    <w:p>
      <w:pPr>
        <w:spacing w:after="120"/>
      </w:pPr>
      <w:r>
        <w:rPr>
          <w:rFonts w:ascii="Arial" w:cs="Arial" w:eastAsia="Arial" w:hAnsi="Arial"/>
          <w:sz w:val="24"/>
          <w:szCs w:val="24"/>
        </w:rPr>
        <w:t xml:space="preserve">Omphalocele is a midline abdominal wall defect at the umbilicus with herniation of abdominal contents into a sac covered by peritoneum and amnion. Unlike gastroschisis, omphalocele is frequently associated with other anomalies: chromosomal abnormalities (trisomy 13, 18, 21), Beckwith-Wiedemann syndrome, and cardiac, renal, and skeletal defects. Evaluation for associated anomalies is a priority. Small omphaloceles may be repaired primarily; giant omphaloceles require staged approaches.</w:t>
      </w:r>
    </w:p>
    <w:p>
      <w:r>
        <w:br w:type="page"/>
      </w:r>
    </w:p>
    <w:p>
      <w:pPr>
        <w:pStyle w:val="Heading1"/>
      </w:pPr>
      <w:r>
        <w:t xml:space="preserve">Chapter 4: Neonatal Liver Disorders and Cholestasis</w:t>
      </w:r>
    </w:p>
    <w:p>
      <w:pPr>
        <w:pStyle w:val="Heading2"/>
      </w:pPr>
      <w:r>
        <w:t xml:space="preserve">4.1 Recognizing Neonatal Cholestasis</w:t>
      </w:r>
    </w:p>
    <w:p>
      <w:pPr>
        <w:spacing w:after="120"/>
      </w:pPr>
      <w:r>
        <w:rPr>
          <w:rFonts w:ascii="Arial" w:cs="Arial" w:eastAsia="Arial" w:hAnsi="Arial"/>
          <w:sz w:val="24"/>
          <w:szCs w:val="24"/>
        </w:rPr>
        <w:t xml:space="preserve">Neonatal cholestasis is defined as conjugated (direct) hyperbilirubinemia in the newborn, indicating impaired bile formation or flow. The NASPGHAN/ESPGHAN joint guidelines define an elevated direct bilirubin as greater than 1.0 mg/dL (17 micromol/L). The previous threshold of direct bilirubin exceeding 20 percent of total bilirubin is no longer considered necessary for the diagnosis of cholestasis. Clinically, cholestatic infants present with prolonged jaundice (beyond 2 weeks in formula-fed infants, beyond 3 to 4 weeks in breastfed infants), dark urine (conjugated bilirubin is water-soluble and excreted by the kidneys), and pale or acholic (clay-colored) stools (indicating absent bile pigment in the intestine). Hepatomegaly may be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The 2022 AAP hyperbilirubinemia guidelines recommend that for breastfed infants still jaundiced at 3 to 4 weeks of age, and for formula-fed infants still jaundiced at 2 weeks of age, a total and direct (or conjugated) bilirubin should be measured to evaluate for cholestasis. An elevated direct bilirubin greater than 1.0 mg/dL warrants timely evaluation and referral to a pediatric gastroenterologist or hepatologist. Do not dismiss prolonged jaundice as breast milk jaundice without checking the fractionated bilirubin.</w:t>
            </w:r>
          </w:p>
        </w:tc>
      </w:tr>
    </w:tbl>
    <w:p>
      <w:pPr>
        <w:pStyle w:val="Heading2"/>
      </w:pPr>
      <w:r>
        <w:t xml:space="preserve">4.2 Biliary Atresia</w:t>
      </w:r>
    </w:p>
    <w:p>
      <w:pPr>
        <w:spacing w:after="120"/>
      </w:pPr>
      <w:r>
        <w:rPr>
          <w:rFonts w:ascii="Arial" w:cs="Arial" w:eastAsia="Arial" w:hAnsi="Arial"/>
          <w:sz w:val="24"/>
          <w:szCs w:val="24"/>
        </w:rPr>
        <w:t xml:space="preserve">Biliary atresia is the most common cause of neonatal cholestasis requiring surgical intervention and the most common indication for liver transplantation in children. It is a progressive, inflammatory, fibro-obliterative process affecting the extrahepatic (and sometimes intrahepatic) bile ducts, leading to complete biliary obstruction if untreated. The incidence is approximately 1 in 8,000 to 18,000 live births, with higher rates in East Asian populations. The etiology is not fully understood but may involve a viral trigger, immune-mediated injury, or a developmental defect of the bile ducts.</w:t>
      </w:r>
    </w:p>
    <w:p>
      <w:pPr>
        <w:spacing w:after="120"/>
      </w:pPr>
      <w:r>
        <w:rPr>
          <w:rFonts w:ascii="Arial" w:cs="Arial" w:eastAsia="Arial" w:hAnsi="Arial"/>
          <w:sz w:val="24"/>
          <w:szCs w:val="24"/>
        </w:rPr>
        <w:t xml:space="preserve">Infants with biliary atresia typically appear healthy at birth and develop progressive jaundice over the first weeks of life. The key clinical clue is persistently acholic (white or pale clay-colored) stools. Dark urine may also be noted. The liver is often firm and enlarged. If undiagnosed, biliary cirrhosis develops rapidly, with portal hypertension, ascites, synthetic failure, and death typically by 2 years of age without transplantation.</w:t>
      </w:r>
    </w:p>
    <w:p>
      <w:pPr>
        <w:spacing w:after="120"/>
      </w:pPr>
      <w:r>
        <w:rPr>
          <w:rFonts w:ascii="Arial" w:cs="Arial" w:eastAsia="Arial" w:hAnsi="Arial"/>
          <w:sz w:val="24"/>
          <w:szCs w:val="24"/>
        </w:rPr>
        <w:t xml:space="preserve">The definitive treatment is the Kasai portoenterostomy (hepatoportoenterostomy), a surgical procedure that creates a conduit for bile drainage by anastomosing a Roux-en-Y limb of jejunum to the transected porta hepatis. The success of the Kasai procedure is highly time-dependent: bile flow is restored in approximately 60 to 80 percent of infants when the procedure is performed before 60 days of life, but success drops dramatically when performed after 90 days. Even with successful Kasai, many patients eventually require liver transplantation, but the procedure can delay transplantation for years or decades.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24"/>
                <w:szCs w:val="24"/>
              </w:rPr>
              <w:t xml:space="preserve">RURAL CONSIDERATION</w:t>
            </w:r>
          </w:p>
          <w:p>
            <w:pPr>
              <w:spacing w:after="120"/>
            </w:pPr>
            <w:r>
              <w:rPr>
                <w:rFonts w:ascii="Arial" w:cs="Arial" w:eastAsia="Arial" w:hAnsi="Arial"/>
                <w:sz w:val="24"/>
                <w:szCs w:val="24"/>
              </w:rPr>
              <w:t xml:space="preserve">In the rural setting, the single most important action for biliary atresia is timely referral. Any infant with a direct bilirubin greater than 1.0 mg/dL should be referred promptly to pediatric gastroenterology. Do not wait to see if jaundice resolves. Ask parents about stool color at every well-baby visit in the first month. Some centers now use stool color cards (showing normal and abnormal stool colors) given to parents at discharge to facilitate early detection.</w:t>
            </w:r>
          </w:p>
        </w:tc>
      </w:tr>
    </w:tbl>
    <w:p>
      <w:pPr>
        <w:pStyle w:val="Heading2"/>
      </w:pPr>
      <w:r>
        <w:t xml:space="preserve">4.3 Other Causes of Neonatal Cholestasis</w:t>
      </w:r>
    </w:p>
    <w:p>
      <w:pPr>
        <w:spacing w:after="120"/>
      </w:pPr>
      <w:r>
        <w:rPr>
          <w:rFonts w:ascii="Arial" w:cs="Arial" w:eastAsia="Arial" w:hAnsi="Arial"/>
          <w:sz w:val="24"/>
          <w:szCs w:val="24"/>
        </w:rPr>
        <w:t xml:space="preserve">While biliary atresia is the most important cause to identify (because of the time-sensitive surgical window), the differential diagnosis of neonatal cholestasis is broad. Other important causes include: idiopathic neonatal hepatitis (a diagnosis of exclusion, accounting for approximately 15 to 25 percent of cases), alpha-1 antitrypsin deficiency (the most common genetic cause of cholestasis), Alagille syndrome (syndromic paucity of intrahepatic bile ducts, associated with characteristic facies, cardiac anomalies, butterfly vertebrae, and posterior embryotoxon of the eye), progressive familial intrahepatic cholestasis (PFIC types 1, 2, and 3), choledochal cyst (cystic dilatation of the bile duct, diagnosed by ultrasound), galactosemia (detected by newborn screening; causes hepatocellular injury and cholestasis), tyrosinemia type I (detected by newborn screening; causes severe liver injury), hypothyroidism, urinary tract infection (particularly E. coli, which can cause cholestasis without other hepatic pathology), sepsis, TPN-associated cholestasis, and cystic fibrosis.</w:t>
      </w:r>
    </w:p>
    <w:p>
      <w:pPr>
        <w:spacing w:after="120"/>
      </w:pPr>
      <w:r>
        <w:rPr>
          <w:rFonts w:ascii="Arial" w:cs="Arial" w:eastAsia="Arial" w:hAnsi="Arial"/>
          <w:sz w:val="24"/>
          <w:szCs w:val="24"/>
        </w:rPr>
        <w:t xml:space="preserve">The initial evaluation of neonatal cholestasis should include: fractionated bilirubin (total, direct/conjugated), liver function tests (ALT, AST, GGT, alkaline phosphatase, albumin), coagulation studies (PT/INR, as a marker of hepatic synthetic function), metabolic studies (alpha-1 antitrypsin level and phenotype, urine reducing substances for galactosemia, serum amino acids, urine organic acids), thyroid function tests (TSH, free T4), urinalysis and urine culture, sweat chloride test, TORCH titers (if clinically indicated), and abdominal ultrasound with Doppler (to evaluate liver size, echotexture, gallbladder morphology, bile duct dilatation, and vascular anatomy). The triangular cord sign on ultrasound (an echogenic triangular density anterior to the portal vein) is suggestive of biliary atresia. A small or absent gallbladder is also concerning for biliary atresia, though it is not specific.</w:t>
      </w:r>
    </w:p>
    <w:p>
      <w:r>
        <w:br w:type="page"/>
      </w:r>
    </w:p>
    <w:p>
      <w:pPr>
        <w:pStyle w:val="Heading1"/>
      </w:pPr>
      <w:r>
        <w:t xml:space="preserve">Chapter 5: Common Nursery GI Conditions</w:t>
      </w:r>
    </w:p>
    <w:p>
      <w:pPr>
        <w:pStyle w:val="Heading2"/>
      </w:pPr>
      <w:r>
        <w:t xml:space="preserve">5.1 Feeding Intolerance in the Newborn</w:t>
      </w:r>
    </w:p>
    <w:p>
      <w:pPr>
        <w:spacing w:after="120"/>
      </w:pPr>
      <w:r>
        <w:rPr>
          <w:rFonts w:ascii="Arial" w:cs="Arial" w:eastAsia="Arial" w:hAnsi="Arial"/>
          <w:sz w:val="24"/>
          <w:szCs w:val="24"/>
        </w:rPr>
        <w:t xml:space="preserve">Feeding intolerance is one of the most common clinical concerns in the newborn nursery. It is a nonspecific finding that can represent anything from normal transitional GI immaturity to a life-threatening surgical emergency. Key features that distinguish benign feeding intolerance from surgical pathology include: the character of the emesis (non-bilious vs bilious), the presence or absence of abdominal distension, stool pattern (normal meconium transition vs absent or bloody stools), and the overall clinical trajectory (improving vs worsening). Non-bilious spit-up or emesis in an otherwise well-appearing infant who is stooling normally and gaining weight is almost always benign.</w:t>
      </w:r>
    </w:p>
    <w:p>
      <w:pPr>
        <w:pStyle w:val="Heading2"/>
      </w:pPr>
      <w:r>
        <w:t xml:space="preserve">5.2 Gastroesophageal Reflux vs GERD</w:t>
      </w:r>
    </w:p>
    <w:p>
      <w:pPr>
        <w:spacing w:after="120"/>
      </w:pPr>
      <w:r>
        <w:rPr>
          <w:rFonts w:ascii="Arial" w:cs="Arial" w:eastAsia="Arial" w:hAnsi="Arial"/>
          <w:sz w:val="24"/>
          <w:szCs w:val="24"/>
        </w:rPr>
        <w:t xml:space="preserve">Gastroesophageal reflux (GER) is the physiologic passage of gastric contents into the esophagus. It is nearly universal in neonates and infants, owing to a combination of an incompetent lower esophageal sphincter, a predominantly liquid diet, frequent feeding, and relatively large feeding volumes relative to gastric capacity. GER becomes gastroesophageal reflux disease (GERD) when it causes troublesome symptoms or complications: poor weight gain, feeding refusal, respiratory symptoms (apnea, recurrent aspiration), or esophagitis.</w:t>
      </w:r>
    </w:p>
    <w:p>
      <w:pPr>
        <w:spacing w:after="120"/>
      </w:pPr>
      <w:r>
        <w:rPr>
          <w:rFonts w:ascii="Arial" w:cs="Arial" w:eastAsia="Arial" w:hAnsi="Arial"/>
          <w:sz w:val="24"/>
          <w:szCs w:val="24"/>
        </w:rPr>
        <w:t xml:space="preserve">Management of uncomplicated GER in the nursery is conservative: smaller, more frequent feedings; upright positioning after feeds for 20 to 30 minutes; avoidance of overfeeding; and if formula-fed, a trial of thickened feedings. Pharmacotherapy with acid-suppressing agents (H2 receptor antagonists or proton pump inhibitors) should be reserved for confirmed GERD with documented esophagitis or significant complications, and should not be used routinely for uncomplicated GER, as recent evidence has linked PPI use in neonates with increased risk of NEC, infections, and bone fractures.</w:t>
      </w:r>
    </w:p>
    <w:p>
      <w:pPr>
        <w:pStyle w:val="Heading2"/>
      </w:pPr>
      <w:r>
        <w:t xml:space="preserve">5.3 Neonatal GI Bleeding</w:t>
      </w:r>
    </w:p>
    <w:p>
      <w:pPr>
        <w:spacing w:after="120"/>
      </w:pPr>
      <w:r>
        <w:rPr>
          <w:rFonts w:ascii="Arial" w:cs="Arial" w:eastAsia="Arial" w:hAnsi="Arial"/>
          <w:sz w:val="24"/>
          <w:szCs w:val="24"/>
        </w:rPr>
        <w:t xml:space="preserve">GI bleeding in the newborn has a broad differential diagnosis. Upper GI bleeding (hematemesis, coffee-ground emesis) may be caused by swallowed maternal blood (the most common benign cause, distinguished by the Apt test which differentiates fetal from maternal hemoglobin), stress gastritis/ulceration (in critically ill neonates), esophagitis from severe GER, or coagulopathy (including vitamin K deficiency bleeding). Lower GI bleeding (hematochezia, bloody stools) may be caused by anal fissure (the most common cause in well-appearing term infants), allergic proctocolitis (cow's milk protein allergy, which presents with blood-streaked stools in a well-appearing breastfed infant whose mother consumes dairy), necrotizing enterocolitis (in the preterm or at-risk term infant), midgut volvulus (bloody stools with bilious vomiting and abdominal distension), Meckel diverticulum (usually painless, large-volume maroon or brick-red stools), and coagulopathy.</w:t>
      </w:r>
    </w:p>
    <w:p>
      <w:pPr>
        <w:pStyle w:val="Heading2"/>
      </w:pPr>
      <w:r>
        <w:t xml:space="preserve">5.4 Neonatal Constipation and Delayed Meconium Passage</w:t>
      </w:r>
    </w:p>
    <w:p>
      <w:pPr>
        <w:spacing w:after="120"/>
      </w:pPr>
      <w:r>
        <w:rPr>
          <w:rFonts w:ascii="Arial" w:cs="Arial" w:eastAsia="Arial" w:hAnsi="Arial"/>
          <w:sz w:val="24"/>
          <w:szCs w:val="24"/>
        </w:rPr>
        <w:t xml:space="preserve">Delayed meconium passage (beyond 48 hours of life) in a term infant should prompt evaluation for Hirschsprung disease, meconium ileus (CF), hypothyroidism, and anorectal malformations. In preterm infants, delayed meconium passage is more common and often reflects functional immaturity rather than structural pathology. Simple interventions such as glycerin suppositories or rectal stimulation can facilitate meconium passage in preterm infants with functional immaturity, but persistent symptoms should be evaluated. Meconium plug syndrome is typically resolved with a contrast enema but, as noted previously, requires exclusion of Hirschsprung disease if symptoms recur.</w:t>
      </w:r>
    </w:p>
    <w:p>
      <w:pPr>
        <w:pStyle w:val="Heading2"/>
      </w:pPr>
      <w:r>
        <w:t xml:space="preserve">5.5 Neonatal Jaundice: GI and Liver Perspective</w:t>
      </w:r>
    </w:p>
    <w:p>
      <w:pPr>
        <w:spacing w:after="120"/>
      </w:pPr>
      <w:r>
        <w:rPr>
          <w:rFonts w:ascii="Arial" w:cs="Arial" w:eastAsia="Arial" w:hAnsi="Arial"/>
          <w:sz w:val="24"/>
          <w:szCs w:val="24"/>
        </w:rPr>
        <w:t xml:space="preserve">While the complete management of neonatal hyperbilirubinemia is beyond the scope of this GI-focused guide, the intersection of jaundice and GI/liver disease is critical. The 2022 AAP clinical practice guideline (Pediatrics 2022;150(3):e2022058859) provides the updated framework for screening, monitoring, and treating unconjugated hyperbilirubinemia. Key points relevant to the GI provider include: universal bilirubin screening (TSB or TcB) between 24 and 48 hours after birth; measurement of total and direct bilirubin in any infant still jaundiced at 2 weeks (formula-fed) or 3 to 4 weeks (breastfed); and the understanding that breast milk jaundice is a diagnosis of exclusion that requires ruling out cholestasis, galactosemia, hypothyroidism, and other metabolic conditions.</w:t>
      </w:r>
    </w:p>
    <w:p>
      <w:r>
        <w:br w:type="page"/>
      </w:r>
    </w:p>
    <w:p>
      <w:pPr>
        <w:pStyle w:val="Heading1"/>
      </w:pPr>
      <w:r>
        <w:t xml:space="preserve">Chapter 6: Special Populations</w:t>
      </w:r>
    </w:p>
    <w:p>
      <w:pPr>
        <w:pStyle w:val="Heading2"/>
      </w:pPr>
      <w:r>
        <w:t xml:space="preserve">6.1 Late Preterm Infants (34-36+6 Weeks)</w:t>
      </w:r>
    </w:p>
    <w:p>
      <w:pPr>
        <w:spacing w:after="120"/>
      </w:pPr>
      <w:r>
        <w:rPr>
          <w:rFonts w:ascii="Arial" w:cs="Arial" w:eastAsia="Arial" w:hAnsi="Arial"/>
          <w:sz w:val="24"/>
          <w:szCs w:val="24"/>
        </w:rPr>
        <w:t xml:space="preserve">Late preterm infants are at increased risk for feeding difficulties due to immature suck-swallow-breathe coordination, reduced gastric motility, and lower fat and protein absorption efficiency. They are more prone to hyperbilirubinemia (both from increased red cell turnover and hepatic immaturity) and are at modestly increased risk for NEC compared to term infants. NEC in late preterm and term infants has a different risk factor profile than in VLBW infants, with associations including congenital heart disease, birth asphyxia, sepsis, polycythemia, exchange transfusion, and IVIG administration.</w:t>
      </w:r>
    </w:p>
    <w:p>
      <w:pPr>
        <w:pStyle w:val="Heading2"/>
      </w:pPr>
      <w:r>
        <w:t xml:space="preserve">6.2 Infants with Trisomy 21</w:t>
      </w:r>
    </w:p>
    <w:p>
      <w:pPr>
        <w:spacing w:after="120"/>
      </w:pPr>
      <w:r>
        <w:rPr>
          <w:rFonts w:ascii="Arial" w:cs="Arial" w:eastAsia="Arial" w:hAnsi="Arial"/>
          <w:sz w:val="24"/>
          <w:szCs w:val="24"/>
        </w:rPr>
        <w:t xml:space="preserve">Infants with Down syndrome have a 5 to 12 percent incidence of duodenal atresia or stenosis and an approximately 2 to 10 percent incidence of Hirschsprung disease. Additionally, they have increased rates of imperforate anus, annular pancreas, and tracheoesophageal fistula. Neonates with trisomy 21 should have a careful GI evaluation in the immediate newborn period, with attention to feeding tolerance, stooling pattern, and any signs of obstruction.</w:t>
      </w:r>
    </w:p>
    <w:p>
      <w:pPr>
        <w:pStyle w:val="Heading2"/>
      </w:pPr>
      <w:r>
        <w:t xml:space="preserve">6.3 Infants with Congenital Heart Disease</w:t>
      </w:r>
    </w:p>
    <w:p>
      <w:pPr>
        <w:spacing w:after="120"/>
      </w:pPr>
      <w:r>
        <w:rPr>
          <w:rFonts w:ascii="Arial" w:cs="Arial" w:eastAsia="Arial" w:hAnsi="Arial"/>
          <w:sz w:val="24"/>
          <w:szCs w:val="24"/>
        </w:rPr>
        <w:t xml:space="preserve">Neonates with hemodynamically significant congenital heart disease (particularly ductal-dependent lesions, single-ventricle physiology, and conditions associated with low cardiac output) are at increased risk for NEC due to mesenteric hypoperfusion. The use of prostaglandin E1 to maintain ductal patency does not eliminate this risk. Feeding protocols for cardiac neonates should be conservative, with careful monitoring for signs of feeding intolerance. These infants are more likely to develop NEC at later gestational ages and without the typical prematurity-associated risk factors.</w:t>
      </w:r>
    </w:p>
    <w:p>
      <w:r>
        <w:br w:type="page"/>
      </w:r>
    </w:p>
    <w:p>
      <w:pPr>
        <w:pStyle w:val="Heading1"/>
      </w:pPr>
      <w:r>
        <w:t xml:space="preserve">Chapter 7: Transport and Escalation</w:t>
      </w:r>
    </w:p>
    <w:p>
      <w:pPr>
        <w:pStyle w:val="Heading2"/>
      </w:pPr>
      <w:r>
        <w:t xml:space="preserve">7.1 Criteria for Immediate Transport</w:t>
      </w:r>
    </w:p>
    <w:p>
      <w:pPr>
        <w:pStyle w:val="ListParagraph"/>
        <w:numPr>
          <w:ilvl w:val="0"/>
          <w:numId w:val="2"/>
        </w:numPr>
        <w:spacing w:after="60"/>
      </w:pPr>
      <w:r>
        <w:rPr>
          <w:rFonts w:ascii="Arial" w:cs="Arial" w:eastAsia="Arial" w:hAnsi="Arial"/>
          <w:sz w:val="24"/>
          <w:szCs w:val="24"/>
        </w:rPr>
        <w:t xml:space="preserve">Bilious vomiting with suspected malrotation/volvulus (surgical emergency)</w:t>
      </w:r>
    </w:p>
    <w:p>
      <w:pPr>
        <w:pStyle w:val="ListParagraph"/>
        <w:numPr>
          <w:ilvl w:val="0"/>
          <w:numId w:val="2"/>
        </w:numPr>
        <w:spacing w:after="60"/>
      </w:pPr>
      <w:r>
        <w:rPr>
          <w:rFonts w:ascii="Arial" w:cs="Arial" w:eastAsia="Arial" w:hAnsi="Arial"/>
          <w:sz w:val="24"/>
          <w:szCs w:val="24"/>
        </w:rPr>
        <w:t xml:space="preserve">Pneumoperitoneum on radiograph (intestinal perforation from NEC or other cause)</w:t>
      </w:r>
    </w:p>
    <w:p>
      <w:pPr>
        <w:pStyle w:val="ListParagraph"/>
        <w:numPr>
          <w:ilvl w:val="0"/>
          <w:numId w:val="2"/>
        </w:numPr>
        <w:spacing w:after="60"/>
      </w:pPr>
      <w:r>
        <w:rPr>
          <w:rFonts w:ascii="Arial" w:cs="Arial" w:eastAsia="Arial" w:hAnsi="Arial"/>
          <w:sz w:val="24"/>
          <w:szCs w:val="24"/>
        </w:rPr>
        <w:t xml:space="preserve">Abdominal wall defect (gastroschisis, ruptured omphalocele) at delivery</w:t>
      </w:r>
    </w:p>
    <w:p>
      <w:pPr>
        <w:pStyle w:val="ListParagraph"/>
        <w:numPr>
          <w:ilvl w:val="0"/>
          <w:numId w:val="2"/>
        </w:numPr>
        <w:spacing w:after="60"/>
      </w:pPr>
      <w:r>
        <w:rPr>
          <w:rFonts w:ascii="Arial" w:cs="Arial" w:eastAsia="Arial" w:hAnsi="Arial"/>
          <w:sz w:val="24"/>
          <w:szCs w:val="24"/>
        </w:rPr>
        <w:t xml:space="preserve">NEC with progressive clinical deterioration (Bell Stage IIB or higher)</w:t>
      </w:r>
    </w:p>
    <w:p>
      <w:pPr>
        <w:pStyle w:val="ListParagraph"/>
        <w:numPr>
          <w:ilvl w:val="0"/>
          <w:numId w:val="2"/>
        </w:numPr>
        <w:spacing w:after="60"/>
      </w:pPr>
      <w:r>
        <w:rPr>
          <w:rFonts w:ascii="Arial" w:cs="Arial" w:eastAsia="Arial" w:hAnsi="Arial"/>
          <w:sz w:val="24"/>
          <w:szCs w:val="24"/>
        </w:rPr>
        <w:t xml:space="preserve">Esophageal atresia (inability to pass nasogastric tube, excessive drooling)</w:t>
      </w:r>
    </w:p>
    <w:p>
      <w:pPr>
        <w:pStyle w:val="ListParagraph"/>
        <w:numPr>
          <w:ilvl w:val="0"/>
          <w:numId w:val="2"/>
        </w:numPr>
        <w:spacing w:after="60"/>
      </w:pPr>
      <w:r>
        <w:rPr>
          <w:rFonts w:ascii="Arial" w:cs="Arial" w:eastAsia="Arial" w:hAnsi="Arial"/>
          <w:sz w:val="24"/>
          <w:szCs w:val="24"/>
        </w:rPr>
        <w:t xml:space="preserve">Evidence of bowel ischemia: bloody sool, peritoneal signs, metabolic acidosis, DIC</w:t>
      </w:r>
    </w:p>
    <w:p>
      <w:pPr>
        <w:pStyle w:val="ListParagraph"/>
        <w:numPr>
          <w:ilvl w:val="0"/>
          <w:numId w:val="2"/>
        </w:numPr>
        <w:spacing w:after="60"/>
      </w:pPr>
      <w:r>
        <w:rPr>
          <w:rFonts w:ascii="Arial" w:cs="Arial" w:eastAsia="Arial" w:hAnsi="Arial"/>
          <w:sz w:val="24"/>
          <w:szCs w:val="24"/>
        </w:rPr>
        <w:t xml:space="preserve">Any neonate with intestinal obstruction requiring surgical evaluation</w:t>
      </w:r>
    </w:p>
    <w:p>
      <w:pPr>
        <w:pStyle w:val="Heading2"/>
      </w:pPr>
      <w:r>
        <w:t xml:space="preserve">7.2 Stabilization Principles for GI Emergencies</w:t>
      </w:r>
    </w:p>
    <w:p>
      <w:pPr>
        <w:pStyle w:val="ListParagraph"/>
        <w:numPr>
          <w:ilvl w:val="0"/>
          <w:numId w:val="3"/>
        </w:numPr>
        <w:spacing w:after="60"/>
      </w:pPr>
      <w:r>
        <w:rPr>
          <w:rFonts w:ascii="Arial" w:cs="Arial" w:eastAsia="Arial" w:hAnsi="Arial"/>
          <w:sz w:val="24"/>
          <w:szCs w:val="24"/>
        </w:rPr>
        <w:t xml:space="preserve">NPO (nil per os): Stop all enteral feeds immediately</w:t>
      </w:r>
    </w:p>
    <w:p>
      <w:pPr>
        <w:pStyle w:val="ListParagraph"/>
        <w:numPr>
          <w:ilvl w:val="0"/>
          <w:numId w:val="3"/>
        </w:numPr>
        <w:spacing w:after="60"/>
      </w:pPr>
      <w:r>
        <w:rPr>
          <w:rFonts w:ascii="Arial" w:cs="Arial" w:eastAsia="Arial" w:hAnsi="Arial"/>
          <w:sz w:val="24"/>
          <w:szCs w:val="24"/>
        </w:rPr>
        <w:t xml:space="preserve">Nasogastric/orogastric decompression: Place a large-bore tube to continuous low-wall suction</w:t>
      </w:r>
    </w:p>
    <w:p>
      <w:pPr>
        <w:pStyle w:val="ListParagraph"/>
        <w:numPr>
          <w:ilvl w:val="0"/>
          <w:numId w:val="3"/>
        </w:numPr>
        <w:spacing w:after="60"/>
      </w:pPr>
      <w:r>
        <w:rPr>
          <w:rFonts w:ascii="Arial" w:cs="Arial" w:eastAsia="Arial" w:hAnsi="Arial"/>
          <w:sz w:val="24"/>
          <w:szCs w:val="24"/>
        </w:rPr>
        <w:t xml:space="preserve">IV access and fluid resuscitation: NS 20 mL/kg bolus(es) as needed for hypovolemia. Start maintenance D10W + electrolytes. Third-space losses in bowel obstruction and abdominal wall defects can be massive.</w:t>
      </w:r>
    </w:p>
    <w:p>
      <w:pPr>
        <w:pStyle w:val="ListParagraph"/>
        <w:numPr>
          <w:ilvl w:val="0"/>
          <w:numId w:val="3"/>
        </w:numPr>
        <w:spacing w:after="60"/>
      </w:pPr>
      <w:r>
        <w:rPr>
          <w:rFonts w:ascii="Arial" w:cs="Arial" w:eastAsia="Arial" w:hAnsi="Arial"/>
          <w:sz w:val="24"/>
          <w:szCs w:val="24"/>
        </w:rPr>
        <w:t xml:space="preserve">Broad-spectrum IV antibiotics: Ampicillin + gentamicin is standard first-line for suspected NEC; add anaerobic coverage (metronidazole or clindamycin) if perforation is suspected.</w:t>
      </w:r>
    </w:p>
    <w:p>
      <w:pPr>
        <w:pStyle w:val="ListParagraph"/>
        <w:numPr>
          <w:ilvl w:val="0"/>
          <w:numId w:val="3"/>
        </w:numPr>
        <w:spacing w:after="60"/>
      </w:pPr>
      <w:r>
        <w:rPr>
          <w:rFonts w:ascii="Arial" w:cs="Arial" w:eastAsia="Arial" w:hAnsi="Arial"/>
          <w:sz w:val="24"/>
          <w:szCs w:val="24"/>
        </w:rPr>
        <w:t xml:space="preserve">Thermoregulation: Maintain normothermia. Infants with gastroschisis or large omphaloceles lose heat and fluid rapidly through exposed bowel.</w:t>
      </w:r>
    </w:p>
    <w:p>
      <w:pPr>
        <w:pStyle w:val="ListParagraph"/>
        <w:numPr>
          <w:ilvl w:val="0"/>
          <w:numId w:val="3"/>
        </w:numPr>
        <w:spacing w:after="60"/>
      </w:pPr>
      <w:r>
        <w:rPr>
          <w:rFonts w:ascii="Arial" w:cs="Arial" w:eastAsia="Arial" w:hAnsi="Arial"/>
          <w:sz w:val="24"/>
          <w:szCs w:val="24"/>
        </w:rPr>
        <w:t xml:space="preserve">Serial abdominal examinations: Mark the abdominal girth with a pen and measure every 4 to 6 hours (or more frequently in rapidly evolving cases).</w:t>
      </w:r>
    </w:p>
    <w:p>
      <w:pPr>
        <w:pStyle w:val="ListParagraph"/>
        <w:numPr>
          <w:ilvl w:val="0"/>
          <w:numId w:val="3"/>
        </w:numPr>
        <w:spacing w:after="60"/>
      </w:pPr>
      <w:r>
        <w:rPr>
          <w:rFonts w:ascii="Arial" w:cs="Arial" w:eastAsia="Arial" w:hAnsi="Arial"/>
          <w:sz w:val="24"/>
          <w:szCs w:val="24"/>
        </w:rPr>
        <w:t xml:space="preserve">Serial radiographs: Every 6 to 8 hours for suspected NEC; immediate if clinical deterioration occurs.</w:t>
      </w:r>
    </w:p>
    <w:p>
      <w:pPr>
        <w:pStyle w:val="ListParagraph"/>
        <w:numPr>
          <w:ilvl w:val="0"/>
          <w:numId w:val="3"/>
        </w:numPr>
        <w:spacing w:after="60"/>
      </w:pPr>
      <w:r>
        <w:rPr>
          <w:rFonts w:ascii="Arial" w:cs="Arial" w:eastAsia="Arial" w:hAnsi="Arial"/>
          <w:sz w:val="24"/>
          <w:szCs w:val="24"/>
        </w:rPr>
        <w:t xml:space="preserve">Laboratory monitoring: CBC with differential, BMP, blood gas, lactate, coagulation studies. Send type and screen if surgical intervention is anticipated.</w:t>
      </w:r>
    </w:p>
    <w:p>
      <w:r>
        <w:br w:type="page"/>
      </w:r>
    </w:p>
    <w:p>
      <w:pPr>
        <w:pStyle w:val="Heading1"/>
      </w:pPr>
      <w:r>
        <w:t xml:space="preserve">Chapter 8: Quality, Safety, and Family Communication</w:t>
      </w:r>
    </w:p>
    <w:p>
      <w:pPr>
        <w:pStyle w:val="Heading2"/>
      </w:pPr>
      <w:r>
        <w:t xml:space="preserve">8.1 Common Errors</w:t>
      </w:r>
    </w:p>
    <w:p>
      <w:pPr>
        <w:pStyle w:val="ListParagraph"/>
        <w:numPr>
          <w:ilvl w:val="0"/>
          <w:numId w:val="2"/>
        </w:numPr>
        <w:spacing w:after="60"/>
      </w:pPr>
      <w:r>
        <w:rPr>
          <w:rFonts w:ascii="Arial" w:cs="Arial" w:eastAsia="Arial" w:hAnsi="Arial"/>
          <w:sz w:val="24"/>
          <w:szCs w:val="24"/>
        </w:rPr>
        <w:t xml:space="preserve">Dismissing bilious vomiting as reflux: Any green emesis must be treated as a potential surgical emergency.</w:t>
      </w:r>
    </w:p>
    <w:p>
      <w:pPr>
        <w:pStyle w:val="ListParagraph"/>
        <w:numPr>
          <w:ilvl w:val="0"/>
          <w:numId w:val="2"/>
        </w:numPr>
        <w:spacing w:after="60"/>
      </w:pPr>
      <w:r>
        <w:rPr>
          <w:rFonts w:ascii="Arial" w:cs="Arial" w:eastAsia="Arial" w:hAnsi="Arial"/>
          <w:sz w:val="24"/>
          <w:szCs w:val="24"/>
        </w:rPr>
        <w:t xml:space="preserve">Attributing prolonged jaundice to breast milk jaundice without checking direct bilirubin: This delays diagnosis of biliary atresia and other cholestatic conditions.</w:t>
      </w:r>
    </w:p>
    <w:p>
      <w:pPr>
        <w:pStyle w:val="ListParagraph"/>
        <w:numPr>
          <w:ilvl w:val="0"/>
          <w:numId w:val="2"/>
        </w:numPr>
        <w:spacing w:after="60"/>
      </w:pPr>
      <w:r>
        <w:rPr>
          <w:rFonts w:ascii="Arial" w:cs="Arial" w:eastAsia="Arial" w:hAnsi="Arial"/>
          <w:sz w:val="24"/>
          <w:szCs w:val="24"/>
        </w:rPr>
        <w:t xml:space="preserve">Delayed NBS result review for galactosemia or CF: These metabolic/genetic conditions can present with GI and liver disease in the first days of life.</w:t>
      </w:r>
    </w:p>
    <w:p>
      <w:pPr>
        <w:pStyle w:val="ListParagraph"/>
        <w:numPr>
          <w:ilvl w:val="0"/>
          <w:numId w:val="2"/>
        </w:numPr>
        <w:spacing w:after="60"/>
      </w:pPr>
      <w:r>
        <w:rPr>
          <w:rFonts w:ascii="Arial" w:cs="Arial" w:eastAsia="Arial" w:hAnsi="Arial"/>
          <w:sz w:val="24"/>
          <w:szCs w:val="24"/>
        </w:rPr>
        <w:t xml:space="preserve">Over-reliance on normal plain radiograph in bilious vomiting: Plain films can be normal in early malrotation with volvulus. An upper GI study is required.</w:t>
      </w:r>
    </w:p>
    <w:p>
      <w:pPr>
        <w:pStyle w:val="ListParagraph"/>
        <w:numPr>
          <w:ilvl w:val="0"/>
          <w:numId w:val="2"/>
        </w:numPr>
        <w:spacing w:after="60"/>
      </w:pPr>
      <w:r>
        <w:rPr>
          <w:rFonts w:ascii="Arial" w:cs="Arial" w:eastAsia="Arial" w:hAnsi="Arial"/>
          <w:sz w:val="24"/>
          <w:szCs w:val="24"/>
        </w:rPr>
        <w:t xml:space="preserve">Failure to monitor stool output and character: Acholic stools and delayed meconium passage are critical clinical clues.</w:t>
      </w:r>
    </w:p>
    <w:p>
      <w:pPr>
        <w:pStyle w:val="ListParagraph"/>
        <w:numPr>
          <w:ilvl w:val="0"/>
          <w:numId w:val="2"/>
        </w:numPr>
        <w:spacing w:after="60"/>
      </w:pPr>
      <w:r>
        <w:rPr>
          <w:rFonts w:ascii="Arial" w:cs="Arial" w:eastAsia="Arial" w:hAnsi="Arial"/>
          <w:sz w:val="24"/>
          <w:szCs w:val="24"/>
        </w:rPr>
        <w:t xml:space="preserve">Routine use of acid-suppressive therapy for uncomplicated GER: PPIs and H2 blockers increase NEC risk and infection risk without benefit in physiologic GER.</w:t>
      </w:r>
    </w:p>
    <w:p>
      <w:pPr>
        <w:pStyle w:val="Heading2"/>
      </w:pPr>
      <w:r>
        <w:t xml:space="preserve">8.2 Family Communication</w:t>
      </w:r>
    </w:p>
    <w:p>
      <w:pPr>
        <w:spacing w:after="120"/>
      </w:pPr>
      <w:r>
        <w:rPr>
          <w:rFonts w:ascii="Arial" w:cs="Arial" w:eastAsia="Arial" w:hAnsi="Arial"/>
          <w:sz w:val="24"/>
          <w:szCs w:val="24"/>
        </w:rPr>
        <w:t xml:space="preserve">Communicating about neonatal GI surgical emergencies with families requires clarity, honesty, and compassion. When a baby needs emergent transfer for suspected volvulus, the family needs to understand what is happening, why it is urgent, and where their baby is going. Use clear language: explain that the baby's intestine may be twisted and that a surgeon needs to untwist it quickly to prevent damage. For NEC, explain that the baby's intestine is inflamed and that we are giving the bowel rest and antibiotics to help it heal, with surgery as a backup plan if it is needed. For cholestasis and biliary atresia, explain that the baby's liver is having trouble draining bile, and that there are specialists who can help figure out why and what treatment is needed. Always acknowledge the fear and uncertainty, and connect families with social work and pastoral support when available.</w:t>
      </w:r>
    </w:p>
    <w:p>
      <w:r>
        <w:br w:type="page"/>
      </w:r>
    </w:p>
    <w:p>
      <w:pPr>
        <w:pStyle w:val="Heading1"/>
      </w:pPr>
      <w:r>
        <w:t xml:space="preserve">Chapter 9: Case Studies</w:t>
      </w:r>
    </w:p>
    <w:p>
      <w:pPr>
        <w:pStyle w:val="Heading2"/>
      </w:pPr>
      <w:r>
        <w:t xml:space="preserve">Case 1: Bilious Vomiting at 36 Hours of Life</w:t>
      </w:r>
    </w:p>
    <w:p>
      <w:pPr>
        <w:spacing w:after="120"/>
      </w:pPr>
      <w:r>
        <w:rPr>
          <w:rFonts w:ascii="Arial" w:cs="Arial" w:eastAsia="Arial" w:hAnsi="Arial"/>
          <w:sz w:val="24"/>
          <w:szCs w:val="24"/>
        </w:rPr>
        <w:t xml:space="preserve">A 38-week male infant, born via uncomplicated vaginal delivery, is feeding well on breast milk. At 36 hours of life, the nurse notes green-colored emesis after a feeding. The abdomen is soft and non-distended. The infant appears alert and active. Previous feeds were tolerated. Meconium was passed within the first 12 hours of life.</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Despite the benign appearance of this infant, bilious vomiting demands urgent evaluation. The provider should immediately place an OG tube to decompress the stomach, note the volume and character of the aspirate, establish IV access, and obtain an abdominal radiograph. If the radiograph is nonspecific (which is common early in malrotation), an urgent upper GI contrast study must be obtained to evaluate for malrotation and midgut volvulus. If the upper GI study confirms malrotation, surgical consultation and transfer are emergent. The teaching point is that a soft, non-distended abdomen does not exclude volvulus, and bilious vomiting must never be attributed to overfeeding or reflux without definitive imaging.</w:t>
      </w:r>
    </w:p>
    <w:p>
      <w:pPr>
        <w:pStyle w:val="Heading2"/>
      </w:pPr>
      <w:r>
        <w:t xml:space="preserve">Case 2: Progressive Abdominal Distension in a 32-Week Preterm Infant</w:t>
      </w:r>
    </w:p>
    <w:p>
      <w:pPr>
        <w:spacing w:after="120"/>
      </w:pPr>
      <w:r>
        <w:rPr>
          <w:rFonts w:ascii="Arial" w:cs="Arial" w:eastAsia="Arial" w:hAnsi="Arial"/>
          <w:sz w:val="24"/>
          <w:szCs w:val="24"/>
        </w:rPr>
        <w:t xml:space="preserve">A 32-week infant, now 10 days old, has been advancing on donor breast milk feeds and is currently receiving 120 mL/kg/day. The nurse reports increasing gastric residuals (20 percent of previous feed volume) and mild abdominal distension. Stools are heme-positive. Vital signs show temperature 36.2 degrees Celsius (low), with two episodes of apnea in the last shift.</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This constellation of findings, feeding intolerance with increasing residuals, abdominal distension, heme-positive stools, temperature instability, and apnea, is highly suspicious for necrotizing enterocolitis. The provider should: make the infant NPO, place an OG tube for gastric decompression, obtain an abdominal radiograph (AP supine and left lateral decubitus to assess for free air), send a CBC, BMP, blood gas, lactate, blood culture, and CRP, and start broad-spectrum IV antibiotics (ampicillin plus gentamicin). If pneumatosis intestinalis or portal venous gas is present on radiograph, the diagnosis of NEC Bell Stage II is confirmed. Serial radiographs should be obtained every 6 to 8 hours. If the infant is in a Level II nursery, transfer to a Level III NICU with pediatric surgery capability should be initiated. If clinical deterioration occurs (worsening acidosis, thrombocytopenia, hemodynamic instability, pneumoperitoneum), the urgency of transfer increases to emergent, and the infant may need surgical intervention upon arrival.</w:t>
      </w:r>
    </w:p>
    <w:p>
      <w:pPr>
        <w:pStyle w:val="Heading2"/>
      </w:pPr>
      <w:r>
        <w:t xml:space="preserve">Case 3: Jaundice at 3 Weeks in a Breastfed Infant</w:t>
      </w:r>
    </w:p>
    <w:p>
      <w:pPr>
        <w:spacing w:after="120"/>
      </w:pPr>
      <w:r>
        <w:rPr>
          <w:rFonts w:ascii="Arial" w:cs="Arial" w:eastAsia="Arial" w:hAnsi="Arial"/>
          <w:sz w:val="24"/>
          <w:szCs w:val="24"/>
        </w:rPr>
        <w:t xml:space="preserve">A 39-week female infant is seen at her 3-week well-baby visit. She appears well but is visibly jaundiced. She is exclusively breastfeeding, gaining weight adequately, and stooling regularly. The parents note that her stools have become lighter in color over the past week. The newborn screening results were normal.</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While breast milk jaundice is the most common cause of prolonged jaundice in a well breastfed infant, the report of lightening stool color is a red flag for cholestasis. The provider must obtain a total and direct (fractionated) bilirubin. If the direct bilirubin is greater than 1.0 mg/dL, this infant has cholestasis and requires urgent referral to a pediatric gastroenterologist and an abdominal ultrasound. Biliary atresia must be excluded because the window for Kasai portoenterostomy narrows dramatically after 60 days. The key teaching point is that every case of prolonged jaundice warrants a direct bilirubin measurement, and pale stools should never be dismissed.</w:t>
      </w:r>
    </w:p>
    <w:p>
      <w:r>
        <w:br w:type="page"/>
      </w:r>
    </w:p>
    <w:p>
      <w:pPr>
        <w:pStyle w:val="Heading1"/>
      </w:pPr>
      <w:r>
        <w:t xml:space="preserve">Chapter 10: Summary and Key Takeaways</w:t>
      </w:r>
    </w:p>
    <w:p>
      <w:pPr>
        <w:pStyle w:val="ListParagraph"/>
        <w:numPr>
          <w:ilvl w:val="0"/>
          <w:numId w:val="2"/>
        </w:numPr>
        <w:spacing w:after="60"/>
      </w:pPr>
      <w:r>
        <w:rPr>
          <w:rFonts w:ascii="Arial" w:cs="Arial" w:eastAsia="Arial" w:hAnsi="Arial"/>
          <w:sz w:val="24"/>
          <w:szCs w:val="24"/>
        </w:rPr>
        <w:t xml:space="preserve">Bilious vomiting in a neonate is a surgical emergency until proven otherwise. Malrotation with midgut volvulus can cause total midgut infarction within hours.</w:t>
      </w:r>
    </w:p>
    <w:p>
      <w:pPr>
        <w:pStyle w:val="ListParagraph"/>
        <w:numPr>
          <w:ilvl w:val="0"/>
          <w:numId w:val="2"/>
        </w:numPr>
        <w:spacing w:after="60"/>
      </w:pPr>
      <w:r>
        <w:rPr>
          <w:rFonts w:ascii="Arial" w:cs="Arial" w:eastAsia="Arial" w:hAnsi="Arial"/>
          <w:sz w:val="24"/>
          <w:szCs w:val="24"/>
        </w:rPr>
        <w:t xml:space="preserve">The three cardinal signs of neonatal intestinal obstruction are bilious vomiting, abdominal distension, and failure to pass meconium.</w:t>
      </w:r>
    </w:p>
    <w:p>
      <w:pPr>
        <w:pStyle w:val="ListParagraph"/>
        <w:numPr>
          <w:ilvl w:val="0"/>
          <w:numId w:val="2"/>
        </w:numPr>
        <w:spacing w:after="60"/>
      </w:pPr>
      <w:r>
        <w:rPr>
          <w:rFonts w:ascii="Arial" w:cs="Arial" w:eastAsia="Arial" w:hAnsi="Arial"/>
          <w:sz w:val="24"/>
          <w:szCs w:val="24"/>
        </w:rPr>
        <w:t xml:space="preserve">NEC is the most common neonatal GI emergency. Human milk feeding, standardized feeding protocols, and judicious antibiotic use help reduce risk.</w:t>
      </w:r>
    </w:p>
    <w:p>
      <w:pPr>
        <w:pStyle w:val="ListParagraph"/>
        <w:numPr>
          <w:ilvl w:val="0"/>
          <w:numId w:val="2"/>
        </w:numPr>
        <w:spacing w:after="60"/>
      </w:pPr>
      <w:r>
        <w:rPr>
          <w:rFonts w:ascii="Arial" w:cs="Arial" w:eastAsia="Arial" w:hAnsi="Arial"/>
          <w:sz w:val="24"/>
          <w:szCs w:val="24"/>
        </w:rPr>
        <w:t xml:space="preserve">Hirschsprung disease should be suspected in any term infant who fails to pass meconium within 48 hours.</w:t>
      </w:r>
    </w:p>
    <w:p>
      <w:pPr>
        <w:pStyle w:val="ListParagraph"/>
        <w:numPr>
          <w:ilvl w:val="0"/>
          <w:numId w:val="2"/>
        </w:numPr>
        <w:spacing w:after="60"/>
      </w:pPr>
      <w:r>
        <w:rPr>
          <w:rFonts w:ascii="Arial" w:cs="Arial" w:eastAsia="Arial" w:hAnsi="Arial"/>
          <w:sz w:val="24"/>
          <w:szCs w:val="24"/>
        </w:rPr>
        <w:t xml:space="preserve">All infants with meconium ileus need sweat chloride testing for cystic fibrosis.</w:t>
      </w:r>
    </w:p>
    <w:p>
      <w:pPr>
        <w:pStyle w:val="ListParagraph"/>
        <w:numPr>
          <w:ilvl w:val="0"/>
          <w:numId w:val="2"/>
        </w:numPr>
        <w:spacing w:after="60"/>
      </w:pPr>
      <w:r>
        <w:rPr>
          <w:rFonts w:ascii="Arial" w:cs="Arial" w:eastAsia="Arial" w:hAnsi="Arial"/>
          <w:sz w:val="24"/>
          <w:szCs w:val="24"/>
        </w:rPr>
        <w:t xml:space="preserve">Neonatal cholestasis is defined as direct bilirubin greater than 1.0 mg/dL. Biliary atresia is the most important diagnosis to exclude because the Kasai procedure is most successful before 60 days of life.</w:t>
      </w:r>
    </w:p>
    <w:p>
      <w:pPr>
        <w:pStyle w:val="ListParagraph"/>
        <w:numPr>
          <w:ilvl w:val="0"/>
          <w:numId w:val="2"/>
        </w:numPr>
        <w:spacing w:after="60"/>
      </w:pPr>
      <w:r>
        <w:rPr>
          <w:rFonts w:ascii="Arial" w:cs="Arial" w:eastAsia="Arial" w:hAnsi="Arial"/>
          <w:sz w:val="24"/>
          <w:szCs w:val="24"/>
        </w:rPr>
        <w:t xml:space="preserve">Check a fractionated bilirubin on any infant still jaundiced at 2 weeks (formula-fed) or 3 to 4 weeks (breastfed).</w:t>
      </w:r>
    </w:p>
    <w:p>
      <w:pPr>
        <w:pStyle w:val="ListParagraph"/>
        <w:numPr>
          <w:ilvl w:val="0"/>
          <w:numId w:val="2"/>
        </w:numPr>
        <w:spacing w:after="60"/>
      </w:pPr>
      <w:r>
        <w:rPr>
          <w:rFonts w:ascii="Arial" w:cs="Arial" w:eastAsia="Arial" w:hAnsi="Arial"/>
          <w:sz w:val="24"/>
          <w:szCs w:val="24"/>
        </w:rPr>
        <w:t xml:space="preserve">Gastroschisis requires immediate bowel protection (bowel bag, moist sterile gauze), aggressive IV fluid resuscitation, and emergent transfer to a pediatric surgical center.</w:t>
      </w:r>
    </w:p>
    <w:p>
      <w:pPr>
        <w:pStyle w:val="ListParagraph"/>
        <w:numPr>
          <w:ilvl w:val="0"/>
          <w:numId w:val="2"/>
        </w:numPr>
        <w:spacing w:after="60"/>
      </w:pPr>
      <w:r>
        <w:rPr>
          <w:rFonts w:ascii="Arial" w:cs="Arial" w:eastAsia="Arial" w:hAnsi="Arial"/>
          <w:sz w:val="24"/>
          <w:szCs w:val="24"/>
        </w:rPr>
        <w:t xml:space="preserve">In the rural nursery: recognize the pattern, stabilize (NPO, OG decompression, IV access, antibiotics), and communicate via SBAR with the receiving team.</w:t>
      </w:r>
    </w:p>
    <w:p>
      <w:r>
        <w:br w:type="page"/>
      </w:r>
    </w:p>
    <w:p>
      <w:pPr>
        <w:pStyle w:val="Heading1"/>
      </w:pPr>
      <w:r>
        <w:t xml:space="preserve">References</w:t>
      </w:r>
    </w:p>
    <w:p>
      <w:pPr>
        <w:spacing w:after="120"/>
      </w:pPr>
      <w:r>
        <w:rPr>
          <w:rFonts w:ascii="Arial" w:cs="Arial" w:eastAsia="Arial" w:hAnsi="Arial"/>
          <w:sz w:val="24"/>
          <w:szCs w:val="24"/>
        </w:rPr>
        <w:t xml:space="preserve">1. Kimura K, Loening-Baucke V. Bilious vomiting in the newborn: rapid diagnosis of intestinal obstruction. Am Fam Physician. 2000;61(9):2791-2798.</w:t>
      </w:r>
    </w:p>
    <w:p>
      <w:pPr>
        <w:spacing w:after="120"/>
      </w:pPr>
      <w:r>
        <w:rPr>
          <w:rFonts w:ascii="Arial" w:cs="Arial" w:eastAsia="Arial" w:hAnsi="Arial"/>
          <w:sz w:val="24"/>
          <w:szCs w:val="24"/>
        </w:rPr>
        <w:t xml:space="preserve">2. AAP Subcommittee on Hyperbilirubinemia. Clinical Practice Guideline Revision: Management of Hyperbilirubinemia in the Newborn Infant 35 or More Weeks of Gestation. Pediatrics. 2022;150(3):e2022058859. doi:10.1542/peds.2022-058859</w:t>
      </w:r>
    </w:p>
    <w:p>
      <w:pPr>
        <w:spacing w:after="120"/>
      </w:pPr>
      <w:r>
        <w:rPr>
          <w:rFonts w:ascii="Arial" w:cs="Arial" w:eastAsia="Arial" w:hAnsi="Arial"/>
          <w:sz w:val="24"/>
          <w:szCs w:val="24"/>
        </w:rPr>
        <w:t xml:space="preserve">3. Moyer V, Freese DK, Whitington PF, et al. Guideline for the Evaluation of Cholestatic Jaundice in Infants: Joint Recommendations of NASPGHAN and ESPGHAN. J Pediatr Gastroenterol Nutr. 2004;39(2):115-128.</w:t>
      </w:r>
    </w:p>
    <w:p>
      <w:pPr>
        <w:spacing w:after="120"/>
      </w:pPr>
      <w:r>
        <w:rPr>
          <w:rFonts w:ascii="Arial" w:cs="Arial" w:eastAsia="Arial" w:hAnsi="Arial"/>
          <w:sz w:val="24"/>
          <w:szCs w:val="24"/>
        </w:rPr>
        <w:t xml:space="preserve">4. Roberts AG, Younge N, Greenberg RG. Neonatal Necrotizing Enterocolitis: An Update on Pathophysiology, Treatment, and Prevention. Paediatr Drugs. 2024;26(3):259-275. doi:10.1007/s40272-024-00626-w</w:t>
      </w:r>
    </w:p>
    <w:p>
      <w:pPr>
        <w:spacing w:after="120"/>
      </w:pPr>
      <w:r>
        <w:rPr>
          <w:rFonts w:ascii="Arial" w:cs="Arial" w:eastAsia="Arial" w:hAnsi="Arial"/>
          <w:sz w:val="24"/>
          <w:szCs w:val="24"/>
        </w:rPr>
        <w:t xml:space="preserve">5. Neu J, Walker WA. Necrotizing enterocolitis. N Engl J Med. 2011;364(3):255-264. doi:10.1056/NEJMra1005408</w:t>
      </w:r>
    </w:p>
    <w:p>
      <w:pPr>
        <w:spacing w:after="120"/>
      </w:pPr>
      <w:r>
        <w:rPr>
          <w:rFonts w:ascii="Arial" w:cs="Arial" w:eastAsia="Arial" w:hAnsi="Arial"/>
          <w:sz w:val="24"/>
          <w:szCs w:val="24"/>
        </w:rPr>
        <w:t xml:space="preserve">6. Rich BS, Dolgin SE. Necrotizing Enterocolitis. Pediatr Rev. 2017;38(12):552-559. doi:10.1542/pir.2017-0002</w:t>
      </w:r>
    </w:p>
    <w:p>
      <w:pPr>
        <w:spacing w:after="120"/>
      </w:pPr>
      <w:r>
        <w:rPr>
          <w:rFonts w:ascii="Arial" w:cs="Arial" w:eastAsia="Arial" w:hAnsi="Arial"/>
          <w:sz w:val="24"/>
          <w:szCs w:val="24"/>
        </w:rPr>
        <w:t xml:space="preserve">7. Pini-Prato A, Carlini C, Husu E, et al. Biliary atresia: The Italian experience. J Pediatr Surg. 2019;54:1611-1616.</w:t>
      </w:r>
    </w:p>
    <w:p>
      <w:pPr>
        <w:spacing w:after="120"/>
      </w:pPr>
      <w:r>
        <w:rPr>
          <w:rFonts w:ascii="Arial" w:cs="Arial" w:eastAsia="Arial" w:hAnsi="Arial"/>
          <w:sz w:val="24"/>
          <w:szCs w:val="24"/>
        </w:rPr>
        <w:t xml:space="preserve">8. Hartley JL, Davenport M, Kelly DA. Biliary atresia. Lancet. 2009;374(9702):1704-1713.</w:t>
      </w:r>
    </w:p>
    <w:p>
      <w:pPr>
        <w:spacing w:after="120"/>
      </w:pPr>
      <w:r>
        <w:rPr>
          <w:rFonts w:ascii="Arial" w:cs="Arial" w:eastAsia="Arial" w:hAnsi="Arial"/>
          <w:sz w:val="24"/>
          <w:szCs w:val="24"/>
        </w:rPr>
        <w:t xml:space="preserve">9. Adams SD, Stanton MP. Malrotation and intestinal atresias. Early Hum Dev. 2014;90(12):921-925.</w:t>
      </w:r>
    </w:p>
    <w:p>
      <w:pPr>
        <w:spacing w:after="120"/>
      </w:pPr>
      <w:r>
        <w:rPr>
          <w:rFonts w:ascii="Arial" w:cs="Arial" w:eastAsia="Arial" w:hAnsi="Arial"/>
          <w:sz w:val="24"/>
          <w:szCs w:val="24"/>
        </w:rPr>
        <w:t xml:space="preserve">10. Langer JC. Hirschsprung disease. Curr Opin Pediatr. 2013;25(3):368-374.</w:t>
      </w:r>
    </w:p>
    <w:p>
      <w:pPr>
        <w:spacing w:after="120"/>
      </w:pPr>
      <w:r>
        <w:rPr>
          <w:rFonts w:ascii="Arial" w:cs="Arial" w:eastAsia="Arial" w:hAnsi="Arial"/>
          <w:sz w:val="24"/>
          <w:szCs w:val="24"/>
        </w:rPr>
        <w:t xml:space="preserve">11. Holcomb GW, Murphy JP, St Peter SD, eds. Ashcraft's Pediatric Surgery. 7th ed. Elsevier; 2020.</w:t>
      </w:r>
    </w:p>
    <w:p>
      <w:pPr>
        <w:spacing w:after="120"/>
      </w:pPr>
      <w:r>
        <w:rPr>
          <w:rFonts w:ascii="Arial" w:cs="Arial" w:eastAsia="Arial" w:hAnsi="Arial"/>
          <w:sz w:val="24"/>
          <w:szCs w:val="24"/>
        </w:rPr>
        <w:t xml:space="preserve">12. Bradnock TJ, Knight M, Kenny S, et al. Hirschsprung's disease in the UK and Ireland: incidence and anomalies. Arch Dis Child. 2017;102(8):722-727.</w:t>
      </w:r>
    </w:p>
    <w:p>
      <w:pPr>
        <w:spacing w:after="120"/>
      </w:pPr>
      <w:r>
        <w:rPr>
          <w:rFonts w:ascii="Arial" w:cs="Arial" w:eastAsia="Arial" w:hAnsi="Arial"/>
          <w:sz w:val="24"/>
          <w:szCs w:val="24"/>
        </w:rPr>
        <w:t xml:space="preserve">13. Patel RM. Short- and long-term outcomes for extremely preterm infants. Am J Perinatol. 2016;33(3):318-328.</w:t>
      </w:r>
    </w:p>
    <w:p>
      <w:pPr>
        <w:spacing w:after="120"/>
      </w:pPr>
      <w:r>
        <w:rPr>
          <w:rFonts w:ascii="Arial" w:cs="Arial" w:eastAsia="Arial" w:hAnsi="Arial"/>
          <w:sz w:val="24"/>
          <w:szCs w:val="24"/>
        </w:rPr>
        <w:t xml:space="preserve">14. Feldman AG, Mack CL. Biliary Atresia: Clinical Lessons Learned. J Pediatr Gastroenterol Nutr. 2015;61(2):167-175.</w:t>
      </w:r>
    </w:p>
    <w:p>
      <w:pPr>
        <w:spacing w:after="120"/>
      </w:pPr>
      <w:r>
        <w:rPr>
          <w:rFonts w:ascii="Arial" w:cs="Arial" w:eastAsia="Arial" w:hAnsi="Arial"/>
          <w:sz w:val="24"/>
          <w:szCs w:val="24"/>
        </w:rPr>
        <w:t xml:space="preserve">15. Stoll BJ, Hansen NI, Bell EF, et al. Trends in care practices, morbidity, and mortality of extremely preterm neonates, 1993-2012. JAMA. 2015;314(10):1039-1051.</w:t>
      </w:r>
    </w:p>
    <w:p>
      <w:pPr>
        <w:spacing w:after="120"/>
      </w:pPr>
      <w:r>
        <w:rPr>
          <w:rFonts w:ascii="Arial" w:cs="Arial" w:eastAsia="Arial" w:hAnsi="Arial"/>
          <w:sz w:val="24"/>
          <w:szCs w:val="24"/>
        </w:rPr>
        <w:t xml:space="preserve">16. Salman R, Mertiri L, Seghers VJ, et al. Ultrasound imaging of bowel obstruction in neonates. J Ultrasound. 2024;27(2):407-417. doi:10.1007/s40477-023-00858-5</w:t>
      </w:r>
    </w:p>
    <w:p>
      <w:pPr>
        <w:spacing w:after="120"/>
      </w:pPr>
      <w:r>
        <w:rPr>
          <w:rFonts w:ascii="Arial" w:cs="Arial" w:eastAsia="Arial" w:hAnsi="Arial"/>
          <w:sz w:val="24"/>
          <w:szCs w:val="24"/>
        </w:rPr>
        <w:t xml:space="preserve">17. Alazraki AL, Rigsby CK, Iyer RS, et al. ACR Appropriateness Criteria: Vomiting in Infants. J Am Coll Radiol. 2021;18(11S):S397-S412.</w:t>
      </w:r>
    </w:p>
    <w:p>
      <w:pPr>
        <w:spacing w:after="120"/>
      </w:pPr>
      <w:r>
        <w:rPr>
          <w:rFonts w:ascii="Arial" w:cs="Arial" w:eastAsia="Arial" w:hAnsi="Arial"/>
          <w:sz w:val="24"/>
          <w:szCs w:val="24"/>
        </w:rPr>
        <w:t xml:space="preserve">18. Singh A, Kumar V, et al. Neonatal Intestinal Obstruction: Etiology, Management, and Outcomes. Cureus. 2024;16(7):e63797.</w:t>
      </w:r>
    </w:p>
    <w:p>
      <w:pPr>
        <w:spacing w:after="120"/>
      </w:pPr>
      <w:r>
        <w:rPr>
          <w:rFonts w:ascii="Arial" w:cs="Arial" w:eastAsia="Arial" w:hAnsi="Arial"/>
          <w:sz w:val="24"/>
          <w:szCs w:val="24"/>
        </w:rPr>
        <w:t xml:space="preserve">19. Davenport M. Biliary atresia: clinical aspects. Semin Pediatr Surg. 2012;21(3):175-184.</w:t>
      </w:r>
    </w:p>
    <w:p>
      <w:pPr>
        <w:spacing w:after="120"/>
      </w:pPr>
      <w:r>
        <w:rPr>
          <w:rFonts w:ascii="Arial" w:cs="Arial" w:eastAsia="Arial" w:hAnsi="Arial"/>
          <w:sz w:val="24"/>
          <w:szCs w:val="24"/>
        </w:rPr>
        <w:t xml:space="preserve">20. Patel RM, Denning PW. Intestinal microbiota and its relationship with necrotizing enterocolitis. Pediatr Res. 2015;78(3):232-238.</w:t>
      </w:r>
    </w:p>
    <w:p>
      <w:pPr>
        <w:spacing w:after="120"/>
      </w:pPr>
      <w:r>
        <w:rPr>
          <w:rFonts w:ascii="Arial" w:cs="Arial" w:eastAsia="Arial" w:hAnsi="Arial"/>
          <w:sz w:val="24"/>
          <w:szCs w:val="24"/>
        </w:rPr>
        <w:t xml:space="preserve">21. Gordon PV, Swanson JR, Attridge JT, Clark R. Emerging trends in acquired neonatal intestinal disease: is it time to abandon Bell's criteria? J Perinatol. 2007;27(11):661-671.</w:t>
      </w:r>
    </w:p>
    <w:p>
      <w:pPr>
        <w:spacing w:after="120"/>
      </w:pPr>
      <w:r>
        <w:rPr>
          <w:rFonts w:ascii="Arial" w:cs="Arial" w:eastAsia="Arial" w:hAnsi="Arial"/>
          <w:sz w:val="24"/>
          <w:szCs w:val="24"/>
        </w:rPr>
        <w:t xml:space="preserve">22. Shulman RJ, Schanler RJ, Lau C, et al. Early feeding, antenatal glucocorticoids, and human milk decrease intestinal permeability in preterm infants. Pediatr Res. 1998;44(4):519-523.</w:t>
      </w:r>
    </w:p>
    <w:p>
      <w:pPr>
        <w:spacing w:after="120"/>
      </w:pPr>
      <w:r>
        <w:rPr>
          <w:rFonts w:ascii="Arial" w:cs="Arial" w:eastAsia="Arial" w:hAnsi="Arial"/>
          <w:sz w:val="24"/>
          <w:szCs w:val="24"/>
        </w:rPr>
        <w:t xml:space="preserve">23. Heida FH, Loos MHJ, Stolwijk L, et al. Risk factors associated with NEC in preterm infants: a systematic review. BMC Pediatr. 2017;17:105.</w:t>
      </w:r>
    </w:p>
    <w:p>
      <w:pPr>
        <w:spacing w:after="120"/>
      </w:pPr>
      <w:r>
        <w:rPr>
          <w:rFonts w:ascii="Arial" w:cs="Arial" w:eastAsia="Arial" w:hAnsi="Arial"/>
          <w:sz w:val="24"/>
          <w:szCs w:val="24"/>
        </w:rPr>
        <w:t xml:space="preserve">24. Wildhaber BE, Majno P, Mayr J, et al. Biliary atresia: Swiss national study, 1994-2004. J Pediatr Gastroenterol Nutr. 2008;46(3):299-307.</w:t>
      </w:r>
    </w:p>
    <w:p>
      <w:pPr>
        <w:spacing w:after="120"/>
      </w:pPr>
      <w:r>
        <w:rPr>
          <w:rFonts w:ascii="Arial" w:cs="Arial" w:eastAsia="Arial" w:hAnsi="Arial"/>
          <w:sz w:val="24"/>
          <w:szCs w:val="24"/>
        </w:rPr>
        <w:t xml:space="preserve">25. Choudhry MS, Grant HW. Small bowel atresia: classification, management and outcomes. Semin Pediatr Surg. 2022;31(1):151146.</w:t>
      </w:r>
    </w:p>
    <w:p>
      <w:r>
        <w:br w:type="page"/>
      </w:r>
    </w:p>
    <w:p>
      <w:pPr>
        <w:pStyle w:val="Heading1"/>
      </w:pPr>
      <w:r>
        <w:t xml:space="preserve">Appendices</w:t>
      </w:r>
    </w:p>
    <w:p>
      <w:pPr>
        <w:pStyle w:val="Heading2"/>
      </w:pPr>
      <w:r>
        <w:t xml:space="preserve">Appendix A: GI Emergency Medication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800"/>
        <w:gridCol w:w="388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Medication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Indication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Dose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Route</w:t>
            </w:r>
          </w:p>
        </w:tc>
        <w:tc>
          <w:tcPr>
            <w:tcW w:type="dxa" w:w="3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Notes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Normal Saline (0.9% NaCl)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Fluid resuscitation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 mL/kg bolus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Repeat PRN; anticipate large third-space losses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Ampicillin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NEC/suspected peritonitis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 mg/kg/dose q12h (&lt;7d) or q8h (&gt;7d)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Covers gram-positives, Listeria</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Gentamicin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NEC/suspected peritonitis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4-5 mg/kg/dose q24-48h (GA-dependent)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Covers gram-negatives; monitor levels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Metronidazole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Anaerobic coverage (perforation)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 mg/kg load then 7.5 mg/kg q12h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if perforation suspected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Vitamin K (phytonadione)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Vitamin K deficiency bleeding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mg (term); 0.5 mg (preterm)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 be given at birth per AAP</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Glycerin suppository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Meconium facilitation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1/4 to 1/2 pediatric suppository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Functional immaturity in preterm; exclude Hirschsprung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Gastrografin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Meconium ileus (therapeutic enema)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Diluted 1:3 with saline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 (under fluoro)</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Hyperosmolar; ensure IV hydration; radiology supervision</w:t>
            </w:r>
          </w:p>
        </w:tc>
      </w:tr>
    </w:tbl>
    <w:p>
      <w:pPr>
        <w:spacing w:after="120"/>
      </w:pPr>
      <w:r>
        <w:rPr>
          <w:rFonts w:ascii="Arial" w:cs="Arial" w:eastAsia="Arial" w:hAnsi="Arial"/>
          <w:sz w:val="24"/>
          <w:szCs w:val="24"/>
        </w:rPr>
        <w:t xml:space="preserve">Table A1. Common medications for neonatal GI emergencies.</w:t>
      </w:r>
    </w:p>
    <w:p>
      <w:pPr>
        <w:pStyle w:val="Heading2"/>
      </w:pPr>
      <w:r>
        <w:t xml:space="preserve">Appendix B: Stool Color Chart for Cholestasis Screening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Color</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Description</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Clinical Significance</w:t>
            </w:r>
          </w:p>
        </w:tc>
      </w:tr>
      <w:tr>
        <w:tc>
          <w:tcPr>
            <w:tcW w:type="dxa" w:w="234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22"/>
                <w:szCs w:val="22"/>
              </w:rPr>
              <w:t xml:space="preserve">Dark green to black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Normal meconium (first 2-3 days)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Expected; normal transition</w:t>
            </w:r>
          </w:p>
        </w:tc>
      </w:tr>
      <w:tr>
        <w:tc>
          <w:tcPr>
            <w:tcW w:type="dxa" w:w="234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22"/>
                <w:szCs w:val="22"/>
              </w:rPr>
              <w:t xml:space="preserve">Yellow-green transitional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Transitional stools (days 3-5)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Normal; indicates bile excretion</w:t>
            </w:r>
          </w:p>
        </w:tc>
      </w:tr>
      <w:tr>
        <w:tc>
          <w:tcPr>
            <w:tcW w:type="dxa" w:w="234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22"/>
                <w:szCs w:val="22"/>
              </w:rPr>
              <w:t xml:space="preserve">Yellow, seedy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Mature breast milk stools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Normal</w:t>
            </w:r>
          </w:p>
        </w:tc>
      </w:tr>
      <w:tr>
        <w:tc>
          <w:tcPr>
            <w:tcW w:type="dxa" w:w="234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22"/>
                <w:szCs w:val="22"/>
              </w:rPr>
              <w:t xml:space="preserve">Tan/brown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Formula stools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Normal</w:t>
            </w:r>
          </w:p>
        </w:tc>
      </w:tr>
      <w:tr>
        <w:tc>
          <w:tcPr>
            <w:tcW w:type="dxa" w:w="234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Pale yellow</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Light-colored stool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Possible reduced bile flow; check direct bilirubin</w:t>
            </w:r>
          </w:p>
        </w:tc>
      </w:tr>
      <w:tr>
        <w:tc>
          <w:tcPr>
            <w:tcW w:type="dxa" w:w="234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White/clay/acholic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bile pigment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CHOLESTASIS: Urgent fractionated bilirubin and referral</w:t>
            </w:r>
          </w:p>
        </w:tc>
      </w:tr>
    </w:tbl>
    <w:p>
      <w:pPr>
        <w:spacing w:after="120"/>
      </w:pPr>
      <w:r>
        <w:rPr>
          <w:rFonts w:ascii="Arial" w:cs="Arial" w:eastAsia="Arial" w:hAnsi="Arial"/>
          <w:sz w:val="24"/>
          <w:szCs w:val="24"/>
        </w:rPr>
        <w:t xml:space="preserve">Table B1. Stool color guide for detecting neonatal cholestasis.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Pediatric Emergency CDS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808080"/>
        <w:sz w:val="18"/>
        <w:szCs w:val="18"/>
      </w:rPr>
      <w:t xml:space="preserve">Neonatal GI and Liver Disorders — Rural Nursery Education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2026-03-18T23:10:32.792Z</dcterms:created>
  <dcterms:modified xsi:type="dcterms:W3CDTF">2026-03-18T23:10:32.792Z</dcterms:modified>
</cp:coreProperties>
</file>

<file path=docProps/custom.xml><?xml version="1.0" encoding="utf-8"?>
<Properties xmlns="http://schemas.openxmlformats.org/officeDocument/2006/custom-properties" xmlns:vt="http://schemas.openxmlformats.org/officeDocument/2006/docPropsVTypes"/>
</file>