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Hematology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Normal Neonatal Hematology</w:t>
      </w:r>
    </w:p>
    <w:p>
      <w:pPr>
        <w:pStyle w:val="Heading2"/>
      </w:pPr>
      <w:r>
        <w:t xml:space="preserve">1.1 Physiologic Hematologic Values</w:t>
      </w:r>
    </w:p>
    <w:p>
      <w:pPr>
        <w:spacing w:after="120"/>
      </w:pPr>
      <w:r>
        <w:rPr>
          <w:rFonts w:ascii="Arial" w:cs="Arial" w:eastAsia="Arial" w:hAnsi="Arial"/>
          <w:sz w:val="24"/>
          <w:szCs w:val="24"/>
        </w:rPr>
        <w:t xml:space="preserve">Neonatal hematology is governed by unique physiologic parameters that differ substantially from those of older children and adults. Understanding the normal ranges and the physiologic transitions that occur after birth is essential for interpreting laboratory values and identifying pathology. At birth, the term neonate has a hemoglobin concentration of approximately 14 to 20 g/dL (mean approximately 17 g/dL), a hematocrit of approximately 42 to 65 percent, and a mean corpuscular volume (MCV) of approximately 100 to 110 fL (macrocytic compared to adults). The red blood cells contain predominantly fetal hemoglobin (HbF, approximately 60 to 80 percent of total hemoglobin at term), which has a higher oxygen affinity than adult hemoglobin (HbA). This higher oxygen affinity was advantageous in the low-oxygen intrauterine environment but is less efficient at oxygen delivery to tissues postnatally.</w:t>
      </w:r>
    </w:p>
    <w:p>
      <w:pPr>
        <w:spacing w:after="120"/>
      </w:pPr>
      <w:r>
        <w:rPr>
          <w:rFonts w:ascii="Arial" w:cs="Arial" w:eastAsia="Arial" w:hAnsi="Arial"/>
          <w:sz w:val="24"/>
          <w:szCs w:val="24"/>
        </w:rPr>
        <w:t xml:space="preserve">After birth, the transition from the relatively hypoxic intrauterine environment to the oxygen-rich extrauterine environment causes a dramatic suppression of erythropoietin (EPO) production. With EPO levels low, erythropoiesis in the bone marrow decreases, and the hemoglobin concentration gradually falls over the first 8 to 12 weeks of life, reaching a nadir of approximately 9 to 11 g/dL in term infants (physiologic anemia of infancy, nadir at 6 to 12 weeks) and approximately 7 to 9 g/dL in preterm infants (anemia of prematurity, nadir at 4 to 8 weeks). This is a PHYSIOLOGIC process, not a disease. However, in preterm infants, the nadir is lower and occurs earlier because: (1) the erythropoietin suppression is more profound, (2) the red cell lifespan is shorter (60 to 70 days for preterm versus 90 to 120 days for term), (3) the rapid somatic growth dilutes the red cell mass, and (4) iatrogenic blood losses from phlebotomy are proportionally much larger.</w:t>
      </w:r>
    </w:p>
    <w:p>
      <w:pPr>
        <w:pStyle w:val="Heading2"/>
      </w:pPr>
      <w:r>
        <w:t xml:space="preserve">1.2 Normal Platelet and Coagulation Values</w:t>
      </w:r>
    </w:p>
    <w:p>
      <w:pPr>
        <w:spacing w:after="120"/>
      </w:pPr>
      <w:r>
        <w:rPr>
          <w:rFonts w:ascii="Arial" w:cs="Arial" w:eastAsia="Arial" w:hAnsi="Arial"/>
          <w:sz w:val="24"/>
          <w:szCs w:val="24"/>
        </w:rPr>
        <w:t xml:space="preserve">Normal platelet counts in neonates are similar to those in older children and adults: 150,000 to 400,000/microL. However, thrombocytopenia (platelet count less than 150,000/microL) occurs in up to 25 percent of NICU admissions, making it the second most common hematologic problem in neonates after anemia. Platelet function in neonates is developmentally different from adults; despite some in vitro hyporesponsiveness, the overall hemostatic capacity is adequate in healthy neonates due to compensatory factors (higher von Willebrand factor levels, higher hematocrit improving platelet margination).</w:t>
      </w:r>
    </w:p>
    <w:p>
      <w:pPr>
        <w:spacing w:after="120"/>
      </w:pPr>
      <w:r>
        <w:rPr>
          <w:rFonts w:ascii="Arial" w:cs="Arial" w:eastAsia="Arial" w:hAnsi="Arial"/>
          <w:sz w:val="24"/>
          <w:szCs w:val="24"/>
        </w:rPr>
        <w:t xml:space="preserve">The neonatal coagulation system is characterized by lower levels of vitamin K-dependent clotting factors (II, VII, IX, X), which are approximately 50 percent of adult levels at term and even lower in preterm infants. Protein C and protein S (natural anticoagulants) are also low, approximately 30 to 50 percent of adult levels. The net result is a hemostatic balance that is adequate for the healthy neonate but has less reserve; sick, stressed, or asphyxiated neonates can decompensate into DIC relatively quickly. The PT is normally prolonged in neonates (approximately 12 to 18 seconds) compared to adults, and the aPTT is also prolonged (approximately 25 to 70 seconds), reflecting the low levels of vitamin K-dependent factors and contact factors.</w:t>
      </w:r>
    </w:p>
    <w:p>
      <w:r>
        <w:br w:type="page"/>
      </w:r>
    </w:p>
    <w:p>
      <w:pPr>
        <w:pStyle w:val="Heading1"/>
      </w:pPr>
      <w:r>
        <w:t xml:space="preserve">Chapter 2: Neonatal Anemia</w:t>
      </w:r>
    </w:p>
    <w:p>
      <w:pPr>
        <w:pStyle w:val="Heading2"/>
      </w:pPr>
      <w:r>
        <w:t xml:space="preserve">2.1 Classification and Etiology</w:t>
      </w:r>
    </w:p>
    <w:p>
      <w:pPr>
        <w:spacing w:after="120"/>
      </w:pPr>
      <w:r>
        <w:rPr>
          <w:rFonts w:ascii="Arial" w:cs="Arial" w:eastAsia="Arial" w:hAnsi="Arial"/>
          <w:sz w:val="24"/>
          <w:szCs w:val="24"/>
        </w:rPr>
        <w:t xml:space="preserve">Neonatal anemia is classified by mechanism: (1) Decreased red cell production (hypoproliferative anemia): Diamond-Blackfan anemia, Fanconi anemia, congenital infections (parvovirus B19, CMV, rubella), and the physiologic anemia of prematurity. The reticulocyte count is low. (2) Increased red cell destruction (hemolytic anemia): immune-mediated hemolysis (Rh isoimmunization, ABO incompatibility, minor blood group antibodies), red cell membrane disorders (hereditary spherocytosis, elliptocytosis), red cell enzyme deficiencies (G6PD deficiency, pyruvate kinase deficiency), hemoglobinopathies (alpha-thalassemia major causing hydrops fetalis), and infections. The reticulocyte count is elevated, and there is indirect hyperbilirubinemia. (3) Blood loss (hemorrhagic anemia): fetomaternal hemorrhage, twin-to-twin transfusion, placental abruption, placenta previa, umbilical cord accidents, internal hemorrhage (IVH, subgaleal hemorrhage, hepatic rupture, adrenal hemorrhage), and iatrogenic phlebotomy losses. The reticulocyte count is initially elevated but may be normal or low after acute hemorrhage.</w:t>
      </w:r>
    </w:p>
    <w:p>
      <w:pPr>
        <w:pStyle w:val="Heading2"/>
      </w:pPr>
      <w:r>
        <w:t xml:space="preserve">2.2 Hemolytic Disease of the Fetus and Newborn (HDFN)</w:t>
      </w:r>
    </w:p>
    <w:p>
      <w:pPr>
        <w:spacing w:after="120"/>
      </w:pPr>
      <w:r>
        <w:rPr>
          <w:rFonts w:ascii="Arial" w:cs="Arial" w:eastAsia="Arial" w:hAnsi="Arial"/>
          <w:sz w:val="24"/>
          <w:szCs w:val="24"/>
        </w:rPr>
        <w:t xml:space="preserve">HDFN results from maternal antibodies directed against fetal red cell antigens. The two most common types are Rh (anti-D) isoimmunization and ABO incompatibility. Rh disease occurs when an Rh-negative mother produces anti-D antibodies against the Rh-positive fetal red cells (typically after sensitization from a prior pregnancy or transfusion). It is characterized by progressive hemolysis that can begin in utero, causing fetal anemia, hydrops fetalis, and severe neonatal hyperbilirubinemia requiring exchange transfusion. Prevention with anti-D immunoglobulin (RhoGAM) at 28 weeks and within 72 hours of delivery has dramatically reduced the incidence of Rh disease. ABO incompatibility occurs in Group O mothers with Group A or Group B infants. It is usually milder than Rh disease because: (1) anti-A and anti-B antibodies are predominantly IgM (do not cross the placenta as efficiently as IgG), (2) A and B antigens are widely distributed on tissues other than red cells, and (3) the hemolysis is typically less severe. ABO incompatibility can, however, produce significant jaundice requiring phototherapy and occasionally exchange transfusion.</w:t>
      </w:r>
    </w:p>
    <w:p>
      <w:pPr>
        <w:pStyle w:val="Heading2"/>
      </w:pPr>
      <w:r>
        <w:t xml:space="preserve">2.3 RBC Transfusion: The 2024 Evidence-Based Guidelines</w:t>
      </w:r>
    </w:p>
    <w:p>
      <w:pPr>
        <w:spacing w:after="120"/>
      </w:pPr>
      <w:r>
        <w:rPr>
          <w:rFonts w:ascii="Arial" w:cs="Arial" w:eastAsia="Arial" w:hAnsi="Arial"/>
          <w:sz w:val="24"/>
          <w:szCs w:val="24"/>
        </w:rPr>
        <w:t xml:space="preserve">The landmark ETTNO trial (Franz et al., JAMA 2020) and TOP trial (Kirpalani et al., NEJM 2020), enrolling over 3,400 ELBW infants combined, both demonstrated NO significant difference in the primary composite outcome of death or neurodevelopmental impairment at 22 to 26 months between liberal and restrictive transfusion threshold groups. These findings led to the 2024 Neonatal Transfusion Network Clinical Practice Guideline (Deschmann et al., JAMA Network Open 2024), which recommends a RESTRICTIVE transfusion strategy for preterm neonates less than 30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Postnatal Week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On Respiratory Support (Hb g/dL)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No/Minimal Resp Support (Hb g/dL)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w:t>
            </w:r>
          </w:p>
        </w:tc>
        <w:tc>
          <w:tcPr>
            <w:tcW w:type="dxa" w:w="312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11</w:t>
            </w:r>
          </w:p>
        </w:tc>
        <w:tc>
          <w:tcPr>
            <w:tcW w:type="dxa" w:w="312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2</w:t>
            </w:r>
          </w:p>
        </w:tc>
        <w:tc>
          <w:tcPr>
            <w:tcW w:type="dxa" w:w="312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3+</w:t>
            </w:r>
          </w:p>
        </w:tc>
        <w:tc>
          <w:tcPr>
            <w:tcW w:type="dxa" w:w="312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9</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7</w:t>
            </w:r>
          </w:p>
        </w:tc>
      </w:tr>
    </w:tbl>
    <w:p>
      <w:pPr>
        <w:spacing w:after="120"/>
      </w:pPr>
      <w:r>
        <w:rPr>
          <w:rFonts w:ascii="Arial" w:cs="Arial" w:eastAsia="Arial" w:hAnsi="Arial"/>
          <w:sz w:val="24"/>
          <w:szCs w:val="24"/>
        </w:rPr>
        <w:t xml:space="preserve">Table 1. 2024 Neonatal Transfusion Network recommended restrictive RBC transfusion hemoglobin thresholds for very preterm neonates (&lt;30 weeks).</w:t>
      </w:r>
    </w:p>
    <w:p>
      <w:pPr>
        <w:spacing w:after="120"/>
      </w:pPr>
      <w:r>
        <w:rPr>
          <w:rFonts w:ascii="Arial" w:cs="Arial" w:eastAsia="Arial" w:hAnsi="Arial"/>
          <w:sz w:val="24"/>
          <w:szCs w:val="24"/>
        </w:rPr>
        <w:t xml:space="preserve">Transfusion volume is typically 10 to 20 mL/kg of packed RBCs (hematocrit approximately 60 percent) infused over 2 to 4 hours. Use irradiated, leukocyte-reduced, CMV-safe products. Group O Rh-compatible blood is standard. Recent evidence supports CONTINUING enteral feeds during RBC transfusion (no need to hold feeds, as transfusion-associated NEC has not been consistently demonstrated). Prevention of transfusion need includes: delayed cord clamping (DCC, 30 to 60 seconds, reduces transfusion need by approximately 27 percent), minimizing iatrogenic phlebotomy (low-volume blood sampling, noninvasive monitoring, and point-of-care testing), and erythropoietin (limited role; modest reduction in transfusion need but no improvement in neurodevelopmental outcomes per the PENUT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The 2024 CPG recommends RESTRICTIVE transfusion thresholds: for neonates on respiratory support, Hb thresholds of 11 (week 1), 10 (week 2), and 9 g/dL (week 3+); for neonates on no/minimal support, 10, 8.5, and 7 g/dL. ETTNO and TOP both showed no benefit of liberal thresholds. Delayed cord clamping reduces transfusion need by ~27%.</w:t>
            </w:r>
          </w:p>
        </w:tc>
      </w:tr>
    </w:tbl>
    <w:p>
      <w:r>
        <w:br w:type="page"/>
      </w:r>
    </w:p>
    <w:p>
      <w:pPr>
        <w:pStyle w:val="Heading1"/>
      </w:pPr>
      <w:r>
        <w:t xml:space="preserve">Chapter 3: Neonatal Polycythemia</w:t>
      </w:r>
    </w:p>
    <w:p>
      <w:pPr>
        <w:spacing w:after="120"/>
      </w:pPr>
      <w:r>
        <w:rPr>
          <w:rFonts w:ascii="Arial" w:cs="Arial" w:eastAsia="Arial" w:hAnsi="Arial"/>
          <w:sz w:val="24"/>
          <w:szCs w:val="24"/>
        </w:rPr>
        <w:t xml:space="preserve">Neonatal polycythemia is defined as a venous hematocrit greater than 65 percent (or venous hemoglobin greater than 22 g/dL). It occurs in approximately 1 to 5 percent of term neonates. The venous hematocrit peaks at 6 to 12 hours after birth and declines over the next 24 hours, so timing of sampling matters. Capillary hematocrits (heel sticks) overestimate the venous hematocrit by approximately 5 to 15 percent and should ALWAYS be confirmed with a venous sample before diagnosing polycythemia.</w:t>
      </w:r>
    </w:p>
    <w:p>
      <w:pPr>
        <w:spacing w:after="120"/>
      </w:pPr>
      <w:r>
        <w:rPr>
          <w:rFonts w:ascii="Arial" w:cs="Arial" w:eastAsia="Arial" w:hAnsi="Arial"/>
          <w:sz w:val="24"/>
          <w:szCs w:val="24"/>
        </w:rPr>
        <w:t xml:space="preserve">Causes are classified as active (increased fetal erythropoiesis from chronic intrauterine hypoxia: IUGR/SGA, placental insufficiency, maternal diabetes, maternal smoking, high altitude, trisomy 21, Beckwith-Wiedemann syndrome) or passive (red cell transfusion: delayed cord clamping, twin-to-twin transfusion recipient, maternal-fetal transfusion). The clinical significance of polycythemia relates to hyperviscosity: blood viscosity increases exponentially as hematocrit rises above 65 percent, leading to sluggish microcirculatory flow and potentially causing organ dysfunction affecting the CNS (irritability, lethargy, jitteriness, seizures), GI tract (feeding intolerance, NEC), kidneys (oliguria, renal vein thrombosis), and metabolic systems (hypoglycemia in 12 to 40 percent, hypocalcemia in 1 to 11 percent).</w:t>
      </w:r>
    </w:p>
    <w:p>
      <w:pPr>
        <w:spacing w:after="120"/>
      </w:pPr>
      <w:r>
        <w:rPr>
          <w:rFonts w:ascii="Arial" w:cs="Arial" w:eastAsia="Arial" w:hAnsi="Arial"/>
          <w:sz w:val="24"/>
          <w:szCs w:val="24"/>
        </w:rPr>
        <w:t xml:space="preserve">Management: Asymptomatic polycythemia with venous Hct 65 to 70 percent: increase oral fluids and monitor. Symptomatic polycythemia (any Hct above 65 percent with significant symptoms) or Hct greater than 70 percent (even if asymptomatic): partial exchange transfusion (PET) using normal saline as the replacement fluid. The goal is to reduce the Hct to 50 to 55 percent. The exchange volume is calculated by the formula: Volume (mL) = [Blood volume x (Observed Hct - Desired Hct)] / Observed Hct. Blood volume is estimated at 80 to 100 mL/kg. The procedure is performed via an umbilical venous catheter using a push-pull technique in aliquots of 5 mL/kg. Normal saline is preferred over albumin or plasma as the replacement fluid (lower cost, lower infection risk, equivalent efficacy). A systematic review found that PET may improve short-term symptoms but has NOT been shown to improve long-term neurodevelopmental outcomes.</w:t>
      </w:r>
    </w:p>
    <w:p>
      <w:r>
        <w:br w:type="page"/>
      </w:r>
    </w:p>
    <w:p>
      <w:pPr>
        <w:pStyle w:val="Heading1"/>
      </w:pPr>
      <w:r>
        <w:t xml:space="preserve">Chapter 4: Neonatal Thrombocytopenia</w:t>
      </w:r>
    </w:p>
    <w:p>
      <w:pPr>
        <w:pStyle w:val="Heading2"/>
      </w:pPr>
      <w:r>
        <w:t xml:space="preserve">4.1 Definition and Classification</w:t>
      </w:r>
    </w:p>
    <w:p>
      <w:pPr>
        <w:spacing w:after="120"/>
      </w:pPr>
      <w:r>
        <w:rPr>
          <w:rFonts w:ascii="Arial" w:cs="Arial" w:eastAsia="Arial" w:hAnsi="Arial"/>
          <w:sz w:val="24"/>
          <w:szCs w:val="24"/>
        </w:rPr>
        <w:t xml:space="preserve">Neonatal thrombocytopenia (platelet count less than 150,000/microL) is classified by timing of onset and severity. Early-onset (within 72 hours of birth): causes include placental insufficiency (the most common cause; associated with IUGR, preeclampsia, maternal hypertension), congenital infection (TORCH: CMV, toxoplasmosis, rubella), neonatal alloimmune thrombocytopenia (NAIT), chromosomal abnormalities (trisomy 13, 18, 21), and autoimmune (maternal ITP with transplacental passage of antiplatelet antibodies). Late-onset (after 72 hours): most commonly caused by sepsis and NEC (bacterial or fungal infection-related consumption). Severity: mild (100,000 to 149,000), moderate (50,000 to 99,000), and severe (less than 50,000).</w:t>
      </w:r>
    </w:p>
    <w:p>
      <w:pPr>
        <w:pStyle w:val="Heading2"/>
      </w:pPr>
      <w:r>
        <w:t xml:space="preserve">4.2 Neonatal Alloimmune Thrombocytopenia (NAIT)</w:t>
      </w:r>
    </w:p>
    <w:p>
      <w:pPr>
        <w:spacing w:after="120"/>
      </w:pPr>
      <w:r>
        <w:rPr>
          <w:rFonts w:ascii="Arial" w:cs="Arial" w:eastAsia="Arial" w:hAnsi="Arial"/>
          <w:sz w:val="24"/>
          <w:szCs w:val="24"/>
        </w:rPr>
        <w:t xml:space="preserve">NAIT is the platelet equivalent of Rh hemolytic disease. Maternal antibodies (most commonly anti-HPA-1a, which accounts for approximately 80 percent of cases in Caucasians) cross the placenta and destroy fetal platelets expressing the target antigen. Unlike Rh disease, NAIT can occur in the FIRST pregnancy (no prior sensitization is required because the mother naturally lacks the antigen). The affected neonate presents at birth with severe thrombocytopenia (often less than 20,000/microL), petechiae, and is at significant risk for intracranial hemorrhage (ICH), which occurs in 10 to 20 percent of cases (up to 50 percent in utero). Diagnosis requires maternal and paternal platelet antigen typing and detection of maternal antiplatelet antibodies. Treatment: HPA-1a-negative platelets (if available) or random donor platelets with concurrent IVIG (1 g/kg). If HPA-matched platelets are not available, random donor platelets are transfused (response is often limited due to ongoing antibody-mediated destruction, but may provide temporary hemostatic benefit). IVIG (1 g/kg IV) is given to reduce antibody-mediated destruction.</w:t>
      </w:r>
    </w:p>
    <w:p>
      <w:pPr>
        <w:pStyle w:val="Heading2"/>
      </w:pPr>
      <w:r>
        <w:t xml:space="preserve">4.3 Platelet Transfusion: The PlaNet-2 Trial</w:t>
      </w:r>
    </w:p>
    <w:p>
      <w:pPr>
        <w:spacing w:after="120"/>
      </w:pPr>
      <w:r>
        <w:rPr>
          <w:rFonts w:ascii="Arial" w:cs="Arial" w:eastAsia="Arial" w:hAnsi="Arial"/>
          <w:sz w:val="24"/>
          <w:szCs w:val="24"/>
        </w:rPr>
        <w:t xml:space="preserve">The PlaNet-2 trial (Curley et al., NEJM 2019) was a landmark randomized controlled trial in 660 preterm neonates (less than 34 weeks) with severe thrombocytopenia (platelet count less than 50,000/microL). It compared a liberal transfusion threshold (transfuse when platelets less than 50,000) to a restrictive threshold (transfuse when platelets less than 25,000). The trial was stopped early because the liberal threshold group had SIGNIFICANTLY WORSE outcomes: higher rates of death or major bleeding (26 percent versus 19 percent, p=0.02). This was a surprising and practice-changing result: giving MORE platelets was WORSE. The mechanism is thought to involve platelet-mediated inflammatory responses and thrombus formation in immature microvasculature. Based on PlaNet-2, current recommendations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Clinical Scenario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Platelet Threshold for Transfusion</w:t>
            </w:r>
          </w:p>
        </w:tc>
      </w:tr>
      <w:tr>
        <w:tc>
          <w:tcPr>
            <w:tcW w:type="dxa" w:w="5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Stable preterm (no bleeding, no planned procedure)</w:t>
            </w:r>
          </w:p>
        </w:tc>
        <w:tc>
          <w:tcPr>
            <w:tcW w:type="dxa" w:w="4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&lt;25,000/µL</w:t>
            </w:r>
          </w:p>
        </w:tc>
      </w:tr>
      <w:tr>
        <w:tc>
          <w:tcPr>
            <w:tcW w:type="dxa" w:w="5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Clinically unstable, current bleeding, or planned invasive procedure</w:t>
            </w:r>
          </w:p>
        </w:tc>
        <w:tc>
          <w:tcPr>
            <w:tcW w:type="dxa" w:w="4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&lt;50,000/µL</w:t>
            </w:r>
          </w:p>
        </w:tc>
      </w:tr>
      <w:tr>
        <w:tc>
          <w:tcPr>
            <w:tcW w:type="dxa" w:w="5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Active major hemorrhage, DIC, or pre-/post-neurosurgery</w:t>
            </w:r>
          </w:p>
        </w:tc>
        <w:tc>
          <w:tcPr>
            <w:tcW w:type="dxa" w:w="4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&lt;100,000/µL (consider higher threshold)</w:t>
            </w:r>
          </w:p>
        </w:tc>
      </w:tr>
      <w:tr>
        <w:tc>
          <w:tcPr>
            <w:tcW w:type="dxa" w:w="5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NAIT with risk of ICH</w:t>
            </w:r>
          </w:p>
        </w:tc>
        <w:tc>
          <w:tcPr>
            <w:tcW w:type="dxa" w:w="4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&lt;30,000/µL (HPA-matched if available + IVIG)</w:t>
            </w:r>
          </w:p>
        </w:tc>
      </w:tr>
    </w:tbl>
    <w:p>
      <w:pPr>
        <w:spacing w:after="120"/>
      </w:pPr>
      <w:r>
        <w:rPr>
          <w:rFonts w:ascii="Arial" w:cs="Arial" w:eastAsia="Arial" w:hAnsi="Arial"/>
          <w:sz w:val="24"/>
          <w:szCs w:val="24"/>
        </w:rPr>
        <w:t xml:space="preserve">Table 2. Platelet transfusion thresholds based on PlaNet-2 and current consensus.</w:t>
      </w:r>
    </w:p>
    <w:p>
      <w:pPr>
        <w:spacing w:after="120"/>
      </w:pPr>
      <w:r>
        <w:rPr>
          <w:rFonts w:ascii="Arial" w:cs="Arial" w:eastAsia="Arial" w:hAnsi="Arial"/>
          <w:sz w:val="24"/>
          <w:szCs w:val="24"/>
        </w:rPr>
        <w:t xml:space="preserve">Platelet dose: 10 to 15 mL/kg, expected to raise the platelet count by approximately 50,000 to 100,000/microL. Transfuse over 15 to 30 minutes (faster than RBCs). Use irradiated, leukocyte-reduced products.</w:t>
      </w:r>
    </w:p>
    <w:p>
      <w:r>
        <w:br w:type="page"/>
      </w:r>
    </w:p>
    <w:p>
      <w:pPr>
        <w:pStyle w:val="Heading1"/>
      </w:pPr>
      <w:r>
        <w:t xml:space="preserve">Chapter 5: Vitamin K Deficiency Bleeding and Coagulation Disorders</w:t>
      </w:r>
    </w:p>
    <w:p>
      <w:pPr>
        <w:pStyle w:val="Heading2"/>
      </w:pPr>
      <w:r>
        <w:t xml:space="preserve">5.1 Vitamin K Deficiency Bleeding (VKDB)</w:t>
      </w:r>
    </w:p>
    <w:p>
      <w:pPr>
        <w:spacing w:after="120"/>
      </w:pPr>
      <w:r>
        <w:rPr>
          <w:rFonts w:ascii="Arial" w:cs="Arial" w:eastAsia="Arial" w:hAnsi="Arial"/>
          <w:sz w:val="24"/>
          <w:szCs w:val="24"/>
        </w:rPr>
        <w:t xml:space="preserve">Vitamin K deficiency bleeding (formerly hemorrhagic disease of the newborn) is classified by timing: early VKDB (within 24 hours of birth, rare, associated with maternal medications that inhibit vitamin K, such as warfarin, phenytoin, rifampin, isoniazid), classic VKDB (days 2 to 7, occurs in 0.25 to 1.7 percent of neonates who do not receive vitamin K prophylaxis, presenting as bleeding from the umbilical stump, GI tract, circumcision site, or venipuncture sites), and late VKDB (2 to 12 weeks of age, occurs in 4 to 7 per 100,000 neonates not given vitamin K, associated with exclusively breastfeeding without supplementation, presenting with severe bleeding including intracranial hemorrhage in 50 percent of cases, with a mortality rate of 20 percent and significant neurologic morbidity in survivors).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Vitamin K prophylaxis: The AAP recommends intramuscular vitamin K1 (phytonadione) 0.5 to 1 mg given within 6 hours of birth for ALL newborns. This single injection effectively prevents ALL forms of VKDB. Parental refusal of vitamin K is a growing concern: the provider should counsel on the risks of VKDB (including intracranial hemorrhage with 20% mortality) and document the discussion. Oral vitamin K is NOT recommended by the AAP due to incomplete absorption and the need for multiple doses, which are often missed.</w:t>
            </w:r>
          </w:p>
        </w:tc>
      </w:tr>
    </w:tbl>
    <w:p>
      <w:pPr>
        <w:pStyle w:val="Heading2"/>
      </w:pPr>
      <w:r>
        <w:t xml:space="preserve">5.2 Disseminated Intravascular Coagulation (DIC)</w:t>
      </w:r>
    </w:p>
    <w:p>
      <w:pPr>
        <w:spacing w:after="120"/>
      </w:pPr>
      <w:r>
        <w:rPr>
          <w:rFonts w:ascii="Arial" w:cs="Arial" w:eastAsia="Arial" w:hAnsi="Arial"/>
          <w:sz w:val="24"/>
          <w:szCs w:val="24"/>
        </w:rPr>
        <w:t xml:space="preserve">DIC in the neonate is a consumptive coagulopathy triggered by an underlying condition: sepsis (the most common trigger), perinatal asphyxia, NEC, large hemangiomas (Kasabach-Merritt phenomenon), and severe hemolytic disease. The pathophysiology involves widespread activation of the coagulation cascade, leading to simultaneous thrombosis in the microvasculature (causing organ ischemia) and consumption of clotting factors and platelets (causing hemorrhage). Laboratory findings include: prolonged PT and aPTT, decreased fibrinogen (less than 100 mg/dL is concerning in neonates; note that neonatal fibrinogen is normally slightly lower than adult values), elevated D-dimer or fibrin degradation products, thrombocytopenia, and schistocytes on peripheral smear. Management: (1) Treat the underlying cause (this is the most important intervention: antibiotics for sepsis, delivery for obstetric causes). (2) Replace depleted factors: FFP 10 to 15 mL/kg for prolonged PT/aPTT with bleeding, cryoprecipitate 5 to 10 mL/kg for fibrinogen less than 100 mg/dL, platelet transfusion for severe thrombocytopenia with bleeding. (3) Maintain perfusion and oxygenation. (4) Heparin is rarely used in neonatal DIC except in specific situations (large vessel thrombosis, purpura fulminans).</w:t>
      </w:r>
    </w:p>
    <w:p>
      <w:r>
        <w:br w:type="page"/>
      </w:r>
    </w:p>
    <w:p>
      <w:pPr>
        <w:pStyle w:val="Heading1"/>
      </w:pPr>
      <w:r>
        <w:t xml:space="preserve">Chapter 6: Special Hematologic Topics</w:t>
      </w:r>
    </w:p>
    <w:p>
      <w:pPr>
        <w:pStyle w:val="Heading2"/>
      </w:pPr>
      <w:r>
        <w:t xml:space="preserve">6.1 Subgaleal Hemorrhage</w:t>
      </w:r>
    </w:p>
    <w:p>
      <w:pPr>
        <w:spacing w:after="120"/>
      </w:pPr>
      <w:r>
        <w:rPr>
          <w:rFonts w:ascii="Arial" w:cs="Arial" w:eastAsia="Arial" w:hAnsi="Arial"/>
          <w:sz w:val="24"/>
          <w:szCs w:val="24"/>
        </w:rPr>
        <w:t xml:space="preserve">Subgaleal hemorrhage is bleeding into the potential space between the periosteum of the skull and the galea aponeurotica. This space can hold the entire neonatal blood volume (approximately 80 mL/kg), making subgaleal hemorrhage potentially lethal if not recognized early. It is most commonly associated with vacuum-assisted delivery (incidence approximately 1 in 160 vacuum deliveries). Clinical findings include a fluctuant, boggy swelling that crosses suture lines (distinguishing it from cephalhematoma, which is limited to one bone by the periosteum), increasing head circumference, pallor, tachycardia, and signs of hypovolemic shock. Unlike caput succedaneum (which improves within 24 to 48 hours), subgaleal hemorrhage progressively worsens. Management: volume resuscitation (NS 10 to 20 mL/kg boluses, pRBC transfusion for ongoing hemorrhage), correction of coagulopathy (FFP, platelets, cryoprecipitate as indicated), and close monitoring of hemoglobin, coagulation studies, and hemodynamic status. Transfer to a higher level of care is indicated for progressive hemorrhage or hemodynamic instability.</w:t>
      </w:r>
    </w:p>
    <w:p>
      <w:pPr>
        <w:pStyle w:val="Heading2"/>
      </w:pPr>
      <w:r>
        <w:t xml:space="preserve">6.2 Fetomaternal Hemorrhage</w:t>
      </w:r>
    </w:p>
    <w:p>
      <w:pPr>
        <w:spacing w:after="120"/>
      </w:pPr>
      <w:r>
        <w:rPr>
          <w:rFonts w:ascii="Arial" w:cs="Arial" w:eastAsia="Arial" w:hAnsi="Arial"/>
          <w:sz w:val="24"/>
          <w:szCs w:val="24"/>
        </w:rPr>
        <w:t xml:space="preserve">Fetomaternal hemorrhage (FMH) is the passage of fetal blood into the maternal circulation. Small FMH (less than 1 mL) occurs in 50 to 75 percent of all pregnancies and is clinically insignificant. Large FMH (greater than 30 mL or greater than 50 percent of fetal blood volume) is rare (1 in 1,000 to 5,000 pregnancies) but can present as fetal or neonatal anemia of varying severity, from mild pallor to hydrops fetalis with circulatory shock. The presentation may be acute (sudden onset, pallor, tachycardia, hypotension, normal bilirubin) or chronic (well-compensated anemia with elevated reticulocyte count and evidence of extramedullary hematopoiesis). Diagnosis is by Kleihauer-Betke test (acid elution test detecting fetal hemoglobin-containing cells in maternal blood) or flow cytometry on a maternal blood sample. Management: resuscitation with volume and pRBC transfusion as needed.</w:t>
      </w:r>
    </w:p>
    <w:p>
      <w:pPr>
        <w:pStyle w:val="Heading2"/>
      </w:pPr>
      <w:r>
        <w:t xml:space="preserve">6.3 Neonatal Neutropenia and Neutrophilia</w:t>
      </w:r>
    </w:p>
    <w:p>
      <w:pPr>
        <w:spacing w:after="120"/>
      </w:pPr>
      <w:r>
        <w:rPr>
          <w:rFonts w:ascii="Arial" w:cs="Arial" w:eastAsia="Arial" w:hAnsi="Arial"/>
          <w:sz w:val="24"/>
          <w:szCs w:val="24"/>
        </w:rPr>
        <w:t xml:space="preserve">Neonatal neutropenia is defined as an absolute neutrophil count (ANC) less than 1,000/microL in the first 72 hours (some use less than 1,500 beyond 72 hours). The most common cause in the NICU is sepsis (paradoxically, severe neonatal sepsis can cause neutropenia rather than neutrophilia due to bone marrow exhaustion). Other causes include maternal hypertension/preeclampsia (the most common cause of neutropenia in well preterm infants), alloimmune neutropenia (analogous to NAIT), congenital neutropenia syndromes (Kostmann syndrome, severe congenital neutropenia), and drug-related. Management: address the underlying cause. G-CSF (filgrastim) has been studied in neonatal sepsis-associated neutropenia but is not routinely recommended due to lack of consistent mortality benefit. Neonatal neutrophilia (ANC greater than 20,000/microL) can occur with sepsis (early response), maternal steroid administration, stress, or chronic inflammation.</w:t>
      </w:r>
    </w:p>
    <w:p>
      <w:r>
        <w:br w:type="page"/>
      </w:r>
    </w:p>
    <w:p>
      <w:pPr>
        <w:pStyle w:val="Heading1"/>
      </w:pPr>
      <w:r>
        <w:t xml:space="preserve">Chapter 7: Case Studies</w:t>
      </w:r>
    </w:p>
    <w:p>
      <w:pPr>
        <w:pStyle w:val="Heading2"/>
      </w:pPr>
      <w:r>
        <w:t xml:space="preserve">Case 1: Anemic Infant After Vacuum Delivery</w:t>
      </w:r>
    </w:p>
    <w:p>
      <w:pPr>
        <w:spacing w:after="120"/>
      </w:pPr>
      <w:r>
        <w:rPr>
          <w:rFonts w:ascii="Arial" w:cs="Arial" w:eastAsia="Arial" w:hAnsi="Arial"/>
          <w:sz w:val="24"/>
          <w:szCs w:val="24"/>
        </w:rPr>
        <w:t xml:space="preserve">A 38-week male is delivered via vacuum-assisted vaginal delivery. Apgar scores are 7 and 8. At 3 hours of life, the nurse notes a boggy swelling over the entire scalp that crosses suture lines. The head circumference has increased by 2 cm since birth. The infant is pale and tachycardic (HR 185). Hemoglobin is 10.2 g/dL.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subgaleal hemorrhage until proven otherwise. The boggy swelling crossing suture lines distinguishes it from cephalhematoma. The declining hemoglobin and tachycardia indicate active hemorrhage. EMERGENCY management: (1) Establish IV access immediately. (2) Send stat CBC, coagulation studies (PT, aPTT, fibrinogen), and type and crossmatch. (3) Begin NS bolus 10 mL/kg for hypovolemia. (4) Prepare for pRBC transfusion (10 to 15 mL/kg). (5) If coagulopathy is present, give FFP 10 to 15 mL/kg and cryoprecipitate if fibrinogen is less than 100. (6) Monitor head circumference every 30 minutes. (7) Contact the receiving NICU for transfer. Teaching point: subgaleal hemorrhage can be lethal because the subgaleal space can hold the entire blood volume. Serial head circumference measurements after vacuum delivery are essential.</w:t>
      </w:r>
    </w:p>
    <w:p>
      <w:pPr>
        <w:pStyle w:val="Heading2"/>
      </w:pPr>
      <w:r>
        <w:t xml:space="preserve">Case 2: Bruised Infant with Severe Thrombocytopenia</w:t>
      </w:r>
    </w:p>
    <w:p>
      <w:pPr>
        <w:spacing w:after="120"/>
      </w:pPr>
      <w:r>
        <w:rPr>
          <w:rFonts w:ascii="Arial" w:cs="Arial" w:eastAsia="Arial" w:hAnsi="Arial"/>
          <w:sz w:val="24"/>
          <w:szCs w:val="24"/>
        </w:rPr>
        <w:t xml:space="preserve">A 40-week female infant born to a primigravida via uncomplicated vaginal delivery has diffuse petechiae and several ecchymoses noted at 4 hours of life. The CBC shows a platelet count of 12,000/microL with a normal hemoglobin and WBC. Maternal platelet count is 240,000.</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Severe thrombocytopenia (less than 20,000) in a well-appearing term infant with a NORMAL maternal platelet count = NAIT until proven otherwise. The normal maternal platelet count rules out maternal ITP (where maternal antibodies also affect the mother's own platelets). In NAIT, the mother's platelets are normal because she lacks the target antigen. Actions: (1) Immediately send maternal and neonatal platelet antigen typing and maternal antiplatelet antibodies. (2) Obtain a cranial ultrasound URGENTLY to evaluate for intracranial hemorrhage. (3) Transfuse HPA-1a-negative platelets if available (contact the blood bank). If not available, give random donor platelets (may have limited efficacy). (4) Give IVIG 1 g/kg IV. (5) Recheck platelet count after transfusion and every 12 hours. (6) Consult pediatric hematology. Teaching point: NAIT can occur in the FIRST pregnancy and causes severe thrombocytopenia with 10 to 20 percent risk of ICH.</w:t>
      </w:r>
    </w:p>
    <w:p>
      <w:pPr>
        <w:pStyle w:val="Heading2"/>
      </w:pPr>
      <w:r>
        <w:t xml:space="preserve">Case 3: Plethoric Infant of Diabetic Mother</w:t>
      </w:r>
    </w:p>
    <w:p>
      <w:pPr>
        <w:spacing w:after="120"/>
      </w:pPr>
      <w:r>
        <w:rPr>
          <w:rFonts w:ascii="Arial" w:cs="Arial" w:eastAsia="Arial" w:hAnsi="Arial"/>
          <w:sz w:val="24"/>
          <w:szCs w:val="24"/>
        </w:rPr>
        <w:t xml:space="preserve">A 40-week LGA male infant born to a mother with poorly controlled gestational diabetes is noted to be plethoric (ruddy) at 4 hours of life. The heel-stick Hct is 73 percent. Venous Hct is confirmed at 70 percent. The infant is jittery and has a blood glucose of 32 mg/dL.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polycythemia (venous Hct 70 percent) with symptoms (jitteriness, hypoglycemia). Causes: infant of diabetic mother (chronic fetal hyperinsulinemia causes fetal hypoxia, stimulating erythropoietin and red cell production). Actions: (1) Treat the hypoglycemia immediately with D10W 2 mL/kg IV push. (2) Given the venous Hct greater than 70 percent with symptoms, perform a partial exchange transfusion (PET) to reduce Hct to 50 to 55 percent. Calculate exchange volume: Blood volume (80 mL/kg x 4 kg = 320 mL) x (70 - 55) / 70 = 69 mL. Exchange 69 mL using NS as replacement fluid via umbilical venous catheter. (3) Recheck Hct and glucose after PET. (4) Monitor for rebound polycythemia and ongoing hypoglycemia. Teaching point: always confirm polycythemia with a VENOUS hematocrit. Capillary Hct overestimates by 5 to 15 percent.</w:t>
      </w:r>
    </w:p>
    <w:p>
      <w:r>
        <w:br w:type="page"/>
      </w:r>
    </w:p>
    <w:p>
      <w:pPr>
        <w:pStyle w:val="Heading1"/>
      </w:pPr>
      <w:r>
        <w:t xml:space="preserve">Chapter 8: Summary and Key Takeaways</w:t>
      </w:r>
    </w:p>
    <w:p>
      <w:pPr>
        <w:pStyle w:val="ListParagraph"/>
        <w:numPr>
          <w:ilvl w:val="0"/>
          <w:numId w:val="2"/>
        </w:numPr>
        <w:spacing w:after="60"/>
      </w:pPr>
      <w:r>
        <w:rPr>
          <w:rFonts w:ascii="Arial" w:cs="Arial" w:eastAsia="Arial" w:hAnsi="Arial"/>
          <w:sz w:val="24"/>
          <w:szCs w:val="24"/>
        </w:rPr>
        <w:t xml:space="preserve">Normal neonatal hemoglobin: 14-20 g/dL at birth. Physiologic anemia of prematurity (nadir 7-9 g/dL at 4-8 wk) and infancy (nadir 9-11 g/dL at 6-12 wk) are NORMAL processes, not diseases.</w:t>
      </w:r>
    </w:p>
    <w:p>
      <w:pPr>
        <w:pStyle w:val="ListParagraph"/>
        <w:numPr>
          <w:ilvl w:val="0"/>
          <w:numId w:val="2"/>
        </w:numPr>
        <w:spacing w:after="60"/>
      </w:pPr>
      <w:r>
        <w:rPr>
          <w:rFonts w:ascii="Arial" w:cs="Arial" w:eastAsia="Arial" w:hAnsi="Arial"/>
          <w:sz w:val="24"/>
          <w:szCs w:val="24"/>
        </w:rPr>
        <w:t xml:space="preserve">2024 RBC transfusion CPG: RESTRICTIVE thresholds. On respiratory support: 11 (wk1), 10 (wk2), 9 g/dL (wk3+). No/minimal support: 10, 8.5, 7 g/dL. ETTNO and TOP showed no benefit of liberal thresholds.</w:t>
      </w:r>
    </w:p>
    <w:p>
      <w:pPr>
        <w:pStyle w:val="ListParagraph"/>
        <w:numPr>
          <w:ilvl w:val="0"/>
          <w:numId w:val="2"/>
        </w:numPr>
        <w:spacing w:after="60"/>
      </w:pPr>
      <w:r>
        <w:rPr>
          <w:rFonts w:ascii="Arial" w:cs="Arial" w:eastAsia="Arial" w:hAnsi="Arial"/>
          <w:sz w:val="24"/>
          <w:szCs w:val="24"/>
        </w:rPr>
        <w:t xml:space="preserve">Delayed cord clamping (30-60 sec) reduces transfusion need by ~27% and is recommended for ALL preterm infants.</w:t>
      </w:r>
    </w:p>
    <w:p>
      <w:pPr>
        <w:pStyle w:val="ListParagraph"/>
        <w:numPr>
          <w:ilvl w:val="0"/>
          <w:numId w:val="2"/>
        </w:numPr>
        <w:spacing w:after="60"/>
      </w:pPr>
      <w:r>
        <w:rPr>
          <w:rFonts w:ascii="Arial" w:cs="Arial" w:eastAsia="Arial" w:hAnsi="Arial"/>
          <w:sz w:val="24"/>
          <w:szCs w:val="24"/>
        </w:rPr>
        <w:t xml:space="preserve">Polycythemia: venous Hct &gt;65%. ALWAYS confirm with venous sample (capillary overestimates by 5-15%). PET with NS if symptomatic or Hct &gt;70%.</w:t>
      </w:r>
    </w:p>
    <w:p>
      <w:pPr>
        <w:pStyle w:val="ListParagraph"/>
        <w:numPr>
          <w:ilvl w:val="0"/>
          <w:numId w:val="2"/>
        </w:numPr>
        <w:spacing w:after="60"/>
      </w:pPr>
      <w:r>
        <w:rPr>
          <w:rFonts w:ascii="Arial" w:cs="Arial" w:eastAsia="Arial" w:hAnsi="Arial"/>
          <w:sz w:val="24"/>
          <w:szCs w:val="24"/>
        </w:rPr>
        <w:t xml:space="preserve">PlaNet-2 trial: restrictive platelet transfusion (threshold &lt;25,000) is SUPERIOR to liberal (&lt;50,000). Liberal transfusion caused MORE harm (death/bleeding 26% vs 19%). Transfuse stable preterm infants only at &lt;25,000.</w:t>
      </w:r>
    </w:p>
    <w:p>
      <w:pPr>
        <w:pStyle w:val="ListParagraph"/>
        <w:numPr>
          <w:ilvl w:val="0"/>
          <w:numId w:val="2"/>
        </w:numPr>
        <w:spacing w:after="60"/>
      </w:pPr>
      <w:r>
        <w:rPr>
          <w:rFonts w:ascii="Arial" w:cs="Arial" w:eastAsia="Arial" w:hAnsi="Arial"/>
          <w:sz w:val="24"/>
          <w:szCs w:val="24"/>
        </w:rPr>
        <w:t xml:space="preserve">NAIT: severe thrombocytopenia (&lt;20,000) in a term infant with NORMAL maternal platelets = NAIT until proven otherwise. Risk of ICH 10-20%. HPA-matched platelets + IVIG 1 g/kg.</w:t>
      </w:r>
    </w:p>
    <w:p>
      <w:pPr>
        <w:pStyle w:val="ListParagraph"/>
        <w:numPr>
          <w:ilvl w:val="0"/>
          <w:numId w:val="2"/>
        </w:numPr>
        <w:spacing w:after="60"/>
      </w:pPr>
      <w:r>
        <w:rPr>
          <w:rFonts w:ascii="Arial" w:cs="Arial" w:eastAsia="Arial" w:hAnsi="Arial"/>
          <w:sz w:val="24"/>
          <w:szCs w:val="24"/>
        </w:rPr>
        <w:t xml:space="preserve">Vitamin K IM (0.5-1 mg) within 6h of birth prevents ALL forms of VKDB. Late VKDB has 50% ICH rate and 20% mortality. Oral vitamin K is NOT recommended by AAP.</w:t>
      </w:r>
    </w:p>
    <w:p>
      <w:pPr>
        <w:pStyle w:val="ListParagraph"/>
        <w:numPr>
          <w:ilvl w:val="0"/>
          <w:numId w:val="2"/>
        </w:numPr>
        <w:spacing w:after="60"/>
      </w:pPr>
      <w:r>
        <w:rPr>
          <w:rFonts w:ascii="Arial" w:cs="Arial" w:eastAsia="Arial" w:hAnsi="Arial"/>
          <w:sz w:val="24"/>
          <w:szCs w:val="24"/>
        </w:rPr>
        <w:t xml:space="preserve">DIC: treat the CAUSE (sepsis, asphyxia). Replace depleted factors (FFP for prolonged PT/aPTT, cryo for fibrinogen &lt;100, platelets for severe thrombocytopenia with bleeding).</w:t>
      </w:r>
    </w:p>
    <w:p>
      <w:pPr>
        <w:pStyle w:val="ListParagraph"/>
        <w:numPr>
          <w:ilvl w:val="0"/>
          <w:numId w:val="2"/>
        </w:numPr>
        <w:spacing w:after="60"/>
      </w:pPr>
      <w:r>
        <w:rPr>
          <w:rFonts w:ascii="Arial" w:cs="Arial" w:eastAsia="Arial" w:hAnsi="Arial"/>
          <w:sz w:val="24"/>
          <w:szCs w:val="24"/>
        </w:rPr>
        <w:t xml:space="preserve">Subgaleal hemorrhage: boggy swelling crossing suture lines after vacuum delivery. Can hold entire blood volume. Monitor head circumference q30min. Aggressive resuscitation + transfusion.</w:t>
      </w:r>
    </w:p>
    <w:p>
      <w:pPr>
        <w:pStyle w:val="ListParagraph"/>
        <w:numPr>
          <w:ilvl w:val="0"/>
          <w:numId w:val="2"/>
        </w:numPr>
        <w:spacing w:after="60"/>
      </w:pPr>
      <w:r>
        <w:rPr>
          <w:rFonts w:ascii="Arial" w:cs="Arial" w:eastAsia="Arial" w:hAnsi="Arial"/>
          <w:sz w:val="24"/>
          <w:szCs w:val="24"/>
        </w:rPr>
        <w:t xml:space="preserve">Hemolytic disease: Rh disease prevented by RhoGAM. ABO incompatibility is usually milder. Both cause indirect hyperbilirubinemia requiring monitoring per AAP guidelines.</w:t>
      </w:r>
    </w:p>
    <w:p>
      <w:r>
        <w:br w:type="page"/>
      </w:r>
    </w:p>
    <w:p>
      <w:pPr>
        <w:pStyle w:val="Heading1"/>
      </w:pPr>
      <w:r>
        <w:t xml:space="preserve">References</w:t>
      </w:r>
    </w:p>
    <w:p>
      <w:pPr>
        <w:spacing w:after="120"/>
      </w:pPr>
      <w:r>
        <w:rPr>
          <w:rFonts w:ascii="Arial" w:cs="Arial" w:eastAsia="Arial" w:hAnsi="Arial"/>
          <w:sz w:val="24"/>
          <w:szCs w:val="24"/>
        </w:rPr>
        <w:t xml:space="preserve">1. Deschmann E, Dame C, Sola-Visner MC, et al. Clinical Practice Guideline for RBC Transfusion Thresholds in Very Preterm Neonates. JAMA Netw Open. 2024;7(6):e2417431.</w:t>
      </w:r>
    </w:p>
    <w:p>
      <w:pPr>
        <w:spacing w:after="120"/>
      </w:pPr>
      <w:r>
        <w:rPr>
          <w:rFonts w:ascii="Arial" w:cs="Arial" w:eastAsia="Arial" w:hAnsi="Arial"/>
          <w:sz w:val="24"/>
          <w:szCs w:val="24"/>
        </w:rPr>
        <w:t xml:space="preserve">2. Kirpalani H, Bell EF, Hintz SR, et al. Higher or Lower Hemoglobin Transfusion Thresholds for Preterm Infants (TOP Trial). N Engl J Med. 2020;383(27):2639-2651.</w:t>
      </w:r>
    </w:p>
    <w:p>
      <w:pPr>
        <w:spacing w:after="120"/>
      </w:pPr>
      <w:r>
        <w:rPr>
          <w:rFonts w:ascii="Arial" w:cs="Arial" w:eastAsia="Arial" w:hAnsi="Arial"/>
          <w:sz w:val="24"/>
          <w:szCs w:val="24"/>
        </w:rPr>
        <w:t xml:space="preserve">3. Franz AR, Engel C, Bassler D, et al. Effects of Liberal vs Restrictive Transfusion Thresholds on Survival and Neurocognitive Outcomes in ELBW Infants (ETTNO Trial). JAMA. 2020;324(6):560-570.</w:t>
      </w:r>
    </w:p>
    <w:p>
      <w:pPr>
        <w:spacing w:after="120"/>
      </w:pPr>
      <w:r>
        <w:rPr>
          <w:rFonts w:ascii="Arial" w:cs="Arial" w:eastAsia="Arial" w:hAnsi="Arial"/>
          <w:sz w:val="24"/>
          <w:szCs w:val="24"/>
        </w:rPr>
        <w:t xml:space="preserve">4. Curley A, Stanworth SJ, Willoughby K, et al. Randomized Trial of Platelet-Transfusion Thresholds in Neonates (PlaNet-2). N Engl J Med. 2019;380(3):242-251.</w:t>
      </w:r>
    </w:p>
    <w:p>
      <w:pPr>
        <w:spacing w:after="120"/>
      </w:pPr>
      <w:r>
        <w:rPr>
          <w:rFonts w:ascii="Arial" w:cs="Arial" w:eastAsia="Arial" w:hAnsi="Arial"/>
          <w:sz w:val="24"/>
          <w:szCs w:val="24"/>
        </w:rPr>
        <w:t xml:space="preserve">5. Ree IMC, Lopriore E. Updates in Neonatal Hematology: Causes, Risk Factors, and Management of Anemia and Thrombocytopenia. Hematol Oncol Clin North Am. 2019;33(3):521-532.</w:t>
      </w:r>
    </w:p>
    <w:p>
      <w:pPr>
        <w:spacing w:after="120"/>
      </w:pPr>
      <w:r>
        <w:rPr>
          <w:rFonts w:ascii="Arial" w:cs="Arial" w:eastAsia="Arial" w:hAnsi="Arial"/>
          <w:sz w:val="24"/>
          <w:szCs w:val="24"/>
        </w:rPr>
        <w:t xml:space="preserve">6. Watchko JF. Common Hematologic Problems in the Newborn Nursery. Pediatr Clin North Am. 2015;62(2):509-524.</w:t>
      </w:r>
    </w:p>
    <w:p>
      <w:pPr>
        <w:spacing w:after="120"/>
      </w:pPr>
      <w:r>
        <w:rPr>
          <w:rFonts w:ascii="Arial" w:cs="Arial" w:eastAsia="Arial" w:hAnsi="Arial"/>
          <w:sz w:val="24"/>
          <w:szCs w:val="24"/>
        </w:rPr>
        <w:t xml:space="preserve">7. AAP Committee on Fetus and Newborn. Controversies Concerning Vitamin K and the Newborn. Pediatrics. 2003;112(1 Pt 1):191-196.</w:t>
      </w:r>
    </w:p>
    <w:p>
      <w:pPr>
        <w:spacing w:after="120"/>
      </w:pPr>
      <w:r>
        <w:rPr>
          <w:rFonts w:ascii="Arial" w:cs="Arial" w:eastAsia="Arial" w:hAnsi="Arial"/>
          <w:sz w:val="24"/>
          <w:szCs w:val="24"/>
        </w:rPr>
        <w:t xml:space="preserve">8. Puckett RM, Offringa M. Prophylactic Vitamin K for VKDB in Neonates. Cochrane Database Syst Rev. 2000;(4):CD002776.</w:t>
      </w:r>
    </w:p>
    <w:p>
      <w:pPr>
        <w:spacing w:after="120"/>
      </w:pPr>
      <w:r>
        <w:rPr>
          <w:rFonts w:ascii="Arial" w:cs="Arial" w:eastAsia="Arial" w:hAnsi="Arial"/>
          <w:sz w:val="24"/>
          <w:szCs w:val="24"/>
        </w:rPr>
        <w:t xml:space="preserve">9. Jeevasankar M, Agarwal R, Chawla D, et al. Polycythemia in the Newborn. Indian J Pediatr. 2008;75(1):68-72.</w:t>
      </w:r>
    </w:p>
    <w:p>
      <w:pPr>
        <w:spacing w:after="120"/>
      </w:pPr>
      <w:r>
        <w:rPr>
          <w:rFonts w:ascii="Arial" w:cs="Arial" w:eastAsia="Arial" w:hAnsi="Arial"/>
          <w:sz w:val="24"/>
          <w:szCs w:val="24"/>
        </w:rPr>
        <w:t xml:space="preserve">10. Dempsey EM, Barrington K. Short and Long-Term Outcomes Following PET in Polycythaemic Newborn. Arch Dis Child Fetal Neonatal Ed. 2006;91(1):F2-F6.</w:t>
      </w:r>
    </w:p>
    <w:p>
      <w:pPr>
        <w:spacing w:after="120"/>
      </w:pPr>
      <w:r>
        <w:rPr>
          <w:rFonts w:ascii="Arial" w:cs="Arial" w:eastAsia="Arial" w:hAnsi="Arial"/>
          <w:sz w:val="24"/>
          <w:szCs w:val="24"/>
        </w:rPr>
        <w:t xml:space="preserve">11. Roberts I, Stanworth S, Murray NA. Thrombocytopenia in the Neonate. Blood Rev. 2008;22(4):173-186.</w:t>
      </w:r>
    </w:p>
    <w:p>
      <w:pPr>
        <w:spacing w:after="120"/>
      </w:pPr>
      <w:r>
        <w:rPr>
          <w:rFonts w:ascii="Arial" w:cs="Arial" w:eastAsia="Arial" w:hAnsi="Arial"/>
          <w:sz w:val="24"/>
          <w:szCs w:val="24"/>
        </w:rPr>
        <w:t xml:space="preserve">12. Peterson JA, McFarland JG, Curtis BR, Aster RH. Neonatal Alloimmune Thrombocytopenia: Pathogenesis, Diagnosis and Management. Br J Haematol. 2013;161(1):3-14.</w:t>
      </w:r>
    </w:p>
    <w:p>
      <w:pPr>
        <w:spacing w:after="120"/>
      </w:pPr>
      <w:r>
        <w:rPr>
          <w:rFonts w:ascii="Arial" w:cs="Arial" w:eastAsia="Arial" w:hAnsi="Arial"/>
          <w:sz w:val="24"/>
          <w:szCs w:val="24"/>
        </w:rPr>
        <w:t xml:space="preserve">13. Saxonhouse MA, Sola-Visner M. Platelet Function in Term and Preterm Neonates. Clin Perinatol. 2015;42(3):651-660.</w:t>
      </w:r>
    </w:p>
    <w:p>
      <w:pPr>
        <w:spacing w:after="120"/>
      </w:pPr>
      <w:r>
        <w:rPr>
          <w:rFonts w:ascii="Arial" w:cs="Arial" w:eastAsia="Arial" w:hAnsi="Arial"/>
          <w:sz w:val="24"/>
          <w:szCs w:val="24"/>
        </w:rPr>
        <w:t xml:space="preserve">14. Gilmore LA, et al. Consensus Transfusion Guidelines for a Large Neonatal Intensive Care Network. Transfusion. 2024;64(7):1283-1295.</w:t>
      </w:r>
    </w:p>
    <w:p>
      <w:pPr>
        <w:spacing w:after="120"/>
      </w:pPr>
      <w:r>
        <w:rPr>
          <w:rFonts w:ascii="Arial" w:cs="Arial" w:eastAsia="Arial" w:hAnsi="Arial"/>
          <w:sz w:val="24"/>
          <w:szCs w:val="24"/>
        </w:rPr>
        <w:t xml:space="preserve">15. Lippi G, Franchini M. Vitamin K in Neonates: Facts and Myths. Blood Transfus. 2011;9(1):4-9.</w:t>
      </w:r>
    </w:p>
    <w:p>
      <w:pPr>
        <w:spacing w:after="120"/>
      </w:pPr>
      <w:r>
        <w:rPr>
          <w:rFonts w:ascii="Arial" w:cs="Arial" w:eastAsia="Arial" w:hAnsi="Arial"/>
          <w:sz w:val="24"/>
          <w:szCs w:val="24"/>
        </w:rPr>
        <w:t xml:space="preserve">16. Manco-Johnson MJ. Development of Hemostasis in the Fetus. Thromb Res. 2005;115(Suppl 1):S65-S70.</w:t>
      </w:r>
    </w:p>
    <w:p>
      <w:pPr>
        <w:spacing w:after="120"/>
      </w:pPr>
      <w:r>
        <w:rPr>
          <w:rFonts w:ascii="Arial" w:cs="Arial" w:eastAsia="Arial" w:hAnsi="Arial"/>
          <w:sz w:val="24"/>
          <w:szCs w:val="24"/>
        </w:rPr>
        <w:t xml:space="preserve">17. Andrew M, Paes B, Milner R, et al. Development of the Human Coagulation System in the Full-Term Infant. Blood. 1987;70(1):165-172.</w:t>
      </w:r>
    </w:p>
    <w:p>
      <w:pPr>
        <w:spacing w:after="120"/>
      </w:pPr>
      <w:r>
        <w:rPr>
          <w:rFonts w:ascii="Arial" w:cs="Arial" w:eastAsia="Arial" w:hAnsi="Arial"/>
          <w:sz w:val="24"/>
          <w:szCs w:val="24"/>
        </w:rPr>
        <w:t xml:space="preserve">18. Doshi H, Moradiya Y, Roth P, Blau J. Assessment of Predictive Factors for Polycythemia in Neonates. Pediatrics. 2019;143(4):e20182203.</w:t>
      </w:r>
    </w:p>
    <w:p>
      <w:pPr>
        <w:spacing w:after="120"/>
      </w:pPr>
      <w:r>
        <w:rPr>
          <w:rFonts w:ascii="Arial" w:cs="Arial" w:eastAsia="Arial" w:hAnsi="Arial"/>
          <w:sz w:val="24"/>
          <w:szCs w:val="24"/>
        </w:rPr>
        <w:t xml:space="preserve">19. Vlug RD, Lopriore E, Janssen M, et al. Thrombocytopenia in Neonates with Polycythemia. Expert Rev Hematol. 2015;8(1):123-129.</w:t>
      </w:r>
    </w:p>
    <w:p>
      <w:pPr>
        <w:spacing w:after="120"/>
      </w:pPr>
      <w:r>
        <w:rPr>
          <w:rFonts w:ascii="Arial" w:cs="Arial" w:eastAsia="Arial" w:hAnsi="Arial"/>
          <w:sz w:val="24"/>
          <w:szCs w:val="24"/>
        </w:rPr>
        <w:t xml:space="preserve">20. Sola-Visner M, Sallmon H. Clinical and Research Issues in Neonatal Anemia and Thrombocytopenia. Curr Opin Pediatr. 2012;24(1):16-22.</w:t>
      </w:r>
    </w:p>
    <w:p>
      <w:pPr>
        <w:spacing w:after="120"/>
      </w:pPr>
      <w:r>
        <w:rPr>
          <w:rFonts w:ascii="Arial" w:cs="Arial" w:eastAsia="Arial" w:hAnsi="Arial"/>
          <w:sz w:val="24"/>
          <w:szCs w:val="24"/>
        </w:rPr>
        <w:t xml:space="preserve">21. Juul SE, Comstock BA, Wadhawan R, et al. A Randomized Trial of Erythropoietin for Neuroprotection in Preterm Infants (PENUT Trial). N Engl J Med. 2020;382(3):233-243.</w:t>
      </w:r>
    </w:p>
    <w:p>
      <w:pPr>
        <w:spacing w:after="120"/>
      </w:pPr>
      <w:r>
        <w:rPr>
          <w:rFonts w:ascii="Arial" w:cs="Arial" w:eastAsia="Arial" w:hAnsi="Arial"/>
          <w:sz w:val="24"/>
          <w:szCs w:val="24"/>
        </w:rPr>
        <w:t xml:space="preserve">22. Rabe H, Gyte GM, Diaz-Rossello JL, Duley L. Effect of Timing of Umbilical Cord Clamping on Maternal and Neonatal Outcomes. Cochrane Database Syst Rev. 2019;(11):CD004074.</w:t>
      </w:r>
    </w:p>
    <w:p>
      <w:pPr>
        <w:spacing w:after="120"/>
      </w:pPr>
      <w:r>
        <w:rPr>
          <w:rFonts w:ascii="Arial" w:cs="Arial" w:eastAsia="Arial" w:hAnsi="Arial"/>
          <w:sz w:val="24"/>
          <w:szCs w:val="24"/>
        </w:rPr>
        <w:t xml:space="preserve">23. Christensen RD, Jopling J, Henry E, Wiedmeier SE. Reference Ranges for Hematocrit and Blood Hemoglobin Concentration During the Neonatal Period: Data From a Multihospital Health Care System. Pediatrics. 2009;123(2):e333-e337.</w:t>
      </w:r>
    </w:p>
    <w:p>
      <w:pPr>
        <w:spacing w:after="120"/>
      </w:pPr>
      <w:r>
        <w:rPr>
          <w:rFonts w:ascii="Arial" w:cs="Arial" w:eastAsia="Arial" w:hAnsi="Arial"/>
          <w:sz w:val="24"/>
          <w:szCs w:val="24"/>
        </w:rPr>
        <w:t xml:space="preserve">24. Nathan DG, Oski FA, eds. Nathan and Oski's Hematology and Oncology of Infancy and Childhood. 8th ed. Elsevier; 2015.</w:t>
      </w:r>
    </w:p>
    <w:p>
      <w:pPr>
        <w:spacing w:after="120"/>
      </w:pPr>
      <w:r>
        <w:rPr>
          <w:rFonts w:ascii="Arial" w:cs="Arial" w:eastAsia="Arial" w:hAnsi="Arial"/>
          <w:sz w:val="24"/>
          <w:szCs w:val="24"/>
        </w:rPr>
        <w:t xml:space="preserve">25. Stanworth SJ, Clarke P, Watts T, et al. Prospective Observational Study of Outcomes in Neonates with Severe Thrombocytopenia. Pediatrics. 2009;124(5):e826-e834.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Hematology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2026-03-19T13:30:10.575Z</dcterms:created>
  <dcterms:modified xsi:type="dcterms:W3CDTF">2026-03-19T13:30:10.575Z</dcterms:modified>
</cp:coreProperties>
</file>

<file path=docProps/custom.xml><?xml version="1.0" encoding="utf-8"?>
<Properties xmlns="http://schemas.openxmlformats.org/officeDocument/2006/custom-properties" xmlns:vt="http://schemas.openxmlformats.org/officeDocument/2006/docPropsVTypes"/>
</file>