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Hematology Disorders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Normal Neonatal Hematology and Anemia</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Welcome to the Audio Education Guide on Neonatal Hematology Disorders. Blood problems are among the most common conditions in the NICU, and understanding them is essential for every nursery provider.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Let's start with what is normal. A term neonate is born with a hemoglobin of approximately fourteen to twenty grams per deciliter, which is HIGHER than an adult. The red cells are large, macrocytic (mak-roh-SIT-ik), and contain predominantly fetal hemoglobin, called H-b-F. After birth, the baby transitions from the low-oxygen intrauterine environment to the oxygen-rich world outside. This signals the kidneys to STOP making erythropoietin (eh-RITH-roh-POY-eh-tin), the hormone that drives red cell production. With erythropoietin suppressed, the bone marrow slows down and the hemoglobin gradually falls over the first eight to twelve weeks, reaching a nadir of nine to eleven grams per deciliter in term infants at around six to twelve weeks, and seven to nine grams per deciliter in preterm infants at four to eight weeks. This is called the physiologic anemia of infancy and the anemia of prematurity. It is a NORMAL process, not a disease.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is anemia NOT normal? When there is: hemorrhage, meaning blood loss (fetomaternal hemorrhage, twin-to-twin transfusion, placental abruption, or iatrogenic phlebotomy losses); hemolysis (hee-MOL-ih-sis), meaning the red cells are being destroyed (R-h disease, A-B-O incompatibility, G-six-P-D deficiency, or hereditary spherocytosis (sfeer-oh-sy-TOH-sis)); or underproduction, meaning the bone marrow is not making enough red cells (Diamond-Blackfan anemia, parvovirus B-nineteen infection).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when should you transfuse? The answer changed dramatically in twenty twenty with two landmark trials. The E-T-T-N-O trial from Europe and the T-O-P trial from the United States together enrolled over three thousand four hundred extremely low birth weight infants and compared liberal versus restrictive red cell transfusion thresholds. Both found NO benefit of liberal transfusion. This led to the twenty twenty-four Neonatal Transfusion Network Clinical Practice Guideline, which recommends RESTRICTIVE thresholds. For infants on respiratory support: hemoglobin eleven in week one, ten in week two, nine in week three and beyond. For infants on no or minimal respiratory support: ten, eight point five, and seven grams per deciliter. The transfusion dose is ten to twenty milliliters per kilogram of packed red blood cells over two to four hours.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One more critical point about preventing anemia: delayed cord clamping for thirty to sixty seconds reduces the need for RBC transfusion by approximately twenty-seven percent and is recommended for ALL preterm infants who do not need immediate resuscitation.</w:t>
      </w:r>
    </w:p>
    <w:p>
      <w:pPr>
        <w:spacing w:after="120"/>
      </w:pPr>
      <w:r>
        <w:rPr>
          <w:rFonts w:ascii="Arial" w:cs="Arial" w:eastAsia="Arial" w:hAnsi="Arial"/>
          <w:sz w:val="24"/>
          <w:szCs w:val="24"/>
        </w:rPr>
        <w:t xml:space="preserve">[SECTION BREAK]</w:t>
      </w:r>
    </w:p>
    <w:p>
      <w:pPr>
        <w:pStyle w:val="Heading1"/>
      </w:pPr>
      <w:r>
        <w:t xml:space="preserve">Track 2: Polycythemia and Platelet Disorders</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Polycythemia (POLL-ee-sy-THEE-mee-ah) is the opposite of anemia: too many red cells. It is defined as a venous hematocrit above sixty-five percent, and it occurs in one to five percent of term neonates. But here is the critical teaching point: you MUST confirm with a VENOUS sample. Capillary hematocrits from heel sticks overestimate the true hematocrit by five to fifteen percent. If the heel stick shows seventy percent, the venous hematocrit might only be sixty. Never diagnose or treat polycythemia based on a capillary sample alone.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clinical significance of polycythemia relates to hyperviscosity (HY-per-vis-KOS-ih-tee). When the hematocrit goes above sixty-five percent, blood viscosity rises exponentially, and microcirculatory flow becomes sluggish. This can cause jitteriness, poor feeding, seizures, N-E-C, kidney problems, and hypoglycemia, which is the most common metabolic consequence, occurring in twelve to forty percent of polycythemic infants.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Management: if the baby is asymptomatic with a venous hematocrit of sixty-five to seventy, increase oral fluids and observe. If the baby is SYMPTOMATIC, or the venous hematocrit is above seventy even without symptoms, perform a partial exchange transfusion, abbreviated P-E-T, using normal saline as the replacement fluid. The goal is to reduce the hematocrit to fifty to fifty-five percent. The exchange volume formula is: blood volume times the difference between observed and desired hematocrit, divided by the observed hematocrit. Normal saline is preferred over albumin because it is cheaper, has no infection risk, and works just as well.</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thrombocytopenia (throm-BOH-sy-toh-PEE-nee-ah), meaning low platelets, below one hundred fifty thousand. This occurs in up to twenty-five percent of NICU patients. Early-onset, within the first seventy-two hours, is most commonly caused by placental insufficiency in growth-restricted infants. Late-onset, after seventy-two hours, is most commonly caused by sepsis and N-E-C.</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most important platelet disorder to know is N-A-I-T, neonatal alloimmune thrombocytopenia. This is the platelet equivalent of R-h disease: the mother makes antibodies against fetal platelet antigens. Unlike R-h disease, it can occur in the FIRST pregnancy. It causes severe thrombocytopenia, often below twenty thousand, and carries a ten to twenty percent risk of intracranial hemorrhage. Treatment: H-P-A-matched platelets if available, plus I-V-I-G one gram per kilogram.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When should you transfuse platelets? The PlaNet-2 trial in twenty nineteen was practice-changing. It showed that a LIBERAL platelet transfusion threshold of fifty thousand was WORSE than a restrictive threshold of twenty-five thousand. Babies who received more platelets had MORE death and major bleeding, not less. Current recommendation: transfuse stable preterm infants only when platelets fall below twenty-five thousand. For sick or bleeding infants, the threshold is fifty thousand.</w:t>
      </w:r>
    </w:p>
    <w:p>
      <w:pPr>
        <w:spacing w:after="120"/>
      </w:pPr>
      <w:r>
        <w:rPr>
          <w:rFonts w:ascii="Arial" w:cs="Arial" w:eastAsia="Arial" w:hAnsi="Arial"/>
          <w:sz w:val="24"/>
          <w:szCs w:val="24"/>
        </w:rPr>
        <w:t xml:space="preserve">[SECTION BREAK]</w:t>
      </w:r>
    </w:p>
    <w:p>
      <w:pPr>
        <w:pStyle w:val="Heading1"/>
      </w:pPr>
      <w:r>
        <w:t xml:space="preserve">Track 3: Vitamin K, DIC, and Special Topics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Vitamin K deficiency bleeding, or V-K-D-B, formerly called hemorrhagic disease of the newborn. All babies are born with low levels of vitamin K-dependent clotting factors: factors two, seven, nine, and ten. Without vitamin K supplementation, these levels stay low and the baby is at risk for bleeding.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There are three forms. Classic V-K-D-B occurs at days two to seven: bleeding from the umbilical stump, circumcision site, G-I tract, or venipuncture sites. It occurs in zero point two-five to one point seven percent of babies who do NOT receive vitamin K. Late V-K-D-B is the most dangerous: it occurs at two to twelve weeks of age in exclusively breastfed infants who did not get vitamin K. Fifty percent present with INTRACRANIAL hemorrhage, twenty percent die, and many survivors have permanent neurologic damage.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Prevention: intramuscular vitamin K-one, zero point five to one milligram, given within six hours of birth for ALL newborns. This single injection prevents ALL forms of V-K-D-B. The A-A-P does NOT recommend oral vitamin K because it is incompletely absorbed and requires multiple doses that are often missed. When parents refuse vitamin K, counsel them clearly on the risk of intracranial hemorrhage with twenty percent mortality, and document the discussion.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D-I-C, disseminated intravascular coagulation (dih-SEM-ih-NAY-ted IN-trah-VAS-kyoo-lar koh-AG-yoo-LAY-shun). This is the most feared coagulation emergency in neonates. It is triggered by an underlying condition, most commonly sepsis, perinatal asphyxia, or N-E-C. The coagulation cascade is activated throughout the body simultaneously, consuming clotting factors and platelets. The result is a paradox: clotting in the microvasculature (causing organ ischemia) AND bleeding everywhere else. Lab findings: prolonged P-T and a-P-T-T, low fibrinogen, elevated D-dimer, low platelets, and schistocytes (SHIS-toh-sites) on the blood smear. Management: treat the CAUSE first. Replace depleted factors: F-F-P ten to fifteen milliliters per kilogram for prolonged P-T/a-P-T-T, cryoprecipitate for fibrinogen below one hundred, platelets for severe thrombocytopenia.</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Subgaleal hemorrhage (sub-GAY-lee-al). This is bleeding under the scalp fascia after vacuum delivery. The subgaleal space can hold the entire neonatal blood volume. A boggy, fluctuant swelling that CROSSES suture lines and is getting bigger = subgaleal hemorrhage until proven otherwise. This is an emergency. Measure head circumference every thirty minutes. Give volume resuscitation and prepare for transfusion. Transfer to a higher level of care.</w:t>
      </w:r>
    </w:p>
    <w:p>
      <w:pPr>
        <w:spacing w:after="120"/>
      </w:pPr>
      <w:r>
        <w:rPr>
          <w:rFonts w:ascii="Arial" w:cs="Arial" w:eastAsia="Arial" w:hAnsi="Arial"/>
          <w:sz w:val="24"/>
          <w:szCs w:val="24"/>
        </w:rPr>
        <w:t xml:space="preserve">[SECTION BREAK]</w:t>
      </w:r>
    </w:p>
    <w:p>
      <w:pPr>
        <w:pStyle w:val="Heading1"/>
      </w:pPr>
      <w:r>
        <w:t xml:space="preserve">Track 4: Summary — Seven Things to Remember</w:t>
      </w:r>
    </w:p>
    <w:p>
      <w:pPr>
        <w:spacing w:after="120"/>
      </w:pPr>
      <w:r>
        <w:rPr>
          <w:rFonts w:ascii="Arial" w:cs="Arial" w:eastAsia="Arial" w:hAnsi="Arial"/>
          <w:sz w:val="24"/>
          <w:szCs w:val="24"/>
        </w:rPr>
        <w:t xml:space="preserve">[Estimated duration: approximately 5 minutes]</w:t>
      </w:r>
    </w:p>
    <w:p>
      <w:pPr>
        <w:spacing w:after="120"/>
      </w:pPr>
      <w:r>
        <w:rPr>
          <w:rFonts w:ascii="Arial" w:cs="Arial" w:eastAsia="Arial" w:hAnsi="Arial"/>
          <w:sz w:val="24"/>
          <w:szCs w:val="24"/>
        </w:rPr>
        <w:t xml:space="preserve">Number one. The twenty twenty-four R-B-C transfusion guideline recommends RESTRICTIVE thresholds for very preterm infants. On respiratory support: eleven, ten, nine grams per deciliter at weeks one, two, and three-plus. Off support: ten, eight point five, seven. Liberal transfusion showed no benefit in two major trials.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two. Delayed cord clamping for thirty to sixty seconds reduces transfusion need by twenty-seven percent. Do it for all preterm infants.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three. Polycythemia: ALWAYS confirm with a VENOUS hematocrit. Capillary overestimates by five to fifteen percent. Partial exchange transfusion with normal saline if symptomatic or venous hematocrit above seventy.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four. PlaNet-2 trial: for stable preterm infants, transfuse platelets only below twenty-five thousand. Liberal transfusion at fifty thousand was WORSE. More platelets caused more harm.</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five. N-A-I-T: severe thrombocytopenia in a term infant with NORMAL maternal platelet count. Ten to twenty percent risk of intracranial hemorrhage. H-P-A-matched platelets plus I-V-I-G.</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six. Vitamin K I-M for ALL newborns within six hours of birth. Prevents all forms of V-K-D-B including late V-K-D-B with its fifty percent intracranial hemorrhage rate.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Number seven. Subgaleal hemorrhage after vacuum delivery: boggy swelling crossing suture lines that is getting BIGGER. This can be lethal. Measure head circumference every thirty minutes. Aggressive resuscitation.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Blood is life. Your recognition and management of neonatal hematology disorders will save lives.</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Hematology Disorders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2026-03-19T13:30:10.608Z</dcterms:created>
  <dcterms:modified xsi:type="dcterms:W3CDTF">2026-03-19T13:30:10.608Z</dcterms:modified>
</cp:coreProperties>
</file>

<file path=docProps/custom.xml><?xml version="1.0" encoding="utf-8"?>
<Properties xmlns="http://schemas.openxmlformats.org/officeDocument/2006/custom-properties" xmlns:vt="http://schemas.openxmlformats.org/officeDocument/2006/docPropsVTypes"/>
</file>