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70"/>
        <w:jc w:val="center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  NEONATAL RENAL DISORDERS — Quick Reference  </w:t>
      </w:r>
    </w:p>
    <w:p>
      <w:pPr>
        <w:spacing w:after="70"/>
        <w:jc w:val="center"/>
      </w:pPr>
      <w:r>
        <w:rPr>
          <w:rFonts w:ascii="Arial" w:cs="Arial" w:eastAsia="Arial" w:hAnsi="Arial"/>
          <w:color w:val="808080"/>
          <w:sz w:val="14"/>
          <w:szCs w:val="14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NEONATAL CREATININE INTERPRETATION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First 48h: Creatinine = MATERNAL level. Cannot diagnose AKI by Cr alone in first 48h.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After 48h: Cr should DECLINE. Rising Cr or failure to decline = abnormal.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Normal by day 7-10: ~0.2-0.4 mg/dL in term infants.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Normal UOP: 1-3 mL/kg/h after first 24h. All term neonates should void by 48h.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NEONATAL AKI — MODIFIED KDIGO STAGING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00"/>
        <w:gridCol w:w="6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Serum Creatinine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Urine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 (No AKI)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rise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≥1 mL/kg/h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Rise ≥0.3 mg/dL within 48h OR 1.5-1.9x baseline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&lt;0.5 mL/kg/h for 6-12h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Rise 2.0-2.9x baseline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&lt;0.5 mL/kg/h for ≥12h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Rise ≥3.0x baseline OR Cr ≥2.5 mg/dL OR need for RRT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&lt;0.3 mL/kg/h for ≥24h OR anuria ≥12h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AKI MANAGEMENT FRAMEWORK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Prerenal (60-70%)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Intrinsic (20-30%)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Postrenal (5-10%)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Restore perfusion: NS 10-20 mL/kg bolus; inotropes; treat sepsis. FENa &lt;2.5% (term).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ATN from prolonged ischemia or nephrotoxins. FENa &gt;2.5%. Stop offending drug. Supportive care.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Bilateral obstruction (PUV most common). Renal US. CATHETERIZE to relieve.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Fluid: restrict to insensible + UOP if oliguric. Monitor Cr + lytes q6-12h. Treat hyperkalemia urgently.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HYPERKALEMIA EMERGENCY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TREAT IF K+ &gt;6.5 mEq/L OR ECG changes (peaked T waves, widened QRS):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Calcium gluconate 10%: 1-2 mL/kg IV slowly (cardiac stabilization — FIRST)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Sodium bicarbonate: 1-2 mEq/kg IV (shifts K+ intracellularly)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Insulin 0.05 U/kg + D10W 2 mL/kg IV (shifts K+ intracellularly)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Kayexalate 1 g/kg PR (removes K+ from body; slower onset)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If refractory: peritoneal dialysis. Transfer to nephrology-capable center.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RENAL VEN THROMBOSIS — KEY FEATURES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Classic Triad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Factors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Treatment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Flank mass + hematuria + thrombocytopenia (full triad in 13-30%)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IDM, dehydration, polycythemia, asphyxia, sepsis, UVC, prothrombotic disorders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Doppler US: absent/reversed renal venous flow, enlarged echogenic kidney. Check IVC.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Unilateral no IVC: supportive. Bilateral or IVC: enoxaparin 1.5-2 mg/kg/dose SC q12h. Anti-Xa 0.5-1.0.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CONDITION-BY-CONDITION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  <w:gridCol w:w="28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Urgency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AKI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Rising Cr after 48h; oliguria or non-oliguric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KDIGO staging; FENa; renal 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Stage-dependent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 cause. Fluids. Lytes. Nephrotoxin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RVT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Flank mass + hematuria + low plts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Doppler 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URGENT if bilateral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Anticoagulation if bilateral/IVC.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ARPKD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Bilateral enlarged echogenic kidneys + oligohydramnios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Prenatal US; genetic testing (PKHD1)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IMMEDIATE (respiratory)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Respiratory support. Dialysis PRN. BP control.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Massive edema + large placenta + albumin &lt;1 g/dL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Urine protein; albumin; genetic panel; r/o infections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Albumin + furosemide. Anticoag. Transfer nephro.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Non-AG metabolic acidosis + alkaline urine + FTT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Urine pH; lytes; 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NON-EMERGENT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Oral bicarbonate/citrate. Nephro referral.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Bartter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Polyhydramnios → polyuria + hypoK + met alkalosis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Lytes; urine Ca; US (nephrocalcinosis)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URGENT (dehydration)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Aggressive fluids + K+. Indomethacin.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NEPHROTOXIN STEWARDSHIP — Baby NINJA Principles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Extended-interval aminoglycoside dosing (once-daily gentamicin): equivalent efficacy, less nephrotoxicity.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Avoid concurrent nephrotoxins (vancomycin + gentamicin is especially toxic to kidneys).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 serum creatinine in ALL neonates receiving nephrotoxic drugs.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 drug levels (gentamicin trough &lt;1 mcg/mL; vancomycin trough 10-15 mcg/mL).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Result: Baby NINJA reduced nephrotoxin-associated AKI by 24% and drug exposure by 38%.</w:t>
            </w:r>
          </w:p>
        </w:tc>
      </w:tr>
    </w:tbl>
    <w:p>
      <w:pPr>
        <w:pBdr>
          <w:bottom w:val="single" w:color="2E75B6" w:sz="4" w:space="1"/>
        </w:pBdr>
        <w:spacing w:after="50" w:before="13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Pediatric Nephrology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Pediatric Hematology (RVT/anticoag)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[____________________]</w:t>
            </w:r>
          </w:p>
        </w:tc>
      </w:tr>
    </w:tbl>
    <w:p>
      <w:pPr>
        <w:spacing w:before="50"/>
        <w:jc w:val="center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References available in full textbook. For educational use. Verify all values against current protocols.</w:t>
      </w:r>
    </w:p>
    <w:sectPr>
      <w:headerReference w:type="default" r:id="rId7"/>
      <w:footerReference w:type="default" r:id="rId8"/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4"/>
        <w:szCs w:val="14"/>
      </w:rPr>
      <w:t xml:space="preserve">Neonatal Renal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2026-03-19T08:28:20.523Z</dcterms:created>
  <dcterms:modified xsi:type="dcterms:W3CDTF">2026-03-19T08:28:20.523Z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