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1F3864"/>
          <w:sz w:val="56"/>
          <w:szCs w:val="56"/>
        </w:rPr>
        <w:t xml:space="preserve">Endocrine Abnormalities in Neonates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of Creation: March 18,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pStyle w:val="Heading2"/>
      </w:pPr>
      <w:r>
        <w:t xml:space="preserve">1.1 Why This Topic Matters in the Rural Nursery</w:t>
      </w:r>
    </w:p>
    <w:p>
      <w:pPr>
        <w:spacing w:after="120"/>
      </w:pPr>
      <w:r>
        <w:rPr>
          <w:rFonts w:ascii="Arial" w:cs="Arial" w:eastAsia="Arial" w:hAnsi="Arial"/>
          <w:sz w:val="24"/>
          <w:szCs w:val="24"/>
        </w:rPr>
        <w:t xml:space="preserve">The neonatal endocrine system undergoes a remarkable and rapid transition at birth. In utero, the fetus depends heavily on maternal hormonal support; at delivery, the newborn must abruptly establish independent endocrine homeostasis. When this transition fails, or when congenital defects in hormone synthesis, receptor function, or glandular development exist, the consequences can be devastating: irreversible intellectual disability from untreated congenital hypothyroidism, fatal salt-wasting crisis from unrecognized congenital adrenal hyperplasia, or persistent hypoglycemia causing seizures and permanent neurological injury from hyperinsulinism.</w:t>
      </w:r>
    </w:p>
    <w:p>
      <w:pPr>
        <w:spacing w:after="120"/>
      </w:pPr>
      <w:r>
        <w:rPr>
          <w:rFonts w:ascii="Arial" w:cs="Arial" w:eastAsia="Arial" w:hAnsi="Arial"/>
          <w:sz w:val="24"/>
          <w:szCs w:val="24"/>
        </w:rPr>
        <w:t xml:space="preserve">Rural nurseries occupy a unique and critically important position in neonatal endocrine care. They are frequently the first and sometimes the only point of clinical contact for newborns in underserved communities. Providers in rural Level I and Level II nurseries face challenges that their urban counterparts do not: delayed laboratory turnaround, limited access to pediatric endocrinology consultation, prolonged transport times to tertiary centers, and a low frequency of individually rare conditions that makes clinical pattern recognition more difficult. Yet it is precisely in these settings where timely recognition and initial stabilization can mean the difference between a normal developmental outcome and a catastrophic one.</w:t>
      </w:r>
    </w:p>
    <w:p>
      <w:pPr>
        <w:spacing w:after="120"/>
      </w:pPr>
      <w:r>
        <w:rPr>
          <w:rFonts w:ascii="Arial" w:cs="Arial" w:eastAsia="Arial" w:hAnsi="Arial"/>
          <w:sz w:val="24"/>
          <w:szCs w:val="24"/>
        </w:rPr>
        <w:t xml:space="preserve">This guide was developed specifically for the rural nursery provider: family medicine physicians, pediatricians, neonatal nurse practitioners, and registered nurses who staff Level I and Level II/II+ nurseries in community and critical access hospitals. It covers the major categories of neonatal endocrine abnormalities with an emphasis on clinical recognition, initial evaluation, evidence-based management, and decision-making around transport versus local management.</w:t>
      </w:r>
    </w:p>
    <w:p>
      <w:pPr>
        <w:pStyle w:val="Heading2"/>
      </w:pPr>
      <w:r>
        <w:t xml:space="preserve">1.2 Scope of Practice Considerations</w:t>
      </w:r>
    </w:p>
    <w:p>
      <w:pPr>
        <w:spacing w:after="120"/>
      </w:pPr>
      <w:r>
        <w:rPr>
          <w:rFonts w:ascii="Arial" w:cs="Arial" w:eastAsia="Arial" w:hAnsi="Arial"/>
          <w:sz w:val="24"/>
          <w:szCs w:val="24"/>
        </w:rPr>
        <w:t xml:space="preserve">The American Academy of Pediatrics defines Level I nurseries (well newborn nurseries) as facilities that provide basic neonatal care including stabilization and evaluation of well newborns at 35 to 37 weeks of gestation. Level II nurseries (special care nurseries) care for infants born at 32 weeks or greater who are moderately ill or convalescing. Level II+ designation (sometimes used informally) describes Level II nurseries with additional capabilities such as continuous positive airway pressure, intravenous therapies, and some advanced monitoring. Understanding your level of care designation is essential when deciding whether a neonate with an endocrine abnormality can be managed locally or requires transfer.</w:t>
      </w:r>
    </w:p>
    <w:p>
      <w:pPr>
        <w:spacing w:after="120"/>
      </w:pPr>
      <w:r>
        <w:rPr>
          <w:rFonts w:ascii="Arial" w:cs="Arial" w:eastAsia="Arial" w:hAnsi="Arial"/>
          <w:sz w:val="24"/>
          <w:szCs w:val="24"/>
        </w:rPr>
        <w:t xml:space="preserve">In general, most neonatal endocrine conditions detected by newborn screening can be initially managed in the Level I or Level II nursery with pediatric endocrinology guidance by telephone or telemedicine. However, neonates presenting with acute endocrine emergencies (adrenal crisis, severe hypoglycemia unresponsive to standard therapy, ambiguous genitalia with hemodynamic instability) will require transport to a Level III or IV NICU after stabilization.</w:t>
      </w:r>
    </w:p>
    <w:p>
      <w:pPr>
        <w:pStyle w:val="Heading2"/>
      </w:pPr>
      <w:r>
        <w:t xml:space="preserve">1.3 How to Use This Guide</w:t>
      </w:r>
    </w:p>
    <w:p>
      <w:pPr>
        <w:spacing w:after="120"/>
      </w:pPr>
      <w:r>
        <w:rPr>
          <w:rFonts w:ascii="Arial" w:cs="Arial" w:eastAsia="Arial" w:hAnsi="Arial"/>
          <w:sz w:val="24"/>
          <w:szCs w:val="24"/>
        </w:rPr>
        <w:t xml:space="preserve">This textbook is organized by endocrine organ system and clinical condition. Each section follows a consistent structure: pathophysiology, clinical presentation, diagnostic evaluation, management, special populations, and transport/escalation criteria. The guide prioritizes practical, actionable information. Drug doses have been verified against at least two authoritative sources. Where clinical controversy exists, the guide presents the prevailing consensus and notes areas of ongoing debate.</w:t>
      </w:r>
    </w:p>
    <w:p>
      <w:pPr>
        <w:spacing w:after="120"/>
      </w:pPr>
      <w:r>
        <w:rPr>
          <w:rFonts w:ascii="Arial" w:cs="Arial" w:eastAsia="Arial" w:hAnsi="Arial"/>
          <w:sz w:val="24"/>
          <w:szCs w:val="24"/>
        </w:rPr>
        <w:t xml:space="preserve">Companion resources include an audio textbook formatted for text-to-speech delivery or narrated study, and a quick-reference cheat sheet designed for point-of-care lamination. Together, these three outputs form a complete education package suitable for individual study, group education sessions, and bedside reference.</w:t>
      </w:r>
    </w:p>
    <w:p>
      <w:r>
        <w:br w:type="page"/>
      </w:r>
    </w:p>
    <w:p>
      <w:pPr>
        <w:pStyle w:val="Heading1"/>
      </w:pPr>
      <w:r>
        <w:t xml:space="preserve">Chapter 2: Foundational Knowledge</w:t>
      </w:r>
    </w:p>
    <w:p>
      <w:pPr>
        <w:pStyle w:val="Heading2"/>
      </w:pPr>
      <w:r>
        <w:t xml:space="preserve">2.1 Overview of the Neonatal Endocrine System</w:t>
      </w:r>
    </w:p>
    <w:p>
      <w:pPr>
        <w:spacing w:after="120"/>
      </w:pPr>
      <w:r>
        <w:rPr>
          <w:rFonts w:ascii="Arial" w:cs="Arial" w:eastAsia="Arial" w:hAnsi="Arial"/>
          <w:sz w:val="24"/>
          <w:szCs w:val="24"/>
        </w:rPr>
        <w:t xml:space="preserve">The endocrine system in the neonate encompasses the hypothalamus, pituitary gland, thyroid gland, parathyroid glands, adrenal glands, pancreatic islets, and gonads. These organs communicate via hormonal signaling cascades that regulate metabolism, growth, electrolyte balance, glucose homeostasis, sexual differentiation, and stress responses. The neonatal period is unique because the endocrine system is transitioning from a fetal state (where many hormones are supplied or regulated by the maternal-placental unit) to independent postnatal function.</w:t>
      </w:r>
    </w:p>
    <w:p>
      <w:pPr>
        <w:pStyle w:val="Heading2"/>
      </w:pPr>
      <w:r>
        <w:t xml:space="preserve">2.2 The Hypothalamic-Pituitary Axis in the Newborn</w:t>
      </w:r>
    </w:p>
    <w:p>
      <w:pPr>
        <w:spacing w:after="120"/>
      </w:pPr>
      <w:r>
        <w:rPr>
          <w:rFonts w:ascii="Arial" w:cs="Arial" w:eastAsia="Arial" w:hAnsi="Arial"/>
          <w:sz w:val="24"/>
          <w:szCs w:val="24"/>
        </w:rPr>
        <w:t xml:space="preserve">The hypothalamus produces releasing and inhibiting hormones that regulate the anterior pituitary. In the newborn, the hypothalamic-pituitary-thyroid (HPT) axis, hypothalamic-pituitary-adrenal (HPA) axis, and hypothalamic-pituitary-gonadal (HPG) axis are all active but still maturing. The HPT axis produces a characteristic thyroid-stimulating hormone (TSH) surge within 30 minutes of birth, peaking at 60 to 90 minutes and declining over the first 48 hours. This physiologic TSH surge stimulates thyroidal T4 and T3 production and is the basis for newborn screening timing. The HPA axis is functional at birth but cortisol production patterns differ from those in older children; the circadian rhythm of cortisol secretion is not fully established until several months of age. The HPG axis demonstrates a brief period of activation in the first few months of life (the so-called minipuberty of infancy), during which gonadotropins and sex steroids transiently rise before declining to prepubertal levels.</w:t>
      </w:r>
    </w:p>
    <w:p>
      <w:pPr>
        <w:pStyle w:val="Heading2"/>
      </w:pPr>
      <w:r>
        <w:t xml:space="preserve">2.3 Thyroid Physiology in the Fetus and Newborn</w:t>
      </w:r>
    </w:p>
    <w:p>
      <w:pPr>
        <w:spacing w:after="120"/>
      </w:pPr>
      <w:r>
        <w:rPr>
          <w:rFonts w:ascii="Arial" w:cs="Arial" w:eastAsia="Arial" w:hAnsi="Arial"/>
          <w:sz w:val="24"/>
          <w:szCs w:val="24"/>
        </w:rPr>
        <w:t xml:space="preserve">Maternal thyroid hormone crosses the placenta beginning in the first trimester and plays an essential role in early fetal brain development. The fetal thyroid gland begins producing thyroid hormone by approximately 12 weeks of gestation, but the fetus continues to depend on maternal T4 contribution throughout pregnancy. At birth, the abrupt loss of maternal thyroid hormone, combined with the cold stress of the extrauterine environment, triggers the neonatal TSH surge. In response to TSH stimulation, serum T4 levels rise sharply in the first 24 to 48 hours and remain elevated relative to adult levels for the first several weeks of life. Free T4 (fT4) levels are higher in neonates than in older children and adults, and age-specific reference ranges must be used for interpretation. T3 levels also rise after birth but are more variable, particularly in preterm infants.</w:t>
      </w:r>
    </w:p>
    <w:p>
      <w:pPr>
        <w:spacing w:after="120"/>
      </w:pPr>
      <w:r>
        <w:rPr>
          <w:rFonts w:ascii="Arial" w:cs="Arial" w:eastAsia="Arial" w:hAnsi="Arial"/>
          <w:sz w:val="24"/>
          <w:szCs w:val="24"/>
        </w:rPr>
        <w:t xml:space="preserve">In preterm newborns, the HPT axis is immature. The TSH surge is blunted, T4 levels are lower (proportional to the degree of prematurity), and the hypothalamic-pituitary feedback loop may not function reliably until near term equivalent age. These physiologic differences create significant challenges for newborn screening and for distinguishing true congenital hypothyroidism from the transient hypothyroxinemia of prematurity.</w:t>
      </w:r>
    </w:p>
    <w:p>
      <w:pPr>
        <w:pStyle w:val="Heading2"/>
      </w:pPr>
      <w:r>
        <w:t xml:space="preserve">2.4 Adrenal Physiology in the Fetus and Newborn</w:t>
      </w:r>
    </w:p>
    <w:p>
      <w:pPr>
        <w:spacing w:after="120"/>
      </w:pPr>
      <w:r>
        <w:rPr>
          <w:rFonts w:ascii="Arial" w:cs="Arial" w:eastAsia="Arial" w:hAnsi="Arial"/>
          <w:sz w:val="24"/>
          <w:szCs w:val="24"/>
        </w:rPr>
        <w:t xml:space="preserve">The adrenal glands of the fetus are proportionally very large, dominated by a fetal zone that produces dehydroepiandrosterone sulfate (DHEAS), a precursor for placental estrogen synthesis. After birth, the fetal zone rapidly involutes over the first several weeks of life, and the definitive adrenal cortex assumes its postnatal functions: cortisol production in the zona fasciculata, aldosterone production in the zona glomerulosa, and androgen production in the zona reticularis (which does not become fully active until adrenarche in childhood).</w:t>
      </w:r>
    </w:p>
    <w:p>
      <w:pPr>
        <w:spacing w:after="120"/>
      </w:pPr>
      <w:r>
        <w:rPr>
          <w:rFonts w:ascii="Arial" w:cs="Arial" w:eastAsia="Arial" w:hAnsi="Arial"/>
          <w:sz w:val="24"/>
          <w:szCs w:val="24"/>
        </w:rPr>
        <w:t xml:space="preserve">Cortisol is essential for postnatal adaptation: it supports cardiovascular stability, glucose homeostasis, and surfactant production. The cortisol stress response is present at birth but may be attenuated in very preterm infants due to relative adrenal immaturity. Aldosterone is critical for sodium conservation and potassium excretion in the kidney; neonates have relatively high aldosterone levels but also demonstrate partial renal tubular resistance to aldosterone, resulting in a physiologic tendency toward sodium loss that is especially pronounced in preterm infants.</w:t>
      </w:r>
    </w:p>
    <w:p>
      <w:pPr>
        <w:pStyle w:val="Heading2"/>
      </w:pPr>
      <w:r>
        <w:t xml:space="preserve">2.5 Calcium and Parathyroid Physiology in the Newborn</w:t>
      </w:r>
    </w:p>
    <w:p>
      <w:pPr>
        <w:spacing w:after="120"/>
      </w:pPr>
      <w:r>
        <w:rPr>
          <w:rFonts w:ascii="Arial" w:cs="Arial" w:eastAsia="Arial" w:hAnsi="Arial"/>
          <w:sz w:val="24"/>
          <w:szCs w:val="24"/>
        </w:rPr>
        <w:t xml:space="preserve">During fetal life, calcium is actively transported across the placenta against a concentration gradient, maintaining fetal serum calcium levels approximately 1 mg/dL higher than maternal levels. This relative fetal hypercalcemia suppresses fetal parathyroid hormone (PTH) secretion and stimulates calcitonin production. At birth, the abrupt loss of placental calcium supply causes a physiologic decline in serum calcium over the first 24 to 48 hours. This triggers PTH secretion and activation of vitamin D metabolism, which gradually restore calcium homeostasis over the first week of life. When this adaptive response fails (due to parathyroid gland agenesis, PTH resistance, maternal hypercalcemia causing prolonged fetal PTH suppression, or other causes), neonatal hypocalcemia results.</w:t>
      </w:r>
    </w:p>
    <w:p>
      <w:pPr>
        <w:pStyle w:val="Heading2"/>
      </w:pPr>
      <w:r>
        <w:t xml:space="preserve">2.6 Glucose Regulation and the Endocrine Pancreas</w:t>
      </w:r>
    </w:p>
    <w:p>
      <w:pPr>
        <w:spacing w:after="120"/>
      </w:pPr>
      <w:r>
        <w:rPr>
          <w:rFonts w:ascii="Arial" w:cs="Arial" w:eastAsia="Arial" w:hAnsi="Arial"/>
          <w:sz w:val="24"/>
          <w:szCs w:val="24"/>
        </w:rPr>
        <w:t xml:space="preserve">The transition from continuous transplacental glucose delivery to intermittent oral feeding requires a complex orchestration of hormonal responses. At birth, blood glucose levels fall physiologically in the first 1 to 2 hours, triggering a counter-regulatory hormone response: glucagon secretion increases, insulin secretion decreases, and catecholamines, cortisol, and growth hormone levels rise. These hormonal changes activate hepatic glycogenolysis and gluconeogenesis, lipolysis, and ketogenesis, providing alternative fuel substrates for the brain. When any component of this counter-regulatory response is deficient or when insulin secretion remains inappropriately elevated (as in congenital hyperinsulinism or infants of diabetic mothers), persistent or severe hypoglycemia results.</w:t>
      </w:r>
    </w:p>
    <w:p>
      <w:pPr>
        <w:pStyle w:val="Heading2"/>
      </w:pPr>
      <w:r>
        <w:t xml:space="preserve">2.7 Sexual Differentiation and the HPG Axis</w:t>
      </w:r>
    </w:p>
    <w:p>
      <w:pPr>
        <w:spacing w:after="120"/>
      </w:pPr>
      <w:r>
        <w:rPr>
          <w:rFonts w:ascii="Arial" w:cs="Arial" w:eastAsia="Arial" w:hAnsi="Arial"/>
          <w:sz w:val="24"/>
          <w:szCs w:val="24"/>
        </w:rPr>
        <w:t xml:space="preserve">Sexual differentiation of the external genitalia occurs between 8 and 16 weeks of gestation. In genetic males (46,XY), the SRY gene on the Y chromosome directs gonadal differentiation into testes. The testes produce testosterone (which is converted to dihydrotestosterone, or DHT, by 5-alpha-reductase in target tissues) and anti-Mullerian hormone (AMH). DHT drives virilization of the external genitalia, while AMH causes regression of the Mullerian (female) duct system. In genetic females (46,XX), the absence of SRY and androgens allows female genital development to proceed by default. Disruption of these pathways at any point can result in a disorder of sexual development (DSD) presenting as ambiguous genitalia at birth. The most common cause is congenital adrenal hyperplasia, in which excess adrenal androgens virilize a genetic female.</w:t>
      </w:r>
    </w:p>
    <w:p>
      <w:pPr>
        <w:pStyle w:val="Heading2"/>
      </w:pPr>
      <w:r>
        <w:t xml:space="preserve">2.8 Epidemiology of Neonatal Endocrine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Condition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Approximate Incidence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Screening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hypothyroidism (primary)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1:2,000-1:4,000 live births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Universal NBS in all US states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adrenal hyperplasia (21-OHD)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1:15,000 live births (classic)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Universal NBS in all US states since 2009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hyperinsulinism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1:25,000-1:50,000 live births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on RUSP; detected clinically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diabetes mellitus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1:90,000-1:160,000 live births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on RUSP; detected clinically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hypocalcemia (symptomatic)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 1-2% of all neonates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screened; detected clinically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Disorders of sexual development (ambiguous genitalia)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1:4,500 births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screened; detected on physical exam</w:t>
            </w:r>
          </w:p>
        </w:tc>
      </w:tr>
    </w:tbl>
    <w:p>
      <w:pPr>
        <w:spacing w:after="120"/>
      </w:pPr>
      <w:r>
        <w:rPr>
          <w:rFonts w:ascii="Arial" w:cs="Arial" w:eastAsia="Arial" w:hAnsi="Arial"/>
          <w:sz w:val="24"/>
          <w:szCs w:val="24"/>
        </w:rPr>
        <w:t xml:space="preserve">Table 1. Estimated incidence and newborn screening status of major neonatal endocrine conditions in the United States.</w:t>
      </w:r>
    </w:p>
    <w:p>
      <w:r>
        <w:br w:type="page"/>
      </w:r>
    </w:p>
    <w:p>
      <w:pPr>
        <w:pStyle w:val="Heading1"/>
      </w:pPr>
      <w:r>
        <w:t xml:space="preserve">Chapter 3: Clinical Presentation and Assessment</w:t>
      </w:r>
    </w:p>
    <w:p>
      <w:pPr>
        <w:pStyle w:val="Heading2"/>
      </w:pPr>
      <w:r>
        <w:t xml:space="preserve">3.1 Congenital Hypothyroidism</w:t>
      </w:r>
    </w:p>
    <w:p>
      <w:pPr>
        <w:spacing w:after="120"/>
      </w:pPr>
      <w:r>
        <w:rPr>
          <w:rFonts w:ascii="Arial" w:cs="Arial" w:eastAsia="Arial" w:hAnsi="Arial"/>
          <w:sz w:val="24"/>
          <w:szCs w:val="24"/>
        </w:rPr>
        <w:t xml:space="preserve">Congenital hypothyroidism (CH) is the most common preventable cause of intellectual disability. Most affected infants appear clinically normal at birth because maternal thyroid hormone has been crossing the placenta throughout pregnancy. When clinical signs are present, they may include a large posterior fontanelle, macroglossia (enlarged tongue), umbilical hernia, prolonged neonatal jaundice (conjugated or unconjugated), constipation, hypothermia, poor feeding, hoarse cry, dry or mottled skin, and generalized hypotonia. A goiter may occasionally be palpable. Edema, particularly periorbital, may be present in severe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Most infants with congenital hypothyroidism appear normal at birth. Newborn screening is the primary method of detection. Clinical signs alone are unreliable for early diagnosis. Even when NBS results are normal, measurement of serum TSH and fT4 is indicated when clinical symptoms of hypothyroidism are present.</w:t>
            </w:r>
          </w:p>
        </w:tc>
      </w:tr>
    </w:tbl>
    <w:p>
      <w:pPr>
        <w:spacing w:after="120"/>
      </w:pPr>
      <w:r>
        <w:rPr>
          <w:rFonts w:ascii="Arial" w:cs="Arial" w:eastAsia="Arial" w:hAnsi="Arial"/>
          <w:sz w:val="24"/>
          <w:szCs w:val="24"/>
        </w:rPr>
        <w:t xml:space="preserve">The 2023 AAP guidelines (Rose et al., Pediatrics 2023) emphasize that NBS alone is not sufficient to prevent adverse outcomes; timely confirmation, accurate interpretation, effective treatment, and consistent follow-up are all required. The clinical presentation varies by etiology: thyroid dysgenesis (the most common cause, accounting for approximately 85% of cases) typically causes more severe hypothyroidism at birth, while dyshormonogenesis (defects in thyroid hormone synthesis) may present with a goiter and variable severity.</w:t>
      </w:r>
    </w:p>
    <w:p>
      <w:pPr>
        <w:pStyle w:val="Heading2"/>
      </w:pPr>
      <w:r>
        <w:t xml:space="preserve">3.2 Congenital Adrenal Hyperplasia</w:t>
      </w:r>
    </w:p>
    <w:p>
      <w:pPr>
        <w:spacing w:after="120"/>
      </w:pPr>
      <w:r>
        <w:rPr>
          <w:rFonts w:ascii="Arial" w:cs="Arial" w:eastAsia="Arial" w:hAnsi="Arial"/>
          <w:sz w:val="24"/>
          <w:szCs w:val="24"/>
        </w:rPr>
        <w:t xml:space="preserve">Classic congenital adrenal hyperplasia (CAH) due to 21-hydroxylase deficiency is the most common adrenal disorder in neonates and the most common cause of ambiguous genitalia in 46,XX newborns. It presents in two forms: salt-wasting (approximately 75% of classic cases) and simple virilizing.</w:t>
      </w:r>
    </w:p>
    <w:p>
      <w:pPr>
        <w:spacing w:after="120"/>
      </w:pPr>
      <w:r>
        <w:rPr>
          <w:rFonts w:ascii="Arial" w:cs="Arial" w:eastAsia="Arial" w:hAnsi="Arial"/>
          <w:sz w:val="24"/>
          <w:szCs w:val="24"/>
        </w:rPr>
        <w:t xml:space="preserve">In 46,XX (genetic female) infants, virilization of the external genitalia is the hallmark presentation. The spectrum ranges from mild clitoromegaly to male-appearing external genitalia with bilateral cryptorchidism. The Prader staging system (stages I through V) is used to classify the degree of virilization. Posterior labial fusion, rugated labial folds with hyperpigmentation, and a urogenital sinus may be present. The internal female reproductive structures (uterus, fallopian tubes, ovaries) are normal because AMH is not produced.</w:t>
      </w:r>
    </w:p>
    <w:p>
      <w:pPr>
        <w:spacing w:after="120"/>
      </w:pPr>
      <w:r>
        <w:rPr>
          <w:rFonts w:ascii="Arial" w:cs="Arial" w:eastAsia="Arial" w:hAnsi="Arial"/>
          <w:sz w:val="24"/>
          <w:szCs w:val="24"/>
        </w:rPr>
        <w:t xml:space="preserve">In 46,XY (genetic male) infants, the external genitalia appear normal at birth, making clinical detection impossible without newborn screening. These infants are at high risk for presenting with a life-threatening salt-wasting crisis at 1 to 3 weeks of age, manifesting as poor feeding, vomiting, failure to thrive, lethargy, dehydration, and ultimately cardiovascular collapse if not recognized and treated urgently.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Male infants with salt-wasting CAH have NO genital abnormality. Without newborn screening, their first presentation is often an adrenal crisis at 1-3 weeks of age. A critically ill male neonate with hyponatremia, hyperkalemia, and metabolic acidosis must have CAH in the differential diagnosis.</w:t>
            </w:r>
          </w:p>
        </w:tc>
      </w:tr>
    </w:tbl>
    <w:p>
      <w:pPr>
        <w:pStyle w:val="Heading2"/>
      </w:pPr>
      <w:r>
        <w:t xml:space="preserve">3.3 Neonatal Adrenal Insufficiency and Adrenal Crisis</w:t>
      </w:r>
    </w:p>
    <w:p>
      <w:pPr>
        <w:spacing w:after="120"/>
      </w:pPr>
      <w:r>
        <w:rPr>
          <w:rFonts w:ascii="Arial" w:cs="Arial" w:eastAsia="Arial" w:hAnsi="Arial"/>
          <w:sz w:val="24"/>
          <w:szCs w:val="24"/>
        </w:rPr>
        <w:t xml:space="preserve">Adrenal crisis in the neonate is a medical emergency. It may result from CAH (the most common cause in neonates), congenital adrenal hypoplasia, ACTH deficiency (from pituitary or hypothalamic disorders), or adrenal hemorrhage. Clinical features include poor feeding, lethargy progressing to obtundation, vomiting, diarrhea, hypotension, weak or thready pulse, abdominal distension, hyperpigmentation (in primary adrenal insufficiency due to elevated ACTH), and signs of dehydration. The classic electrolyte pattern in primary adrenal insufficiency is hyponatremia and hyperkalemia. Hypoglycemia is more prevalent in neonates and infants than in older children with adrenal insufficiency. Metabolic acidosis is typically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rural settings, the electrolyte pattern of hyponatremia plus hyperkalemia in a sick neonate should immediately raise suspicion for adrenal insufficiency, even before newborn screening results are available. Do not delay hydrocortisone administration while awaiting confirmatory testing. A cortisol level drawn prior to or concurrent with hydrocortisone administration can be used later for diagnostic confirmation.</w:t>
            </w:r>
          </w:p>
        </w:tc>
      </w:tr>
    </w:tbl>
    <w:p>
      <w:pPr>
        <w:pStyle w:val="Heading2"/>
      </w:pPr>
      <w:r>
        <w:t xml:space="preserve">3.4 Ambiguous Genitalia and Disorders of Sexual Development</w:t>
      </w:r>
    </w:p>
    <w:p>
      <w:pPr>
        <w:spacing w:after="120"/>
      </w:pPr>
      <w:r>
        <w:rPr>
          <w:rFonts w:ascii="Arial" w:cs="Arial" w:eastAsia="Arial" w:hAnsi="Arial"/>
          <w:sz w:val="24"/>
          <w:szCs w:val="24"/>
        </w:rPr>
        <w:t xml:space="preserve">The discovery of ambiguous genitalia at birth is both a medical urgency (because of the possibility of underlying CAH with impending adrenal crisis) and a psychosocial emergency for the family. Clinical features that should prompt evaluation for a DSD include bilateral cryptorchidism, hypospadias (especially severe or penoscrotal), micropenis, clitoromegaly, labial fusion (especially posterior), bifid scrotum, palpable gonad in a phenotypically female infant, and any discordance between genital appearance and prenatal sex prediction.</w:t>
      </w:r>
    </w:p>
    <w:p>
      <w:pPr>
        <w:spacing w:after="120"/>
      </w:pPr>
      <w:r>
        <w:rPr>
          <w:rFonts w:ascii="Arial" w:cs="Arial" w:eastAsia="Arial" w:hAnsi="Arial"/>
          <w:sz w:val="24"/>
          <w:szCs w:val="24"/>
        </w:rPr>
        <w:t xml:space="preserve">Physical examination should document phallus length, presence or absence of palpable gonads (and their location), degree of labioscrotal fusion, position of the urethral meatus, and any associated dysmorphic features. A palpable gonad below the inguinal ligament is almost always a testis (or rarely an ovotestis); ovaries virtually never descend through the inguinal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When a newborn presents with ambiguous genitalia, do NOT assign a sex of rearing hastily. Communicate calmly with the family. Refer to the infant by a chosen name or use gender-neutral language until the evaluation is complete. Emphasize that additional testing is needed to determine the baby's sex and health. This conversation requires sensitivity and a multidisciplinary approach.</w:t>
            </w:r>
          </w:p>
        </w:tc>
      </w:tr>
    </w:tbl>
    <w:p>
      <w:pPr>
        <w:pStyle w:val="Heading2"/>
      </w:pPr>
      <w:r>
        <w:t xml:space="preserve">3.5 Neonatal Hypoglycemia of Endocrine Origin</w:t>
      </w:r>
    </w:p>
    <w:p>
      <w:pPr>
        <w:spacing w:after="120"/>
      </w:pPr>
      <w:r>
        <w:rPr>
          <w:rFonts w:ascii="Arial" w:cs="Arial" w:eastAsia="Arial" w:hAnsi="Arial"/>
          <w:sz w:val="24"/>
          <w:szCs w:val="24"/>
        </w:rPr>
        <w:t xml:space="preserve">While the most common causes of neonatal hypoglycemia are transitional (related to prematurity, small for gestational age, or infants of diabetic mothers), endocrine causes must be considered when hypoglycemia is severe, persistent, or recurrent beyond the first 48 hours of life. Endocrine etiologies include congenital hyperinsulinism, growth hormone deficiency, cortisol deficiency (adrenal insufficiency or CAH), and panhypopituitarism.</w:t>
      </w:r>
    </w:p>
    <w:p>
      <w:pPr>
        <w:spacing w:after="120"/>
      </w:pPr>
      <w:r>
        <w:rPr>
          <w:rFonts w:ascii="Arial" w:cs="Arial" w:eastAsia="Arial" w:hAnsi="Arial"/>
          <w:sz w:val="24"/>
          <w:szCs w:val="24"/>
        </w:rPr>
        <w:t xml:space="preserve">Congenital hyperinsulinism is the most common endocrine cause of persistent neonatal hypoglycemia. It results from unregulated insulin secretion by pancreatic beta cells. The hallmark is inappropriately elevated insulin or C-peptide levels at the time of hypoglycemia, absence of ketones in the urine and blood, and a high glucose requirement (greater than 8 to 10 mg/kg/min of intravenous dextrose) to maintain normoglycemia. Large for gestational age birth weight is common but not universal.</w:t>
      </w:r>
    </w:p>
    <w:p>
      <w:pPr>
        <w:spacing w:after="120"/>
      </w:pPr>
      <w:r>
        <w:rPr>
          <w:rFonts w:ascii="Arial" w:cs="Arial" w:eastAsia="Arial" w:hAnsi="Arial"/>
          <w:sz w:val="24"/>
          <w:szCs w:val="24"/>
        </w:rPr>
        <w:t xml:space="preserve">Panhypopituitarism in the newborn can present with a constellation of findings: persistent hypoglycemia (from growth hormone and ACTH/cortisol deficiency), micropenis and bilateral cryptorchidism in males (from gonadotropin deficiency), midline facial defects (cleft lip, cleft palate), nystagmus or visual abnormalities (from optic nerve hypoplasia or septo-optic dysplasia), and prolonged jaundice (from TSH or cortisol deficiency).</w:t>
      </w:r>
    </w:p>
    <w:p>
      <w:pPr>
        <w:pStyle w:val="Heading2"/>
      </w:pPr>
      <w:r>
        <w:t xml:space="preserve">3.6 Neonatal Hypocalcemia</w:t>
      </w:r>
    </w:p>
    <w:p>
      <w:pPr>
        <w:spacing w:after="120"/>
      </w:pPr>
      <w:r>
        <w:rPr>
          <w:rFonts w:ascii="Arial" w:cs="Arial" w:eastAsia="Arial" w:hAnsi="Arial"/>
          <w:sz w:val="24"/>
          <w:szCs w:val="24"/>
        </w:rPr>
        <w:t xml:space="preserve">Neonatal hypocalcemia is defined as a total serum calcium less than 7.0 mg/dL (1.75 mmol/L) or ionized calcium less than 4.0 mg/dL (1.0 mmol/L) in term neonates. It is classified as early-onset (within the first 72 hours of life) or late-onset (after 72 hours). Early-onset hypocalcemia is most commonly seen in preterm infants, infants of diabetic mothers, and infants who experienced perinatal stress, and is typically transient. Late-onset hypocalcemia raises concern for endocrine etiologies including hypoparathyroidism (transient or permanent), maternal hyperparathyroidism causing neonatal parathyroid suppression, DiGeorge syndrome (22q11.2 deletion), or vitamin D deficiency.</w:t>
      </w:r>
    </w:p>
    <w:p>
      <w:pPr>
        <w:spacing w:after="120"/>
      </w:pPr>
      <w:r>
        <w:rPr>
          <w:rFonts w:ascii="Arial" w:cs="Arial" w:eastAsia="Arial" w:hAnsi="Arial"/>
          <w:sz w:val="24"/>
          <w:szCs w:val="24"/>
        </w:rPr>
        <w:t xml:space="preserve">Clinical manifestations include jitteriness, tremors, irritability, poor feeding, apnea, seizures (which may be subtle or generalized tonic-clonic), laryngospasm, stridor, and prolonged QTc interval on electrocardiogram. Seizures are the most clinically significant consequence and require urgent treatment.</w:t>
      </w:r>
    </w:p>
    <w:p>
      <w:pPr>
        <w:pStyle w:val="Heading2"/>
      </w:pPr>
      <w:r>
        <w:t xml:space="preserve">3.7 Neonatal Diabetes Mellitus</w:t>
      </w:r>
    </w:p>
    <w:p>
      <w:pPr>
        <w:spacing w:after="120"/>
      </w:pPr>
      <w:r>
        <w:rPr>
          <w:rFonts w:ascii="Arial" w:cs="Arial" w:eastAsia="Arial" w:hAnsi="Arial"/>
          <w:sz w:val="24"/>
          <w:szCs w:val="24"/>
        </w:rPr>
        <w:t xml:space="preserve">Neonatal diabetes mellitus (NDM) is a rare condition occurring in approximately 1 in 90,000 to 1 in 160,000 live births. It is defined as persistent hyperglycemia (blood glucose consistently greater than 250 mg/dL) with insulin dependence occurring in the first 6 months of life. NDM is almost always monogenic (single-gene disorder) rather than autoimmune. It is classified as transient (TNDM, approximately 50% of cases, remitting in infancy but frequently recurring later in life) or permanent (PNDM, requiring lifelong treatment). Transient forms typically present earlier (within days of birth) and are often associated with intrauterine growth restriction. Permanent forms present later on average (around 6-7 weeks of age).</w:t>
      </w:r>
    </w:p>
    <w:p>
      <w:pPr>
        <w:spacing w:after="120"/>
      </w:pPr>
      <w:r>
        <w:rPr>
          <w:rFonts w:ascii="Arial" w:cs="Arial" w:eastAsia="Arial" w:hAnsi="Arial"/>
          <w:sz w:val="24"/>
          <w:szCs w:val="24"/>
        </w:rPr>
        <w:t xml:space="preserve">Clinical features include hyperglycemia, glycosuria, osmotic polyuria leading to dehydration, and failure to thrive. Diabetic ketoacidosis is uncommon in the transient forms but can occur in permanent forms. Intrauterine growth restriction is a common feature, especially in TNDM, because insulin is a major fetal growth factor and insulin deficiency in utero impairs fetal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Neonatal diabetes is extremely rare. In the rural nursery, the most important initial step is recognizing that persistent hyperglycemia in a newborn without another clear etiology (such as stress, sepsis, or steroid therapy) should prompt measurement of insulin and C-peptide levels and urgent endocrinology consultation. Genetic testing is essential and can guide treatment, as approximately 40% of patients with KATP channel gene mutations can be transitioned from insulin to oral sulfonylureas.</w:t>
            </w:r>
          </w:p>
        </w:tc>
      </w:tr>
    </w:tbl>
    <w:p>
      <w:pPr>
        <w:pStyle w:val="Heading2"/>
      </w:pPr>
      <w:r>
        <w:t xml:space="preserve">3.8 Neonatal Thyrotoxicosis</w:t>
      </w:r>
    </w:p>
    <w:p>
      <w:pPr>
        <w:spacing w:after="120"/>
      </w:pPr>
      <w:r>
        <w:rPr>
          <w:rFonts w:ascii="Arial" w:cs="Arial" w:eastAsia="Arial" w:hAnsi="Arial"/>
          <w:sz w:val="24"/>
          <w:szCs w:val="24"/>
        </w:rPr>
        <w:t xml:space="preserve">Neonatal thyrotoxicosis (neonatal Graves disease) results from transplacental passage of thyroid-stimulating immunoglobulins (TSI) from a mother with active or previously treated Graves disease. It occurs in approximately 1-2% of pregnancies affected by Graves disease. Onset is typically in the first week of life but may be delayed if the mother was on antithyroid medication (which also crosses the placenta and temporarily suppresses the neonatal thyroid). Clinical features include tachycardia, irritability, poor weight gain despite adequate intake, diarrhea, tremors, flushing, exophthalmos (in severe cases), goiter, hepatosplenomegaly, and rarely heart failure. The condition is self-limiting (usually resolving by 2 to 4 months as maternal antibodies clear) but can be life-threatening if not recognized and treated.</w:t>
      </w:r>
    </w:p>
    <w:p>
      <w:r>
        <w:br w:type="page"/>
      </w:r>
    </w:p>
    <w:p>
      <w:pPr>
        <w:pStyle w:val="Heading1"/>
      </w:pPr>
      <w:r>
        <w:t xml:space="preserve">Chapter 4: Diagnostic Approach</w:t>
      </w:r>
    </w:p>
    <w:p>
      <w:pPr>
        <w:pStyle w:val="Heading2"/>
      </w:pPr>
      <w:r>
        <w:t xml:space="preserve">4.1 Newborn Screening: Overview</w:t>
      </w:r>
    </w:p>
    <w:p>
      <w:pPr>
        <w:spacing w:after="120"/>
      </w:pPr>
      <w:r>
        <w:rPr>
          <w:rFonts w:ascii="Arial" w:cs="Arial" w:eastAsia="Arial" w:hAnsi="Arial"/>
          <w:sz w:val="24"/>
          <w:szCs w:val="24"/>
        </w:rPr>
        <w:t xml:space="preserve">Newborn screening (NBS) is the cornerstone of early detection for congenital hypothyroidism and congenital adrenal hyperplasia. In the United States, NBS for both conditions is mandated in all 50 states and the District of Columbia. Both conditions are included in the Recommended Uniform Screening Panel (RUSP). The screening sample is typically collected via heel-stick dried blood spot at 24 to 48 hours of life. A second screening sample is required in many states at 1 to 2 weeks of age.</w:t>
      </w:r>
    </w:p>
    <w:p>
      <w:pPr>
        <w:spacing w:after="120"/>
      </w:pPr>
      <w:r>
        <w:rPr>
          <w:rFonts w:ascii="Arial" w:cs="Arial" w:eastAsia="Arial" w:hAnsi="Arial"/>
          <w:sz w:val="24"/>
          <w:szCs w:val="24"/>
        </w:rPr>
        <w:t xml:space="preserve">Screening strategies vary by state. For congenital hypothyroidism, three approaches are used: (1) primary TSH with backup T4, (2) primary T4 with backup TSH, and (3) combined TSH and T4 measurement. The primary TSH approach is most sensitive for detecting primary CH. For CAH, screening is based on measurement of 17-hydroxyprogesterone (17-OHP) on the dried blood spot. Because 17-OHP levels are affected by gestational age, birth weight, and age at sample collection, gestational age-specific cutoffs are used to reduce false-positive rates.</w:t>
      </w:r>
    </w:p>
    <w:p>
      <w:pPr>
        <w:pStyle w:val="Heading2"/>
      </w:pPr>
      <w:r>
        <w:t xml:space="preserve">4.2 Congenital Hypothyroidism: Diagnostic Workup</w:t>
      </w:r>
    </w:p>
    <w:p>
      <w:pPr>
        <w:spacing w:after="120"/>
      </w:pPr>
      <w:r>
        <w:rPr>
          <w:rFonts w:ascii="Arial" w:cs="Arial" w:eastAsia="Arial" w:hAnsi="Arial"/>
          <w:sz w:val="24"/>
          <w:szCs w:val="24"/>
        </w:rPr>
        <w:t xml:space="preserve">When newborn screening identifies an elevated TSH (the specific threshold varies by state and screening program), the following confirmatory evaluation should be performed:</w:t>
      </w:r>
    </w:p>
    <w:p>
      <w:pPr>
        <w:pStyle w:val="ListParagraph"/>
        <w:numPr>
          <w:ilvl w:val="0"/>
          <w:numId w:val="2"/>
        </w:numPr>
        <w:spacing w:after="60"/>
      </w:pPr>
      <w:r>
        <w:rPr>
          <w:rFonts w:ascii="Arial" w:cs="Arial" w:eastAsia="Arial" w:hAnsi="Arial"/>
          <w:sz w:val="24"/>
          <w:szCs w:val="24"/>
        </w:rPr>
        <w:t xml:space="preserve">Serum TSH and free T4 (fT4): This is the confirmatory test. Results must be interpreted using age-specific reference ranges. A TSH greater than 40 mIU/L with low fT4 confirms the diagnosis and warrants immediate treatment initiation.</w:t>
      </w:r>
    </w:p>
    <w:p>
      <w:pPr>
        <w:pStyle w:val="ListParagraph"/>
        <w:numPr>
          <w:ilvl w:val="0"/>
          <w:numId w:val="2"/>
        </w:numPr>
        <w:spacing w:after="60"/>
      </w:pPr>
      <w:r>
        <w:rPr>
          <w:rFonts w:ascii="Arial" w:cs="Arial" w:eastAsia="Arial" w:hAnsi="Arial"/>
          <w:sz w:val="24"/>
          <w:szCs w:val="24"/>
        </w:rPr>
        <w:t xml:space="preserve">Serum T3 or free T3: Not routinely needed for diagnosis but may be useful in select cases.</w:t>
      </w:r>
    </w:p>
    <w:p>
      <w:pPr>
        <w:pStyle w:val="ListParagraph"/>
        <w:numPr>
          <w:ilvl w:val="0"/>
          <w:numId w:val="2"/>
        </w:numPr>
        <w:spacing w:after="60"/>
      </w:pPr>
      <w:r>
        <w:rPr>
          <w:rFonts w:ascii="Arial" w:cs="Arial" w:eastAsia="Arial" w:hAnsi="Arial"/>
          <w:sz w:val="24"/>
          <w:szCs w:val="24"/>
        </w:rPr>
        <w:t xml:space="preserve">Thyroid imaging: Thyroid ultrasound can identify the presence, location, and size of thyroid tissue. Thyroid scintigraphy (I-123 or Tc-99m pertechnetate scan) can identify functioning thyroid tissue and distinguish dysgenesis from dyshormonogenesis. Imaging should never delay treatment initiation.</w:t>
      </w:r>
    </w:p>
    <w:p>
      <w:pPr>
        <w:pStyle w:val="ListParagraph"/>
        <w:numPr>
          <w:ilvl w:val="0"/>
          <w:numId w:val="2"/>
        </w:numPr>
        <w:spacing w:after="60"/>
      </w:pPr>
      <w:r>
        <w:rPr>
          <w:rFonts w:ascii="Arial" w:cs="Arial" w:eastAsia="Arial" w:hAnsi="Arial"/>
          <w:sz w:val="24"/>
          <w:szCs w:val="24"/>
        </w:rPr>
        <w:t xml:space="preserve">Thyroglobulin level: Helpful in distinguishing athyreosis (very low or undetectable thyroglobulin) from ectopic thyroid or dyshormonogenesis.</w:t>
      </w:r>
    </w:p>
    <w:p>
      <w:pPr>
        <w:spacing w:after="120"/>
      </w:pPr>
      <w:r>
        <w:rPr>
          <w:rFonts w:ascii="Arial" w:cs="Arial" w:eastAsia="Arial" w:hAnsi="Arial"/>
          <w:sz w:val="24"/>
          <w:szCs w:val="24"/>
        </w:rPr>
        <w:t xml:space="preserve">The 2023 AAP guidelines recommend that if the NBS TSH is greater than 40 mIU/L, treatment should be started immediately after confirmatory samples are drawn, without waiting for results. If the NBS TSH is elevated but less than 40 mIU/L, a second screening test on a new sample should be performed, with results interpreted using age-specific normative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Do not wait for confirmatory serum results to initiate levothyroxine when the NBS TSH is markedly elevated (greater than 40 mIU/L). Early treatment within the first 2 weeks of life is critical for optimal neurodevelopmental outcomes.</w:t>
            </w:r>
          </w:p>
        </w:tc>
      </w:tr>
    </w:tbl>
    <w:p>
      <w:pPr>
        <w:pStyle w:val="Heading2"/>
      </w:pPr>
      <w:r>
        <w:t xml:space="preserve">4.3 Congenital Hypothyroidism: Special Populations</w:t>
      </w:r>
    </w:p>
    <w:p>
      <w:pPr>
        <w:spacing w:after="120"/>
      </w:pPr>
      <w:r>
        <w:rPr>
          <w:rFonts w:ascii="Arial" w:cs="Arial" w:eastAsia="Arial" w:hAnsi="Arial"/>
          <w:sz w:val="24"/>
          <w:szCs w:val="24"/>
        </w:rPr>
        <w:t xml:space="preserve">Preterm infants present unique challenges. The TSH surge is blunted, and T4 levels are physiologically lower. NBS programs using a primary TSH approach may miss preterm infants with CH because their TSH may not exceed the term-infant cutoff. The 2023 AAP guidelines and multiple international guidelines recommend repeat screening for preterm infants, low birth weight and very low birth weight infants, sick newborns admitted to the NICU, infants whose initial sample was collected within the first 24 hours of life, and multiple births (particularly same-sex twins, due to the possibility of fetal blood mixing). The recommended timing for repeat screening is at approximately 2 weeks of age, with a further recheck at 4 weeks if the initial repeat is normal. Additionally, a phenomenon called delayed TSH elevation occurs in some preterm neonates, where the TSH rises above the screening threshold days to weeks after an initially normal screen. The majority of these cases prove to be transient hypothyroidism, but permanent CH has been identified through delayed screening.</w:t>
      </w:r>
    </w:p>
    <w:p>
      <w:pPr>
        <w:spacing w:after="120"/>
      </w:pPr>
      <w:r>
        <w:rPr>
          <w:rFonts w:ascii="Arial" w:cs="Arial" w:eastAsia="Arial" w:hAnsi="Arial"/>
          <w:sz w:val="24"/>
          <w:szCs w:val="24"/>
        </w:rPr>
        <w:t xml:space="preserve">Infants with Down syndrome (trisomy 21) have an increased incidence of congenital hypothyroidism (approximately 1 in 140) and should have thyroid function testing as part of their routine evaluation regardless of NBS results.</w:t>
      </w:r>
    </w:p>
    <w:p>
      <w:pPr>
        <w:pStyle w:val="Heading2"/>
      </w:pPr>
      <w:r>
        <w:t xml:space="preserve">4.4 Congenital Adrenal Hyperplasia: Diagnostic Workup</w:t>
      </w:r>
    </w:p>
    <w:p>
      <w:pPr>
        <w:spacing w:after="120"/>
      </w:pPr>
      <w:r>
        <w:rPr>
          <w:rFonts w:ascii="Arial" w:cs="Arial" w:eastAsia="Arial" w:hAnsi="Arial"/>
          <w:sz w:val="24"/>
          <w:szCs w:val="24"/>
        </w:rPr>
        <w:t xml:space="preserve">When newborn screening identifies an elevated 17-OHP, or when CAH is clinically suspected (ambiguous genitalia, salt-wasting crisis), the following evaluation should be performed:</w:t>
      </w:r>
    </w:p>
    <w:p>
      <w:pPr>
        <w:pStyle w:val="ListParagraph"/>
        <w:numPr>
          <w:ilvl w:val="0"/>
          <w:numId w:val="2"/>
        </w:numPr>
        <w:spacing w:after="60"/>
      </w:pPr>
      <w:r>
        <w:rPr>
          <w:rFonts w:ascii="Arial" w:cs="Arial" w:eastAsia="Arial" w:hAnsi="Arial"/>
          <w:sz w:val="24"/>
          <w:szCs w:val="24"/>
        </w:rPr>
        <w:t xml:space="preserve">Serum 17-OHP level: The confirmatory test. An elevated serum 17-OHP confirms 21-hydroxylase deficiency. Levels in classic salt-wasting CAH are typically markedly elevated (often greater than 10,000 ng/dL). Simple virilizing forms have moderately elevated levels.</w:t>
      </w:r>
    </w:p>
    <w:p>
      <w:pPr>
        <w:pStyle w:val="ListParagraph"/>
        <w:numPr>
          <w:ilvl w:val="0"/>
          <w:numId w:val="2"/>
        </w:numPr>
        <w:spacing w:after="60"/>
      </w:pPr>
      <w:r>
        <w:rPr>
          <w:rFonts w:ascii="Arial" w:cs="Arial" w:eastAsia="Arial" w:hAnsi="Arial"/>
          <w:sz w:val="24"/>
          <w:szCs w:val="24"/>
        </w:rPr>
        <w:t xml:space="preserve">Serum electrolytes: Sodium, potassium, and bicarbonate to assess for salt wasting. Classic hyponatremia and hyperkalemia may not be evident until 5 to 14 days of age.</w:t>
      </w:r>
    </w:p>
    <w:p>
      <w:pPr>
        <w:pStyle w:val="ListParagraph"/>
        <w:numPr>
          <w:ilvl w:val="0"/>
          <w:numId w:val="2"/>
        </w:numPr>
        <w:spacing w:after="60"/>
      </w:pPr>
      <w:r>
        <w:rPr>
          <w:rFonts w:ascii="Arial" w:cs="Arial" w:eastAsia="Arial" w:hAnsi="Arial"/>
          <w:sz w:val="24"/>
          <w:szCs w:val="24"/>
        </w:rPr>
        <w:t xml:space="preserve">Serum cortisol: Low cortisol with high ACTH confirms adrenal insufficiency.</w:t>
      </w:r>
    </w:p>
    <w:p>
      <w:pPr>
        <w:pStyle w:val="ListParagraph"/>
        <w:numPr>
          <w:ilvl w:val="0"/>
          <w:numId w:val="2"/>
        </w:numPr>
        <w:spacing w:after="60"/>
      </w:pPr>
      <w:r>
        <w:rPr>
          <w:rFonts w:ascii="Arial" w:cs="Arial" w:eastAsia="Arial" w:hAnsi="Arial"/>
          <w:sz w:val="24"/>
          <w:szCs w:val="24"/>
        </w:rPr>
        <w:t xml:space="preserve">Plasma renin activity (PRA): Elevated in aldosterone-deficient (salt-wasting) forms.</w:t>
      </w:r>
    </w:p>
    <w:p>
      <w:pPr>
        <w:pStyle w:val="ListParagraph"/>
        <w:numPr>
          <w:ilvl w:val="0"/>
          <w:numId w:val="2"/>
        </w:numPr>
        <w:spacing w:after="60"/>
      </w:pPr>
      <w:r>
        <w:rPr>
          <w:rFonts w:ascii="Arial" w:cs="Arial" w:eastAsia="Arial" w:hAnsi="Arial"/>
          <w:sz w:val="24"/>
          <w:szCs w:val="24"/>
        </w:rPr>
        <w:t xml:space="preserve">Serum testosterone, androstenedione, DHEAS: For characterization of androgen excess.</w:t>
      </w:r>
    </w:p>
    <w:p>
      <w:pPr>
        <w:pStyle w:val="ListParagraph"/>
        <w:numPr>
          <w:ilvl w:val="0"/>
          <w:numId w:val="2"/>
        </w:numPr>
        <w:spacing w:after="60"/>
      </w:pPr>
      <w:r>
        <w:rPr>
          <w:rFonts w:ascii="Arial" w:cs="Arial" w:eastAsia="Arial" w:hAnsi="Arial"/>
          <w:sz w:val="24"/>
          <w:szCs w:val="24"/>
        </w:rPr>
        <w:t xml:space="preserve">Karyotype (or rapid FISH for sex chromosomes): Essential in any infant with ambiguous genitalia to determine genetic sex.</w:t>
      </w:r>
    </w:p>
    <w:p>
      <w:pPr>
        <w:pStyle w:val="ListParagraph"/>
        <w:numPr>
          <w:ilvl w:val="0"/>
          <w:numId w:val="2"/>
        </w:numPr>
        <w:spacing w:after="60"/>
      </w:pPr>
      <w:r>
        <w:rPr>
          <w:rFonts w:ascii="Arial" w:cs="Arial" w:eastAsia="Arial" w:hAnsi="Arial"/>
          <w:sz w:val="24"/>
          <w:szCs w:val="24"/>
        </w:rPr>
        <w:t xml:space="preserve">Pelvic/abdominal ultrasound: To identify internal reproductive structures (uterus, ovaries, testes).</w:t>
      </w:r>
    </w:p>
    <w:p>
      <w:pPr>
        <w:pStyle w:val="ListParagraph"/>
        <w:numPr>
          <w:ilvl w:val="0"/>
          <w:numId w:val="2"/>
        </w:numPr>
        <w:spacing w:after="60"/>
      </w:pPr>
      <w:r>
        <w:rPr>
          <w:rFonts w:ascii="Arial" w:cs="Arial" w:eastAsia="Arial" w:hAnsi="Arial"/>
          <w:sz w:val="24"/>
          <w:szCs w:val="24"/>
        </w:rPr>
        <w:t xml:space="preserve">CYP21A2 genotyping: Not required for acute management but essential for long-term planning, genetic counseling, and prenatal management in future pregnancies.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rural facilities, if the NBS 17-OHP is critically elevated and the infant is symptomatic, do not wait for repeat or confirmatory laboratory results. Draw a cortisol level, obtain electrolytes, and initiate stress-dose hydrocortisone immediately. Endocrinology consultation and transport planning should occur simultaneously.</w:t>
            </w:r>
          </w:p>
        </w:tc>
      </w:tr>
    </w:tbl>
    <w:p>
      <w:pPr>
        <w:pStyle w:val="Heading2"/>
      </w:pPr>
      <w:r>
        <w:t xml:space="preserve">4.5 Evaluation of Ambiguous Genitalia</w:t>
      </w:r>
    </w:p>
    <w:p>
      <w:pPr>
        <w:spacing w:after="120"/>
      </w:pPr>
      <w:r>
        <w:rPr>
          <w:rFonts w:ascii="Arial" w:cs="Arial" w:eastAsia="Arial" w:hAnsi="Arial"/>
          <w:sz w:val="24"/>
          <w:szCs w:val="24"/>
        </w:rPr>
        <w:t xml:space="preserve">The evaluation of ambiguous genitalia should be conducted urgently but systematically. The initial workup includes: karyotype (or rapid FISH for SRY), serum electrolytes (to screen for salt-wasting), serum 17-OHP (to evaluate for CAH), testosterone, dihydrotestosterone (DHT), luteinizing hormone (LH), follicle-stimulating hormone (FSH), AMH, pelvic and abdominal ultrasound, and a careful family history (consanguinity, previous neonatal deaths, family members with genital surgery or infertility). A multidisciplinary team including neonatology, endocrinology, genetics, urology or pediatric surgery, and social work or psychology should be involved from the outset.</w:t>
      </w:r>
    </w:p>
    <w:p>
      <w:pPr>
        <w:pStyle w:val="Heading2"/>
      </w:pPr>
      <w:r>
        <w:t xml:space="preserve">4.6 Evaluation of Persistent Neonatal Hypoglycemia</w:t>
      </w:r>
    </w:p>
    <w:p>
      <w:pPr>
        <w:spacing w:after="120"/>
      </w:pPr>
      <w:r>
        <w:rPr>
          <w:rFonts w:ascii="Arial" w:cs="Arial" w:eastAsia="Arial" w:hAnsi="Arial"/>
          <w:sz w:val="24"/>
          <w:szCs w:val="24"/>
        </w:rPr>
        <w:t xml:space="preserve">When hypoglycemia persists beyond the expected transitional period (first 48 hours) or is severe, the critical sample obtained during a documented hypoglycemic episode (blood glucose less than 50 mg/dL) is the most valuable diagnostic tool. The critical sample should include: serum glucose, insulin, C-peptide, cortisol, growth hormone, beta-hydroxybutyrate, free fatty acids, ammonia, lactate, and acylcarnitine profile. A urine sample for organic acids and ketones should be obtained simultaneously. The pattern of results distinguishes hyperinsulinism (high insulin/C-peptide, low ketones, low free fatty acids, high glucose requirement) from cortisol deficiency (low cortisol with normal or elevated ACTH) and growth hormone deficiency (low GH during hypoglycemia).</w:t>
      </w:r>
    </w:p>
    <w:p>
      <w:pPr>
        <w:pStyle w:val="Heading2"/>
      </w:pPr>
      <w:r>
        <w:t xml:space="preserve">4.7 Evaluation of Neonatal Hypocalcemia</w:t>
      </w:r>
    </w:p>
    <w:p>
      <w:pPr>
        <w:spacing w:after="120"/>
      </w:pPr>
      <w:r>
        <w:rPr>
          <w:rFonts w:ascii="Arial" w:cs="Arial" w:eastAsia="Arial" w:hAnsi="Arial"/>
          <w:sz w:val="24"/>
          <w:szCs w:val="24"/>
        </w:rPr>
        <w:t xml:space="preserve">Laboratory evaluation includes: total calcium, ionized calcium, phosphorus, magnesium, albumin, intact PTH, 25-hydroxyvitamin D, 1,25-dihydroxyvitamin D, alkaline phosphatase, and maternal calcium levels. In the setting of late-onset hypocalcemia with low PTH, evaluation for DiGeorge syndrome (22q11.2 deletion) with chromosomal microarray or FISH should be considered, particularly if dysmorphic features, cardiac anomalies, or cleft palate are present.</w:t>
      </w:r>
    </w:p>
    <w:p>
      <w:pPr>
        <w:pStyle w:val="Heading2"/>
      </w:pPr>
      <w:r>
        <w:t xml:space="preserve">4.8 Normal Laboratory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 Neonate (0-7 days)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Preterm Neonate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TSH (mIU/L)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1.0-39.0 (day 1); 1.7-9.1 (2-6 weeks)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Lower surge; GA-specific ranges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T4 (ng/dL)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0.9-2.2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Lower, proportional to GA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Cortisol (mcg/dL)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2-11 (baseline)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 often lower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17-OHP (ng/dL)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&lt;200 (term); higher in preterm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 and BW-specific cutoffs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calcium (mg/dL)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7.0-12.0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Ionized calcium (mg/dL)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4.0-5.5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Glucose (mg/dL)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40-110 (after first 4 hours)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40-110 (after first 4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Insulin (mcU/mL)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&lt;10 during hypoglycemia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&lt;10 during hypoglycemia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Sodium (mEq/L)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133-146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130-140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Potassium (mEq/L)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3.5-6.0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3.5-6.5</w:t>
            </w:r>
          </w:p>
        </w:tc>
      </w:tr>
    </w:tbl>
    <w:p>
      <w:pPr>
        <w:spacing w:after="120"/>
      </w:pPr>
      <w:r>
        <w:rPr>
          <w:rFonts w:ascii="Arial" w:cs="Arial" w:eastAsia="Arial" w:hAnsi="Arial"/>
          <w:sz w:val="24"/>
          <w:szCs w:val="24"/>
        </w:rPr>
        <w:t xml:space="preserve">Table 2. Approximate normal laboratory reference ranges for neonatal endocrine evaluation. Always refer to your individual laboratory's reference ranges, as methodologies vary.</w:t>
      </w:r>
    </w:p>
    <w:p>
      <w:r>
        <w:br w:type="page"/>
      </w:r>
    </w:p>
    <w:p>
      <w:pPr>
        <w:pStyle w:val="Heading1"/>
      </w:pPr>
      <w:r>
        <w:t xml:space="preserve">Chapter 5: Management and Treatment</w:t>
      </w:r>
    </w:p>
    <w:p>
      <w:pPr>
        <w:pStyle w:val="Heading2"/>
      </w:pPr>
      <w:r>
        <w:t xml:space="preserve">5.1 Congenital Hypothyroidism: Treatment</w:t>
      </w:r>
    </w:p>
    <w:p>
      <w:pPr>
        <w:spacing w:after="120"/>
      </w:pPr>
      <w:r>
        <w:rPr>
          <w:rFonts w:ascii="Arial" w:cs="Arial" w:eastAsia="Arial" w:hAnsi="Arial"/>
          <w:sz w:val="24"/>
          <w:szCs w:val="24"/>
        </w:rPr>
        <w:t xml:space="preserve">The recommended initial treatment for congenital hypothyroidism is oral levothyroxine (L-T4) at a dose of 10 to 15 mcg/kg/day. Treatment should be initiated as soon as possible after confirmatory testing is obtained, ideally within the first 2 weeks of life and no later than 1 month of age. Early treatment at higher doses is associated with better neurodevelopmental outcomes. The 2023 AAP guidelines recommend using brand-name levothyroxine products in neonates and young children, as generic and brand-name formulations may not be bioequivalent at the doses used in this population.</w:t>
      </w:r>
    </w:p>
    <w:p>
      <w:pPr>
        <w:spacing w:after="120"/>
      </w:pPr>
      <w:r>
        <w:rPr>
          <w:rFonts w:ascii="Arial" w:cs="Arial" w:eastAsia="Arial" w:hAnsi="Arial"/>
          <w:sz w:val="24"/>
          <w:szCs w:val="24"/>
        </w:rPr>
        <w:t xml:space="preserve">Levothyroxine should be administered once daily as a crushed tablet mixed with a small amount of breast milk, formula, or water. It should not be administered with soy-based formula (which interferes with absorption), iron supplements, calcium supplements, or antacids. Parents should be counseled to give the medication at a consistent time each day, ideally 30 minutes before a feeding. Liquid levothyroxine formulations are available but may have variable bioavailability.</w:t>
      </w:r>
    </w:p>
    <w:p>
      <w:pPr>
        <w:spacing w:after="120"/>
      </w:pPr>
      <w:r>
        <w:rPr>
          <w:rFonts w:ascii="Arial" w:cs="Arial" w:eastAsia="Arial" w:hAnsi="Arial"/>
          <w:sz w:val="24"/>
          <w:szCs w:val="24"/>
        </w:rPr>
        <w:t xml:space="preserve">Goals of treatment are to normalize the TSH and maintain the free T4 in the upper half of the age-specific reference range during the first 3 years of life, the most critical period for thyroid hormone-dependent brain development. Serum TSH and fT4 should be measured 2 to 4 weeks after treatment initiation, then every 1 to 2 months during the first 6 months of life, every 2 to 3 months from 6 to 12 months, and every 3 to 4 months from 1 to 3 years. More frequent monitoring is needed after any dose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Recommendation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dose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Levothyroxine 10-15 mcg/kg/day orally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Timing of initiation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soon as possible; ideally within 2 weeks of life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Crushed tablet in small amount of breast milk/formula/water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Avoid concurrent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Soy formula, iron, calcium, antacids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Target fT4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Upper half of age-specific reference 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Target TSH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Within normal range for 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monitoring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Serum TSH and fT4 at 2-4 weeks after start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Ongoing monitoring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1-2 months (0-6 mo); every 2-3 months (6-12 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Re-evaluation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Trial off L-T4 at age 3 years if transient CH suspected</w:t>
            </w:r>
          </w:p>
        </w:tc>
      </w:tr>
    </w:tbl>
    <w:p>
      <w:pPr>
        <w:spacing w:after="120"/>
      </w:pPr>
      <w:r>
        <w:rPr>
          <w:rFonts w:ascii="Arial" w:cs="Arial" w:eastAsia="Arial" w:hAnsi="Arial"/>
          <w:sz w:val="24"/>
          <w:szCs w:val="24"/>
        </w:rPr>
        <w:t xml:space="preserve">Table 3. Summary of levothyroxine treatment for congenital hypothyroidism per 2023 AAP guidelines.</w:t>
      </w:r>
    </w:p>
    <w:p>
      <w:pPr>
        <w:pStyle w:val="Heading2"/>
      </w:pPr>
      <w:r>
        <w:t xml:space="preserve">5.2 Congenital Adrenal Hyperplasia: Treatment</w:t>
      </w:r>
    </w:p>
    <w:p>
      <w:pPr>
        <w:spacing w:after="120"/>
      </w:pPr>
      <w:r>
        <w:rPr>
          <w:rFonts w:ascii="Arial" w:cs="Arial" w:eastAsia="Arial" w:hAnsi="Arial"/>
          <w:sz w:val="24"/>
          <w:szCs w:val="24"/>
        </w:rPr>
        <w:t xml:space="preserve">Management of classic CAH requires lifelong glucocorticoid and (in salt-wasting forms) mineralocorticoid replacement therapy, with the goals of replacing deficient cortisol, suppressing excess ACTH-driven adrenal androgen production, and replacing deficient aldosterone.</w:t>
      </w:r>
    </w:p>
    <w:p>
      <w:pPr>
        <w:spacing w:after="120"/>
      </w:pPr>
      <w:r>
        <w:rPr>
          <w:rFonts w:ascii="Arial" w:cs="Arial" w:eastAsia="Arial" w:hAnsi="Arial"/>
          <w:b/>
          <w:bCs/>
          <w:sz w:val="24"/>
          <w:szCs w:val="24"/>
        </w:rPr>
        <w:t xml:space="preserve">Glucocorticoid replacement:</w:t>
      </w:r>
    </w:p>
    <w:p>
      <w:pPr>
        <w:spacing w:after="120"/>
      </w:pPr>
      <w:r>
        <w:rPr>
          <w:rFonts w:ascii="Arial" w:cs="Arial" w:eastAsia="Arial" w:hAnsi="Arial"/>
          <w:sz w:val="24"/>
          <w:szCs w:val="24"/>
        </w:rPr>
        <w:t xml:space="preserve">Hydrocortisone is the preferred glucocorticoid in neonates and children because its shorter duration of action allows for more physiologic dosing and less growth suppression compared to longer-acting glucocorticoids. The recommended initial dose is 10 to 15 mg/m2/day divided into 3 doses (every 8 hours). Some experts use slightly higher doses in the first few months of life. Doses are adjusted based on growth, clinical signs of androgen excess, serum 17-OHP, androstenedione, and testosterone levels. The target is not to normalize 17-OHP (which often requires supraphysiologic doses with unacceptable side effects) but to keep it in a mildly elevated range while maintaining normal growth velocity and bone age advancement.</w:t>
      </w:r>
    </w:p>
    <w:p>
      <w:pPr>
        <w:spacing w:after="120"/>
      </w:pPr>
      <w:r>
        <w:rPr>
          <w:rFonts w:ascii="Arial" w:cs="Arial" w:eastAsia="Arial" w:hAnsi="Arial"/>
          <w:b/>
          <w:bCs/>
          <w:sz w:val="24"/>
          <w:szCs w:val="24"/>
        </w:rPr>
        <w:t xml:space="preserve">Mineralocorticoid replacement:</w:t>
      </w:r>
    </w:p>
    <w:p>
      <w:pPr>
        <w:spacing w:after="120"/>
      </w:pPr>
      <w:r>
        <w:rPr>
          <w:rFonts w:ascii="Arial" w:cs="Arial" w:eastAsia="Arial" w:hAnsi="Arial"/>
          <w:sz w:val="24"/>
          <w:szCs w:val="24"/>
        </w:rPr>
        <w:t xml:space="preserve">Fludrocortisone is given at 0.05 to 0.2 mg/day (typically given once or twice daily) for all infants with salt-wasting CAH. The Endocrine Society guidelines recommend that all infants with classic CAH (including simple virilizing forms) receive fludrocortisone, as subclinical aldosterone deficiency is present across the spectrum. Sodium chloride supplementation of 1 to 2 grams per day (17 to 34 mEq/day) is required in infancy because breast milk and standard infant formula have insufficient sodium content for infants with aldosterone deficiency. Adequacy of mineralocorticoid replacement is monitored by serum electrolytes, plasma renin activity (targeting the upper normal range), and blood pressure.</w:t>
      </w:r>
    </w:p>
    <w:p>
      <w:pPr>
        <w:pStyle w:val="Heading2"/>
      </w:pPr>
      <w:r>
        <w:t xml:space="preserve">5.3 Acute Adrenal Crisis: Emergency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Adrenal crisis is a medical emergency. Treatment must not be delayed for confirmatory testing.</w:t>
            </w:r>
          </w:p>
        </w:tc>
      </w:tr>
    </w:tbl>
    <w:p>
      <w:pPr>
        <w:pStyle w:val="ListParagraph"/>
        <w:numPr>
          <w:ilvl w:val="0"/>
          <w:numId w:val="3"/>
        </w:numPr>
        <w:spacing w:after="60"/>
      </w:pPr>
      <w:r>
        <w:rPr>
          <w:rFonts w:ascii="Arial" w:cs="Arial" w:eastAsia="Arial" w:hAnsi="Arial"/>
          <w:sz w:val="24"/>
          <w:szCs w:val="24"/>
        </w:rPr>
        <w:t xml:space="preserve">Establish intravenous access immediately.</w:t>
      </w:r>
    </w:p>
    <w:p>
      <w:pPr>
        <w:pStyle w:val="ListParagraph"/>
        <w:numPr>
          <w:ilvl w:val="0"/>
          <w:numId w:val="3"/>
        </w:numPr>
        <w:spacing w:after="60"/>
      </w:pPr>
      <w:r>
        <w:rPr>
          <w:rFonts w:ascii="Arial" w:cs="Arial" w:eastAsia="Arial" w:hAnsi="Arial"/>
          <w:sz w:val="24"/>
          <w:szCs w:val="24"/>
        </w:rPr>
        <w:t xml:space="preserve">Administer IV hydrocortisone sodium succinate (Solu-Cortef): 25 mg for neonates (50 mg/m2 is the weight-based equivalent). This can be given as an IV push.</w:t>
      </w:r>
    </w:p>
    <w:p>
      <w:pPr>
        <w:pStyle w:val="ListParagraph"/>
        <w:numPr>
          <w:ilvl w:val="0"/>
          <w:numId w:val="3"/>
        </w:numPr>
        <w:spacing w:after="60"/>
      </w:pPr>
      <w:r>
        <w:rPr>
          <w:rFonts w:ascii="Arial" w:cs="Arial" w:eastAsia="Arial" w:hAnsi="Arial"/>
          <w:sz w:val="24"/>
          <w:szCs w:val="24"/>
        </w:rPr>
        <w:t xml:space="preserve">Begin aggressive fluid resuscitation: normal saline (0.9% NaCl) 20 mL/kg IV bolus, repeated as needed for hemodynamic instability.</w:t>
      </w:r>
    </w:p>
    <w:p>
      <w:pPr>
        <w:pStyle w:val="ListParagraph"/>
        <w:numPr>
          <w:ilvl w:val="0"/>
          <w:numId w:val="3"/>
        </w:numPr>
        <w:spacing w:after="60"/>
      </w:pPr>
      <w:r>
        <w:rPr>
          <w:rFonts w:ascii="Arial" w:cs="Arial" w:eastAsia="Arial" w:hAnsi="Arial"/>
          <w:sz w:val="24"/>
          <w:szCs w:val="24"/>
        </w:rPr>
        <w:t xml:space="preserve">Correct hypoglycemia: dextrose-containing IV fluids (D10W or D10NS) at maintenance rate. May need D10W 2 mL/kg IV bolus if glucose less than 40 mg/dL.</w:t>
      </w:r>
    </w:p>
    <w:p>
      <w:pPr>
        <w:pStyle w:val="ListParagraph"/>
        <w:numPr>
          <w:ilvl w:val="0"/>
          <w:numId w:val="3"/>
        </w:numPr>
        <w:spacing w:after="60"/>
      </w:pPr>
      <w:r>
        <w:rPr>
          <w:rFonts w:ascii="Arial" w:cs="Arial" w:eastAsia="Arial" w:hAnsi="Arial"/>
          <w:sz w:val="24"/>
          <w:szCs w:val="24"/>
        </w:rPr>
        <w:t xml:space="preserve">Monitor and correct hyperkalemia: continuous cardiorespiratory monitoring. If potassium is critically elevated (greater than 7 mEq/L) with ECG changes, administer calcium gluconate, insulin/glucose, and consider sodium bicarbonate per standard hyperkalemia protocols.</w:t>
      </w:r>
    </w:p>
    <w:p>
      <w:pPr>
        <w:pStyle w:val="ListParagraph"/>
        <w:numPr>
          <w:ilvl w:val="0"/>
          <w:numId w:val="3"/>
        </w:numPr>
        <w:spacing w:after="60"/>
      </w:pPr>
      <w:r>
        <w:rPr>
          <w:rFonts w:ascii="Arial" w:cs="Arial" w:eastAsia="Arial" w:hAnsi="Arial"/>
          <w:sz w:val="24"/>
          <w:szCs w:val="24"/>
        </w:rPr>
        <w:t xml:space="preserve">After initial bolus, continue IV hydrocortisone at 50-100 mg/m2/day divided every 6 hours until stable.</w:t>
      </w:r>
    </w:p>
    <w:p>
      <w:pPr>
        <w:pStyle w:val="ListParagraph"/>
        <w:numPr>
          <w:ilvl w:val="0"/>
          <w:numId w:val="3"/>
        </w:numPr>
        <w:spacing w:after="60"/>
      </w:pPr>
      <w:r>
        <w:rPr>
          <w:rFonts w:ascii="Arial" w:cs="Arial" w:eastAsia="Arial" w:hAnsi="Arial"/>
          <w:sz w:val="24"/>
          <w:szCs w:val="24"/>
        </w:rPr>
        <w:t xml:space="preserve">Obtain critical labs: cortisol, 17-OHP, ACTH, electrolytes, glucose, blood gas.</w:t>
      </w:r>
    </w:p>
    <w:p>
      <w:pPr>
        <w:pStyle w:val="ListParagraph"/>
        <w:numPr>
          <w:ilvl w:val="0"/>
          <w:numId w:val="3"/>
        </w:numPr>
        <w:spacing w:after="60"/>
      </w:pPr>
      <w:r>
        <w:rPr>
          <w:rFonts w:ascii="Arial" w:cs="Arial" w:eastAsia="Arial" w:hAnsi="Arial"/>
          <w:sz w:val="24"/>
          <w:szCs w:val="24"/>
        </w:rPr>
        <w:t xml:space="preserve">Contact pediatric endocrinology and arrange transport to a higher level of care.</w:t>
      </w:r>
    </w:p>
    <w:p>
      <w:pPr>
        <w:pStyle w:val="Heading2"/>
      </w:pPr>
      <w:r>
        <w:t xml:space="preserve">5.4 Management of Persistent Neonatal Hypoglycemia</w:t>
      </w:r>
    </w:p>
    <w:p>
      <w:pPr>
        <w:spacing w:after="120"/>
      </w:pPr>
      <w:r>
        <w:rPr>
          <w:rFonts w:ascii="Arial" w:cs="Arial" w:eastAsia="Arial" w:hAnsi="Arial"/>
          <w:sz w:val="24"/>
          <w:szCs w:val="24"/>
        </w:rPr>
        <w:t xml:space="preserve">Initial management of neonatal hypoglycemia follows standard protocols: increasing feeding frequency, providing intravenous dextrose infusion (starting at 6 to 8 mg/kg/min, titrating to effect). When the glucose infusion rate (GIR) required to maintain blood glucose above 50 mg/dL exceeds 8 to 10 mg/kg/min, endocrine causes should be strongly suspected.</w:t>
      </w:r>
    </w:p>
    <w:p>
      <w:pPr>
        <w:spacing w:after="120"/>
      </w:pPr>
      <w:r>
        <w:rPr>
          <w:rFonts w:ascii="Arial" w:cs="Arial" w:eastAsia="Arial" w:hAnsi="Arial"/>
          <w:sz w:val="24"/>
          <w:szCs w:val="24"/>
        </w:rPr>
        <w:t xml:space="preserve">For confirmed or suspected congenital hyperinsulinism, first-line medical therapy is diazoxide at 5 to 15 mg/kg/day divided every 8 hours. Diazoxide works by opening KATP channels on beta cells to inhibit insulin secretion. Side effects include fluid retention (concurrent chlorothiazide 7 to 10 mg/kg/day is often given), hypertrichosis, and rarely pulmonary hypertension (baseline echocardiogram is recommended before initiation). Patients who do not respond to diazoxide may require octreotide (a somatostatin analog) or glucagon infusion as bridge therapy. Surgical pancreatectomy (near-total or focal resection) may be required for medically refractory cases. For cortisol or growth hormone deficiency, appropriate hormone replacement therapy is the definitive treatment for hypoglycemia.</w:t>
      </w:r>
    </w:p>
    <w:p>
      <w:pPr>
        <w:pStyle w:val="Heading2"/>
      </w:pPr>
      <w:r>
        <w:t xml:space="preserve">5.5 Management of Neonatal Hypocalcemia</w:t>
      </w:r>
    </w:p>
    <w:p>
      <w:pPr>
        <w:spacing w:after="120"/>
      </w:pPr>
      <w:r>
        <w:rPr>
          <w:rFonts w:ascii="Arial" w:cs="Arial" w:eastAsia="Arial" w:hAnsi="Arial"/>
          <w:sz w:val="24"/>
          <w:szCs w:val="24"/>
        </w:rPr>
        <w:t xml:space="preserve">Acute symptomatic hypocalcemia (seizures, tetany, prolonged QTc): Administer calcium gluconate 10% solution at 1 to 2 mL/kg (100 to 200 mg/kg) IV slowly over 10 to 20 minutes with continuous cardiac monitoring. Rapid infusion or extravasation of calcium can cause severe tissue necrosis, cardiac arrhythmias, and bradycardia. Do not administer calcium through an umbilical vein catheter positioned in the liver (risk of hepatic necrosis).</w:t>
      </w:r>
    </w:p>
    <w:p>
      <w:pPr>
        <w:spacing w:after="120"/>
      </w:pPr>
      <w:r>
        <w:rPr>
          <w:rFonts w:ascii="Arial" w:cs="Arial" w:eastAsia="Arial" w:hAnsi="Arial"/>
          <w:sz w:val="24"/>
          <w:szCs w:val="24"/>
        </w:rPr>
        <w:t xml:space="preserve">After acute correction, maintenance therapy depends on the etiology. Hypoparathyroidism requires calcium supplementation (oral calcium gluconate or calcium carbonate) and calcitriol (active vitamin D, 1,25-dihydroxyvitamin D3) at 20 to 60 ng/kg/day. Vitamin D deficiency is treated with cholecalciferol (vitamin D3) supplementation. Hypomagnesemia must be corrected concurrently if present, as magnesium is required for normal PTH secretion and action.</w:t>
      </w:r>
    </w:p>
    <w:p>
      <w:pPr>
        <w:pStyle w:val="Heading2"/>
      </w:pPr>
      <w:r>
        <w:t xml:space="preserve">5.6 Management of Neonatal Thyrotoxicosis</w:t>
      </w:r>
    </w:p>
    <w:p>
      <w:pPr>
        <w:spacing w:after="120"/>
      </w:pPr>
      <w:r>
        <w:rPr>
          <w:rFonts w:ascii="Arial" w:cs="Arial" w:eastAsia="Arial" w:hAnsi="Arial"/>
          <w:sz w:val="24"/>
          <w:szCs w:val="24"/>
        </w:rPr>
        <w:t xml:space="preserve">Neonatal Graves disease is treated with methimazole (or propylthiouracil, though methimazole is preferred in neonates) at 0.5 to 1 mg/kg/day divided every 8 hours. Propranolol (1 to 2 mg/kg/day divided every 6 to 8 hours) is added for symptomatic management of tachycardia, tremors, and irritability. In severe cases with heart failure, potassium iodide (Lugol solution) can be used for rapid but temporary thyroid hormone suppression. Supportive care includes adequate caloric intake (hypermetabolism increases caloric requirements) and thermoregulation. The condition is self-limiting, resolving in 2 to 4 months as maternal thyroid-stimulating immunoglobulins are cleared from the neonatal circulation.</w:t>
      </w:r>
    </w:p>
    <w:p>
      <w:pPr>
        <w:pStyle w:val="Heading2"/>
      </w:pPr>
      <w:r>
        <w:t xml:space="preserve">5.7 Neonatal Diabetes: Initial Management</w:t>
      </w:r>
    </w:p>
    <w:p>
      <w:pPr>
        <w:spacing w:after="120"/>
      </w:pPr>
      <w:r>
        <w:rPr>
          <w:rFonts w:ascii="Arial" w:cs="Arial" w:eastAsia="Arial" w:hAnsi="Arial"/>
          <w:sz w:val="24"/>
          <w:szCs w:val="24"/>
        </w:rPr>
        <w:t xml:space="preserve">Initial management of neonatal diabetes centers on insulin therapy for glucose control and adequate nutrition for growth. Subcutaneous continuous insulin infusion (insulin pump therapy) is preferred over multiple daily injections in neonates because it allows for very small, precise dosing (basal rates as low as 0.025 units/hour). Initial insulin requirements in NDM are typically 0.5 to 1.0 unit/kg/day but vary widely. Continuous glucose monitoring is increasingly used in this population. Genetic testing should be sent urgently, as approximately 40% of patients with KCNJ11 or ABCC8 mutations (KATP channel defects) can be successfully transitioned from insulin to oral sulfonylurea therapy, which is simpler, less invasive, and may improve neurological outcomes.</w:t>
      </w:r>
    </w:p>
    <w:p>
      <w:r>
        <w:br w:type="page"/>
      </w:r>
    </w:p>
    <w:p>
      <w:pPr>
        <w:pStyle w:val="Heading1"/>
      </w:pPr>
      <w:r>
        <w:t xml:space="preserve">Chapter 6: Special Populations and Considerations</w:t>
      </w:r>
    </w:p>
    <w:p>
      <w:pPr>
        <w:pStyle w:val="Heading2"/>
      </w:pPr>
      <w:r>
        <w:t xml:space="preserve">6.1 Late Preterm Infants (34-36+6 Weeks)</w:t>
      </w:r>
    </w:p>
    <w:p>
      <w:pPr>
        <w:spacing w:after="120"/>
      </w:pPr>
      <w:r>
        <w:rPr>
          <w:rFonts w:ascii="Arial" w:cs="Arial" w:eastAsia="Arial" w:hAnsi="Arial"/>
          <w:sz w:val="24"/>
          <w:szCs w:val="24"/>
        </w:rPr>
        <w:t xml:space="preserve">Late preterm infants are at increased risk for several neonatal endocrine conditions. Their HPT axis is immature, increasing the risk for both missed congenital hypothyroidism on initial screening (due to a blunted TSH surge) and transient hypothyroxinemia. Repeat thyroid screening at 2 weeks of age, with an additional check at 4 weeks if normal, is recommended. Late preterm infants also have reduced glycogen stores and immature counter-regulatory hormone responses, placing them at higher risk for hypoglycemia. The AAP neonatal hypoglycemia screening guidelines specifically include late preterm infants as a population requiring routine glucose monitoring in the first 24 to 48 hours of life. Additionally, late preterm infants have higher 17-OHP levels on NBS, increasing the false-positive rate for CAH screening. Gestational age-specific 17-OHP cutoffs should be used for interpretation.</w:t>
      </w:r>
    </w:p>
    <w:p>
      <w:pPr>
        <w:pStyle w:val="Heading2"/>
      </w:pPr>
      <w:r>
        <w:t xml:space="preserve">6.2 Infants of Diabetic Mothers</w:t>
      </w:r>
    </w:p>
    <w:p>
      <w:pPr>
        <w:spacing w:after="120"/>
      </w:pPr>
      <w:r>
        <w:rPr>
          <w:rFonts w:ascii="Arial" w:cs="Arial" w:eastAsia="Arial" w:hAnsi="Arial"/>
          <w:sz w:val="24"/>
          <w:szCs w:val="24"/>
        </w:rPr>
        <w:t xml:space="preserve">Infants of diabetic mothers (IDMs) are at risk for several endocrine-related complications. Fetal hyperinsulinism, driven by maternal hyperglycemia, causes macrosomia and places the neonate at high risk for hypoglycemia in the first 12 to 24 hours of life as the maternal glucose source is abruptly removed. Hypoglycemia in IDMs is typically transient and responsive to early frequent feeding and, if needed, intravenous dextrose. However, persistent hypoglycemia beyond 48 hours should prompt evaluation for congenital hyperinsulinism, which occurs at increased frequency in this population. IDMs also have an increased incidence of hypocalcemia (related to relative hypoparathyroidism) and polycythemia, which can further exacerbate hypoglycemia through increased glucose consumption.</w:t>
      </w:r>
    </w:p>
    <w:p>
      <w:pPr>
        <w:pStyle w:val="Heading2"/>
      </w:pPr>
      <w:r>
        <w:t xml:space="preserve">6.3 Infants with Trisomy 21</w:t>
      </w:r>
    </w:p>
    <w:p>
      <w:pPr>
        <w:spacing w:after="120"/>
      </w:pPr>
      <w:r>
        <w:rPr>
          <w:rFonts w:ascii="Arial" w:cs="Arial" w:eastAsia="Arial" w:hAnsi="Arial"/>
          <w:sz w:val="24"/>
          <w:szCs w:val="24"/>
        </w:rPr>
        <w:t xml:space="preserve">Infants with Down syndrome have a significantly increased risk of congenital hypothyroidism (approximately 1 in 140 versus 1 in 2,000-4,000 in the general population). They are also at risk for transient myeloproliferative disorder, which can cause a reactive leucocytosis that may distract from other diagnoses. The AAP Health Supervision Guidelines for Children with Down Syndrome recommend thyroid function testing (TSH and fT4) at birth, 6 months, and then annually. NBS results should not be relied upon as the sole thyroid evaluation in this population.</w:t>
      </w:r>
    </w:p>
    <w:p>
      <w:pPr>
        <w:pStyle w:val="Heading2"/>
      </w:pPr>
      <w:r>
        <w:t xml:space="preserve">6.4 Maternal Factors Affecting Neonatal Endocrine Function</w:t>
      </w:r>
    </w:p>
    <w:p>
      <w:pPr>
        <w:spacing w:after="120"/>
      </w:pPr>
      <w:r>
        <w:rPr>
          <w:rFonts w:ascii="Arial" w:cs="Arial" w:eastAsia="Arial" w:hAnsi="Arial"/>
          <w:sz w:val="24"/>
          <w:szCs w:val="24"/>
        </w:rPr>
        <w:t xml:space="preserve">Several maternal conditions can directly impact neonatal endocrine function. Maternal Graves disease leads to transplacental passage of thyroid-stimulating immunoglobulins, causing neonatal thyrotoxicosis, or thyroid-blocking antibodies, causing transient neonatal hypothyroidism. Maternal use of antithyroid medications (methimazole, propylthiouracil) can cause transient neonatal hypothyroidism that resolves as the drug is cleared. Maternal iodine deficiency or excess (from iodine-containing contrast agents, amiodarone, or topical antiseptics) can affect neonatal thyroid function. Maternal hyperparathyroidism causes fetal hypercalcemia and suppression of fetal parathyroid glands, resulting in neonatal hypocalcemia. A thorough maternal history is an essential component of the evaluation of any neonatal endocrine abnormality.</w:t>
      </w:r>
    </w:p>
    <w:p>
      <w:pPr>
        <w:pStyle w:val="Heading2"/>
      </w:pPr>
      <w:r>
        <w:t xml:space="preserve">6.5 Cultural Competency Considerations in Rural Communities</w:t>
      </w:r>
    </w:p>
    <w:p>
      <w:pPr>
        <w:spacing w:after="120"/>
      </w:pPr>
      <w:r>
        <w:rPr>
          <w:rFonts w:ascii="Arial" w:cs="Arial" w:eastAsia="Arial" w:hAnsi="Arial"/>
          <w:sz w:val="24"/>
          <w:szCs w:val="24"/>
        </w:rPr>
        <w:t xml:space="preserve">Rural communities are diverse, and cultural factors can significantly influence how families receive and respond to a neonatal endocrine diagnosis. The diagnosis of ambiguous genitalia, in particular, requires extraordinary sensitivity. Providers should approach these conversations with empathy, cultural humility, and an awareness that concepts of gender, family honor, and medical authority vary across cultures. Interpreter services should be used for all significant medical discussions when there is a language barrier. Genetic counseling for heritable conditions such as CAH should be offered in a culturally appropriate manner, with awareness that concepts of genetic inheritance, consanguinity, and reproductive planning are deeply influenced by cultural and religious beliefs.</w:t>
      </w:r>
    </w:p>
    <w:p>
      <w:r>
        <w:br w:type="page"/>
      </w:r>
    </w:p>
    <w:p>
      <w:pPr>
        <w:pStyle w:val="Heading1"/>
      </w:pPr>
      <w:r>
        <w:t xml:space="preserve">Chapter 7: Transport and Escalation</w:t>
      </w:r>
    </w:p>
    <w:p>
      <w:pPr>
        <w:pStyle w:val="Heading2"/>
      </w:pPr>
      <w:r>
        <w:t xml:space="preserve">7.1 Criteria for Neonatal Transport Team Activation</w:t>
      </w:r>
    </w:p>
    <w:p>
      <w:pPr>
        <w:spacing w:after="120"/>
      </w:pPr>
      <w:r>
        <w:rPr>
          <w:rFonts w:ascii="Arial" w:cs="Arial" w:eastAsia="Arial" w:hAnsi="Arial"/>
          <w:sz w:val="24"/>
          <w:szCs w:val="24"/>
        </w:rPr>
        <w:t xml:space="preserve">The following conditions warrant immediate contact with a neonatal transport team and transfer to a Level III or IV NICU with pediatric endocrinology capability:</w:t>
      </w:r>
    </w:p>
    <w:p>
      <w:pPr>
        <w:pStyle w:val="ListParagraph"/>
        <w:numPr>
          <w:ilvl w:val="0"/>
          <w:numId w:val="2"/>
        </w:numPr>
        <w:spacing w:after="60"/>
      </w:pPr>
      <w:r>
        <w:rPr>
          <w:rFonts w:ascii="Arial" w:cs="Arial" w:eastAsia="Arial" w:hAnsi="Arial"/>
          <w:sz w:val="24"/>
          <w:szCs w:val="24"/>
        </w:rPr>
        <w:t xml:space="preserve">Adrenal crisis: hemodynamic instability, refractory hyponatremia/hyperkalemia, or hypoglycemia unresponsive to standard dextrose infusion in the setting of suspected adrenal insufficiency</w:t>
      </w:r>
    </w:p>
    <w:p>
      <w:pPr>
        <w:pStyle w:val="ListParagraph"/>
        <w:numPr>
          <w:ilvl w:val="0"/>
          <w:numId w:val="2"/>
        </w:numPr>
        <w:spacing w:after="60"/>
      </w:pPr>
      <w:r>
        <w:rPr>
          <w:rFonts w:ascii="Arial" w:cs="Arial" w:eastAsia="Arial" w:hAnsi="Arial"/>
          <w:sz w:val="24"/>
          <w:szCs w:val="24"/>
        </w:rPr>
        <w:t xml:space="preserve">Ambiguous genitalia with signs of salt-wasting (electrolyte derangements, dehydration, hypotension)</w:t>
      </w:r>
    </w:p>
    <w:p>
      <w:pPr>
        <w:pStyle w:val="ListParagraph"/>
        <w:numPr>
          <w:ilvl w:val="0"/>
          <w:numId w:val="2"/>
        </w:numPr>
        <w:spacing w:after="60"/>
      </w:pPr>
      <w:r>
        <w:rPr>
          <w:rFonts w:ascii="Arial" w:cs="Arial" w:eastAsia="Arial" w:hAnsi="Arial"/>
          <w:sz w:val="24"/>
          <w:szCs w:val="24"/>
        </w:rPr>
        <w:t xml:space="preserve">Persistent severe hypoglycemia (glucose less than 40 mg/dL) requiring glucose infusion rate greater than 12 mg/kg/min despite escalating management</w:t>
      </w:r>
    </w:p>
    <w:p>
      <w:pPr>
        <w:pStyle w:val="ListParagraph"/>
        <w:numPr>
          <w:ilvl w:val="0"/>
          <w:numId w:val="2"/>
        </w:numPr>
        <w:spacing w:after="60"/>
      </w:pPr>
      <w:r>
        <w:rPr>
          <w:rFonts w:ascii="Arial" w:cs="Arial" w:eastAsia="Arial" w:hAnsi="Arial"/>
          <w:sz w:val="24"/>
          <w:szCs w:val="24"/>
        </w:rPr>
        <w:t xml:space="preserve">Suspected congenital hyperinsulinism requiring diazoxide or octreotide initiation (these medications may not be available in all rural pharmacies)</w:t>
      </w:r>
    </w:p>
    <w:p>
      <w:pPr>
        <w:pStyle w:val="ListParagraph"/>
        <w:numPr>
          <w:ilvl w:val="0"/>
          <w:numId w:val="2"/>
        </w:numPr>
        <w:spacing w:after="60"/>
      </w:pPr>
      <w:r>
        <w:rPr>
          <w:rFonts w:ascii="Arial" w:cs="Arial" w:eastAsia="Arial" w:hAnsi="Arial"/>
          <w:sz w:val="24"/>
          <w:szCs w:val="24"/>
        </w:rPr>
        <w:t xml:space="preserve">Neonatal thyrotoxicosis with tachycardia greater than 200 bpm, signs of heart failure, or hemodynamic compromise</w:t>
      </w:r>
    </w:p>
    <w:p>
      <w:pPr>
        <w:pStyle w:val="ListParagraph"/>
        <w:numPr>
          <w:ilvl w:val="0"/>
          <w:numId w:val="2"/>
        </w:numPr>
        <w:spacing w:after="60"/>
      </w:pPr>
      <w:r>
        <w:rPr>
          <w:rFonts w:ascii="Arial" w:cs="Arial" w:eastAsia="Arial" w:hAnsi="Arial"/>
          <w:sz w:val="24"/>
          <w:szCs w:val="24"/>
        </w:rPr>
        <w:t xml:space="preserve">Symptomatic hypocalcemia with seizures refractory to initial calcium replacement</w:t>
      </w:r>
    </w:p>
    <w:p>
      <w:pPr>
        <w:pStyle w:val="ListParagraph"/>
        <w:numPr>
          <w:ilvl w:val="0"/>
          <w:numId w:val="2"/>
        </w:numPr>
        <w:spacing w:after="60"/>
      </w:pPr>
      <w:r>
        <w:rPr>
          <w:rFonts w:ascii="Arial" w:cs="Arial" w:eastAsia="Arial" w:hAnsi="Arial"/>
          <w:sz w:val="24"/>
          <w:szCs w:val="24"/>
        </w:rPr>
        <w:t xml:space="preserve">Suspected panhypopituitarism with multiple hormone deficiencies</w:t>
      </w:r>
    </w:p>
    <w:p>
      <w:pPr>
        <w:pStyle w:val="ListParagraph"/>
        <w:numPr>
          <w:ilvl w:val="0"/>
          <w:numId w:val="2"/>
        </w:numPr>
        <w:spacing w:after="60"/>
      </w:pPr>
      <w:r>
        <w:rPr>
          <w:rFonts w:ascii="Arial" w:cs="Arial" w:eastAsia="Arial" w:hAnsi="Arial"/>
          <w:sz w:val="24"/>
          <w:szCs w:val="24"/>
        </w:rPr>
        <w:t xml:space="preserve">Neonatal diabetes requiring insulin infusion titration in a facility without NICU-level glucose monitoring capability</w:t>
      </w:r>
    </w:p>
    <w:p>
      <w:pPr>
        <w:pStyle w:val="Heading2"/>
      </w:pPr>
      <w:r>
        <w:t xml:space="preserve">7.2 Stabilization Prior to Transport</w:t>
      </w:r>
    </w:p>
    <w:p>
      <w:pPr>
        <w:spacing w:after="120"/>
      </w:pPr>
      <w:r>
        <w:rPr>
          <w:rFonts w:ascii="Arial" w:cs="Arial" w:eastAsia="Arial" w:hAnsi="Arial"/>
          <w:sz w:val="24"/>
          <w:szCs w:val="24"/>
        </w:rPr>
        <w:t xml:space="preserve">The goal of stabilization is to prevent clinical deterioration during the transport interval. For adrenal crisis: ensure IV access, administer stress-dose hydrocortisone, begin fluid resuscitation, correct hypoglycemia, and institute continuous cardiorespiratory monitoring. For hypoglycemia: maintain IV dextrose infusion at the rate required to sustain blood glucose above 50 mg/dL; document the glucose infusion rate. For hypocalcemia with seizures: administer IV calcium gluconate with cardiac monitoring; have phenobarbital available for seizure management. For thyrotoxicosis: initiate propranolol if heart rate is markedly elevated and the infant is symptomatic; ensure adequate IV access.</w:t>
      </w:r>
    </w:p>
    <w:p>
      <w:pPr>
        <w:spacing w:after="120"/>
      </w:pPr>
      <w:r>
        <w:rPr>
          <w:rFonts w:ascii="Arial" w:cs="Arial" w:eastAsia="Arial" w:hAnsi="Arial"/>
          <w:sz w:val="24"/>
          <w:szCs w:val="24"/>
        </w:rPr>
        <w:t xml:space="preserve">Maintain thermoregulation (skin temperature 36.5 to 37.5 degrees Celsius), continue monitoring vital signs and glucose every 15 to 30 minutes during the stabilization period, and ensure all laboratory results, NBS results, and imaging are compiled for the receiving team.</w:t>
      </w:r>
    </w:p>
    <w:p>
      <w:pPr>
        <w:pStyle w:val="Heading2"/>
      </w:pPr>
      <w:r>
        <w:t xml:space="preserve">7.3 SBAR Communication with Receiving NICU</w:t>
      </w:r>
    </w:p>
    <w:p>
      <w:pPr>
        <w:spacing w:after="120"/>
      </w:pPr>
      <w:r>
        <w:rPr>
          <w:rFonts w:ascii="Arial" w:cs="Arial" w:eastAsia="Arial" w:hAnsi="Arial"/>
          <w:sz w:val="24"/>
          <w:szCs w:val="24"/>
        </w:rPr>
        <w:t xml:space="preserve">Use the SBAR format for transfer communication:</w:t>
      </w:r>
    </w:p>
    <w:p>
      <w:pPr>
        <w:spacing w:after="120"/>
      </w:pPr>
      <w:r>
        <w:rPr>
          <w:rFonts w:ascii="Arial" w:cs="Arial" w:eastAsia="Arial" w:hAnsi="Arial"/>
          <w:b/>
          <w:bCs/>
          <w:sz w:val="24"/>
          <w:szCs w:val="24"/>
        </w:rPr>
        <w:t xml:space="preserve">Situation:</w:t>
      </w:r>
    </w:p>
    <w:p>
      <w:pPr>
        <w:spacing w:after="120"/>
      </w:pPr>
      <w:r>
        <w:rPr>
          <w:rFonts w:ascii="Arial" w:cs="Arial" w:eastAsia="Arial" w:hAnsi="Arial"/>
          <w:sz w:val="24"/>
          <w:szCs w:val="24"/>
        </w:rPr>
        <w:t xml:space="preserve">"I am calling about [patient name], a [gestational age]-week, [birth weight]-gram neonate who is [age in hours/days] old. The infant is being transferred for [primary endocrine diagnosis/concern]."</w:t>
      </w:r>
    </w:p>
    <w:p>
      <w:pPr>
        <w:spacing w:after="120"/>
      </w:pPr>
      <w:r>
        <w:rPr>
          <w:rFonts w:ascii="Arial" w:cs="Arial" w:eastAsia="Arial" w:hAnsi="Arial"/>
          <w:b/>
          <w:bCs/>
          <w:sz w:val="24"/>
          <w:szCs w:val="24"/>
        </w:rPr>
        <w:t xml:space="preserve">Background:</w:t>
      </w:r>
    </w:p>
    <w:p>
      <w:pPr>
        <w:spacing w:after="120"/>
      </w:pPr>
      <w:r>
        <w:rPr>
          <w:rFonts w:ascii="Arial" w:cs="Arial" w:eastAsia="Arial" w:hAnsi="Arial"/>
          <w:sz w:val="24"/>
          <w:szCs w:val="24"/>
        </w:rPr>
        <w:t xml:space="preserve">Provide relevant birth history, maternal history (including maternal thyroid disease, diabetes, medication use), NBS results, and timeline of clinical events.</w:t>
      </w:r>
    </w:p>
    <w:p>
      <w:pPr>
        <w:spacing w:after="120"/>
      </w:pPr>
      <w:r>
        <w:rPr>
          <w:rFonts w:ascii="Arial" w:cs="Arial" w:eastAsia="Arial" w:hAnsi="Arial"/>
          <w:b/>
          <w:bCs/>
          <w:sz w:val="24"/>
          <w:szCs w:val="24"/>
        </w:rPr>
        <w:t xml:space="preserve">Assessment:</w:t>
      </w:r>
    </w:p>
    <w:p>
      <w:pPr>
        <w:spacing w:after="120"/>
      </w:pPr>
      <w:r>
        <w:rPr>
          <w:rFonts w:ascii="Arial" w:cs="Arial" w:eastAsia="Arial" w:hAnsi="Arial"/>
          <w:sz w:val="24"/>
          <w:szCs w:val="24"/>
        </w:rPr>
        <w:t xml:space="preserve">Summarize the current clinical status: vital signs, current IV fluid composition and rate, current glucose infusion rate, most recent laboratory results, medications administered (with doses and times), and current level of stability.</w:t>
      </w:r>
    </w:p>
    <w:p>
      <w:pPr>
        <w:spacing w:after="120"/>
      </w:pPr>
      <w:r>
        <w:rPr>
          <w:rFonts w:ascii="Arial" w:cs="Arial" w:eastAsia="Arial" w:hAnsi="Arial"/>
          <w:b/>
          <w:bCs/>
          <w:sz w:val="24"/>
          <w:szCs w:val="24"/>
        </w:rPr>
        <w:t xml:space="preserve">Recommendation:</w:t>
      </w:r>
    </w:p>
    <w:p>
      <w:pPr>
        <w:spacing w:after="120"/>
      </w:pPr>
      <w:r>
        <w:rPr>
          <w:rFonts w:ascii="Arial" w:cs="Arial" w:eastAsia="Arial" w:hAnsi="Arial"/>
          <w:sz w:val="24"/>
          <w:szCs w:val="24"/>
        </w:rPr>
        <w:t xml:space="preserve">"We request transfer to your NICU for pediatric endocrinology evaluation and management. We anticipate the transport team arrival in approximately [X] minutes. Is there anything additional you would like us to do before the team arrives?"</w:t>
      </w:r>
    </w:p>
    <w:p>
      <w:pPr>
        <w:pStyle w:val="Heading2"/>
      </w:pPr>
      <w:r>
        <w:t xml:space="preserve">7.4 Documentation Requirements</w:t>
      </w:r>
    </w:p>
    <w:p>
      <w:pPr>
        <w:spacing w:after="120"/>
      </w:pPr>
      <w:r>
        <w:rPr>
          <w:rFonts w:ascii="Arial" w:cs="Arial" w:eastAsia="Arial" w:hAnsi="Arial"/>
          <w:sz w:val="24"/>
          <w:szCs w:val="24"/>
        </w:rPr>
        <w:t xml:space="preserve">Complete documentation for the transfer packet should include: maternal medical history, labor and delivery summary, complete newborn physical exam (with genital exam details if DSD is present), all NBS results (including any out-of-range values with state-specific reference ranges), complete laboratory results with time stamps, imaging reports, medication administration record, fluid balance (intake/output), vital sign flow sheet, and a copy of the SBAR communication. For infants with ambiguous genitalia, photographs of the genitalia should be obtained with parental consent (to avoid repeated examinations at the receiving facility) and transmitted securely.</w:t>
      </w:r>
    </w:p>
    <w:p>
      <w:r>
        <w:br w:type="page"/>
      </w:r>
    </w:p>
    <w:p>
      <w:pPr>
        <w:pStyle w:val="Heading1"/>
      </w:pPr>
      <w:r>
        <w:t xml:space="preserve">Chapter 8: Quality and Safety</w:t>
      </w:r>
    </w:p>
    <w:p>
      <w:pPr>
        <w:pStyle w:val="Heading2"/>
      </w:pPr>
      <w:r>
        <w:t xml:space="preserve">8.1 Common Errors and How to Prevent Them</w:t>
      </w:r>
    </w:p>
    <w:p>
      <w:pPr>
        <w:pStyle w:val="ListParagraph"/>
        <w:numPr>
          <w:ilvl w:val="0"/>
          <w:numId w:val="2"/>
        </w:numPr>
        <w:spacing w:after="60"/>
      </w:pPr>
      <w:r>
        <w:rPr>
          <w:rFonts w:ascii="Arial" w:cs="Arial" w:eastAsia="Arial" w:hAnsi="Arial"/>
          <w:sz w:val="24"/>
          <w:szCs w:val="24"/>
        </w:rPr>
        <w:t xml:space="preserve">Failure to repeat NBS in preterm infants: Ensure a system is in place (nursing checklist, EHR alert) for mandatory repeat NBS in all infants born at less than 37 weeks, less than 2500 grams, admitted to NICU, or screened within the first 24 hours of life.</w:t>
      </w:r>
    </w:p>
    <w:p>
      <w:pPr>
        <w:pStyle w:val="ListParagraph"/>
        <w:numPr>
          <w:ilvl w:val="0"/>
          <w:numId w:val="2"/>
        </w:numPr>
        <w:spacing w:after="60"/>
      </w:pPr>
      <w:r>
        <w:rPr>
          <w:rFonts w:ascii="Arial" w:cs="Arial" w:eastAsia="Arial" w:hAnsi="Arial"/>
          <w:sz w:val="24"/>
          <w:szCs w:val="24"/>
        </w:rPr>
        <w:t xml:space="preserve">Misinterpreting normal NBS as excluding congenital hypothyroidism: NBS is a screening test, not a diagnostic test. Clinical symptoms of hypothyroidism warrant diagnostic serum testing regardless of NBS results.</w:t>
      </w:r>
    </w:p>
    <w:p>
      <w:pPr>
        <w:pStyle w:val="ListParagraph"/>
        <w:numPr>
          <w:ilvl w:val="0"/>
          <w:numId w:val="2"/>
        </w:numPr>
        <w:spacing w:after="60"/>
      </w:pPr>
      <w:r>
        <w:rPr>
          <w:rFonts w:ascii="Arial" w:cs="Arial" w:eastAsia="Arial" w:hAnsi="Arial"/>
          <w:sz w:val="24"/>
          <w:szCs w:val="24"/>
        </w:rPr>
        <w:t xml:space="preserve">Delayed initiation of levothyroxine: Establish a protocol that defines the maximum acceptable time from abnormal NBS notification to treatment initiation (target: less than 48 hours for markedly abnormal TSH).</w:t>
      </w:r>
    </w:p>
    <w:p>
      <w:pPr>
        <w:pStyle w:val="ListParagraph"/>
        <w:numPr>
          <w:ilvl w:val="0"/>
          <w:numId w:val="2"/>
        </w:numPr>
        <w:spacing w:after="60"/>
      </w:pPr>
      <w:r>
        <w:rPr>
          <w:rFonts w:ascii="Arial" w:cs="Arial" w:eastAsia="Arial" w:hAnsi="Arial"/>
          <w:sz w:val="24"/>
          <w:szCs w:val="24"/>
        </w:rPr>
        <w:t xml:space="preserve">Incorrect levothyroxine administration: Crushing tablets and mixing with soy formula, iron, or calcium negates absorption. Provide standardized parent education at discharge.</w:t>
      </w:r>
    </w:p>
    <w:p>
      <w:pPr>
        <w:pStyle w:val="ListParagraph"/>
        <w:numPr>
          <w:ilvl w:val="0"/>
          <w:numId w:val="2"/>
        </w:numPr>
        <w:spacing w:after="60"/>
      </w:pPr>
      <w:r>
        <w:rPr>
          <w:rFonts w:ascii="Arial" w:cs="Arial" w:eastAsia="Arial" w:hAnsi="Arial"/>
          <w:sz w:val="24"/>
          <w:szCs w:val="24"/>
        </w:rPr>
        <w:t xml:space="preserve">Failure to consider CAH in sick male neonates: A male infant presenting with vomiting, dehydration, and electrolyte abnormalities at 1 to 3 weeks of age should have 17-OHP measured and empiric hydrocortisone administered if clinical suspicion is high.</w:t>
      </w:r>
    </w:p>
    <w:p>
      <w:pPr>
        <w:pStyle w:val="ListParagraph"/>
        <w:numPr>
          <w:ilvl w:val="0"/>
          <w:numId w:val="2"/>
        </w:numPr>
        <w:spacing w:after="60"/>
      </w:pPr>
      <w:r>
        <w:rPr>
          <w:rFonts w:ascii="Arial" w:cs="Arial" w:eastAsia="Arial" w:hAnsi="Arial"/>
          <w:sz w:val="24"/>
          <w:szCs w:val="24"/>
        </w:rPr>
        <w:t xml:space="preserve">Inappropriate sex assignment in infants with ambiguous genitalia: Do not assign a sex based on initial genital appearance alone. Await karyotype and full endocrine evaluation.</w:t>
      </w:r>
    </w:p>
    <w:p>
      <w:pPr>
        <w:pStyle w:val="ListParagraph"/>
        <w:numPr>
          <w:ilvl w:val="0"/>
          <w:numId w:val="2"/>
        </w:numPr>
        <w:spacing w:after="60"/>
      </w:pPr>
      <w:r>
        <w:rPr>
          <w:rFonts w:ascii="Arial" w:cs="Arial" w:eastAsia="Arial" w:hAnsi="Arial"/>
          <w:sz w:val="24"/>
          <w:szCs w:val="24"/>
        </w:rPr>
        <w:t xml:space="preserve">Failure to obtain a critical sample during hypoglycemia: The diagnostic yield is highest when samples are drawn at the time of hypoglycemia. Once glucose is corrected, the critical sample opportunity is lost.</w:t>
      </w:r>
    </w:p>
    <w:p>
      <w:pPr>
        <w:pStyle w:val="Heading2"/>
      </w:pPr>
      <w:r>
        <w:t xml:space="preserve">8.2 Documentation Best Practices</w:t>
      </w:r>
    </w:p>
    <w:p>
      <w:pPr>
        <w:spacing w:after="120"/>
      </w:pPr>
      <w:r>
        <w:rPr>
          <w:rFonts w:ascii="Arial" w:cs="Arial" w:eastAsia="Arial" w:hAnsi="Arial"/>
          <w:sz w:val="24"/>
          <w:szCs w:val="24"/>
        </w:rPr>
        <w:t xml:space="preserve">Meticulous documentation is essential for continuity of care, medicolegal protection, and quality improvement. For every neonatal endocrine evaluation, document: the clinical indication for testing, all laboratory results with interpretation, the clinical decision-making rationale, all medications administered (drug, dose in mg and mg/kg, route, time), communication with consultants (including name, time, and recommendations), parental education provided, and the follow-up plan. For ambiguous genitalia, document the genital exam using objective measurements (phallus length, anogenital ratio) and the Prader stage rather than subjective descriptors.</w:t>
      </w:r>
    </w:p>
    <w:p>
      <w:pPr>
        <w:pStyle w:val="Heading2"/>
      </w:pPr>
      <w:r>
        <w:t xml:space="preserve">8.3 Family Communication and Shared Decision-Making</w:t>
      </w:r>
    </w:p>
    <w:p>
      <w:pPr>
        <w:spacing w:after="120"/>
      </w:pPr>
      <w:r>
        <w:rPr>
          <w:rFonts w:ascii="Arial" w:cs="Arial" w:eastAsia="Arial" w:hAnsi="Arial"/>
          <w:sz w:val="24"/>
          <w:szCs w:val="24"/>
        </w:rPr>
        <w:t xml:space="preserve">The discovery of a neonatal endocrine condition is stressful for families. Effective communication principles include: using clear, jargon-free language; providing information in manageable portions; offering written materials to reinforce verbal counseling; acknowledging the emotional impact; avoiding premature reassurance ("everything will be fine") when the full picture is not yet known; and ensuring consistent messaging among all members of the care team. For congenital hypothyroidism, families should understand that with early and consistent treatment, their child can expect normal growth and development. For CAH, families need education about the lifelong nature of the condition, the critical importance of medication adherence, and sick-day management rules for glucocorticoid dose adjustment. For ambiguous genitalia, families need compassionate, honest communication about the evaluation process and timeline, with assurance that the medical team's priority is their baby's health and well-being.</w:t>
      </w:r>
    </w:p>
    <w:p>
      <w:r>
        <w:br w:type="page"/>
      </w:r>
    </w:p>
    <w:p>
      <w:pPr>
        <w:pStyle w:val="Heading1"/>
      </w:pPr>
      <w:r>
        <w:t xml:space="preserve">Chapter 9: Case Studies</w:t>
      </w:r>
    </w:p>
    <w:p>
      <w:pPr>
        <w:pStyle w:val="Heading2"/>
      </w:pPr>
      <w:r>
        <w:t xml:space="preserve">Case 1: Abnormal Newborn Screen for Congenital Hypothyroidism</w:t>
      </w:r>
    </w:p>
    <w:p>
      <w:pPr>
        <w:spacing w:after="120"/>
      </w:pPr>
      <w:r>
        <w:rPr>
          <w:rFonts w:ascii="Arial" w:cs="Arial" w:eastAsia="Arial" w:hAnsi="Arial"/>
          <w:sz w:val="24"/>
          <w:szCs w:val="24"/>
        </w:rPr>
        <w:t xml:space="preserve">A 5-day-old female infant born at 39 weeks via uncomplicated vaginal delivery presents for her well-newborn visit. The state newborn screening laboratory contacts the pediatrician reporting an elevated TSH of 85 mIU/L (whole blood) with a low T4 of 3.2 mcg/dL. The infant appears well on exam. She is feeding adequately on breast milk. Weight is at birth weight. Skin is slightly dry. Posterior fontanelle is 1.5 cm (mildly enlarged). No goiter is palpable.</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has a markedly elevated NBS TSH (greater than 40 mIU/L), which per the 2023 AAP guidelines warrants immediate action. The provider should: (1) draw confirmatory serum TSH and fT4, (2) start levothyroxine 10 to 15 mcg/kg/day immediately, without waiting for confirmatory results, (3) arrange for thyroid imaging (ultrasound at minimum) at the earliest convenience, and (4) refer to pediatric endocrinology. In a rural setting, if an in-person endocrinology visit is not feasible within 1 to 2 weeks, a telemedicine consultation should be arranged. The key teaching point is that treatment should not be delayed. The subtle clinical findings (dry skin, slightly enlarged posterior fontanelle) are consistent with the diagnosis but would not have led to clinical detection in the absence of NBS.</w:t>
      </w:r>
    </w:p>
    <w:p>
      <w:pPr>
        <w:pStyle w:val="Heading2"/>
      </w:pPr>
      <w:r>
        <w:t xml:space="preserve">Case 2: Salt-Wasting Adrenal Crisis in a Male Infant</w:t>
      </w:r>
    </w:p>
    <w:p>
      <w:pPr>
        <w:spacing w:after="120"/>
      </w:pPr>
      <w:r>
        <w:rPr>
          <w:rFonts w:ascii="Arial" w:cs="Arial" w:eastAsia="Arial" w:hAnsi="Arial"/>
          <w:sz w:val="24"/>
          <w:szCs w:val="24"/>
        </w:rPr>
        <w:t xml:space="preserve">A 12-day-old male infant born at 38 weeks presents to the rural emergency department with a 2-day history of poor feeding, increasing lethargy, and vomiting. Parents report the baby has seemed "not himself" for 3 days. On exam, the infant is lethargic, mottled, capillary refill is 4 seconds, heart rate is 190 bpm, and the fontanelle is sunken. Weight is 200 grams below birth weight. Genitalia appear normal male with descended testes. Labs reveal: sodium 118 mEq/L, potassium 8.2 mEq/L, glucose 28 mg/dL, pH 7.18, bicarbonate 10 mEq/L. The NBS result, which had been sent to the primary care provider 5 days ago, shows an elevated 17-OHP at 450 nmol/L.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 classic presentation of salt-wasting adrenal crisis due to CAH in a male infant who was not yet diagnosed. The dramatically low sodium, critically elevated potassium, hypoglycemia, and metabolic acidosis are hallmarks of combined cortisol and aldosterone deficiency. Immediate management priorities: (1) IV access with normal saline bolus 20 mL/kg, repeat as needed; (2) IV hydrocortisone sodium succinate 25 mg IV push; (3) dextrose correction with D10W 2 mL/kg bolus followed by D10NS infusion; (4) ECG monitoring and hyperkalemia management; (5) draw cortisol, 17-OHP, ACTH before hydrocortisone if feasible but do not delay treatment; (6) contact the receiving NICU and activate transport. The key teaching points are: (a) male infants with CAH have normal genitalia and are at high risk for missed diagnosis, (b) this presentation can be misdiagnosed as pyloric stenosis, sepsis, or gastroenteritis, and (c) the NBS result was available but had not been acted upon. A robust NBS result communication and tracking system is essential.</w:t>
      </w:r>
    </w:p>
    <w:p>
      <w:pPr>
        <w:pStyle w:val="Heading2"/>
      </w:pPr>
      <w:r>
        <w:t xml:space="preserve">Case 3: Ambiguous Genitalia Detected at Birth</w:t>
      </w:r>
    </w:p>
    <w:p>
      <w:pPr>
        <w:spacing w:after="120"/>
      </w:pPr>
      <w:r>
        <w:rPr>
          <w:rFonts w:ascii="Arial" w:cs="Arial" w:eastAsia="Arial" w:hAnsi="Arial"/>
          <w:sz w:val="24"/>
          <w:szCs w:val="24"/>
        </w:rPr>
        <w:t xml:space="preserve">A newborn infant is delivered at 37 weeks via cesarean section for breech presentation. Birth weight is 2900 grams with Apgar scores of 8 and 9. The delivering obstetrician notes that the genitalia are ambiguous: there is a phallic structure approximately 2 cm in stretched length, no palpable gonads in the labioscrotal folds or inguinal canals, posterior labial/scrotal fusion, and a single perineal opening. The prenatal ultrasound had predicted female sex.</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 DSD that demands urgent but systematic evaluation. The provider should: (1) not assign a sex of rearing and communicate empathetically with the family that additional testing is needed to determine the baby's sex; (2) draw stat electrolytes (to screen for salt-wasting), 17-OHP, testosterone, cortisol, and karyotype/FISH; (3) obtain a pelvic and abdominal ultrasound to evaluate for the presence of a uterus, ovaries, and adrenal size; (4) contact pediatric endocrinology urgently; (5) begin monitoring electrolytes every 12 hours for the first 5 to 7 days because salt-wasting in CAH may not manifest immediately. The most common cause of ambiguous genitalia with bilateral nonpalpable gonads is a virilized 46,XX infant with CAH. However, the differential includes partial androgen insensitivity, ovotesticular DSD, 5-alpha-reductase deficiency, and others. A multidisciplinary team approach is essential.</w:t>
      </w:r>
    </w:p>
    <w:p>
      <w:pPr>
        <w:pStyle w:val="Heading2"/>
      </w:pPr>
      <w:r>
        <w:t xml:space="preserve">Case 4: Persistent Hypoglycemia Requiring Escalating Dextrose</w:t>
      </w:r>
    </w:p>
    <w:p>
      <w:pPr>
        <w:spacing w:after="120"/>
      </w:pPr>
      <w:r>
        <w:rPr>
          <w:rFonts w:ascii="Arial" w:cs="Arial" w:eastAsia="Arial" w:hAnsi="Arial"/>
          <w:sz w:val="24"/>
          <w:szCs w:val="24"/>
        </w:rPr>
        <w:t xml:space="preserve">A large-for-gestational-age (4800 gram) male infant born at 40 weeks to a mother with gestational diabetes develops recurrent blood glucose levels of 20 to 35 mg/dL in the first 6 hours of life despite early and frequent breastfeeding. An IV of D10W is started at 80 mL/kg/day (glucose infusion rate approximately 5.5 mg/kg/min). Blood glucoses remain below 45 mg/dL, and the rate is increased to 120 mL/kg/day, then 150 mL/kg/day. At 24 hours of life, the glucose infusion rate is 10.4 mg/kg/min and the blood glucose is 38 mg/dL.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While hypoglycemia in an IDM is expected and usually transient, this infant's hypoglycemia is persistent and requires a very high glucose infusion rate (greater than 10 mg/kg/min). This raises concern for congenital hyperinsulinism beyond the typical transient hyperinsulinism of an IDM. The provider should: (1) obtain a critical sample during the next documented hypoglycemic episode (insulin, C-peptide, cortisol, growth hormone, beta-hydroxybutyrate, free fatty acids); (2) if not already done, ensure the GIR is adequate (using centrally administered dextrose concentrations up to D12.5 if needed via peripheral IV or up to D25 via central line); (3) contact pediatric endocrinology to discuss initiation of diazoxide; (4) if the hypoglycemia is refractory to maximum medical management, arrange transfer to a center with pediatric endocrinology and potential surgical capability. The key teaching point is that persistence of hypoglycemia beyond 48 hours in an IDM, or a GIR requirement exceeding 8 to 10 mg/kg/min, should trigger an endocrine workup.</w:t>
      </w:r>
    </w:p>
    <w:p>
      <w:pPr>
        <w:pStyle w:val="Heading2"/>
      </w:pPr>
      <w:r>
        <w:t xml:space="preserve">Case 5: Transport Decision for Neonatal Thyrotoxicosis</w:t>
      </w:r>
    </w:p>
    <w:p>
      <w:pPr>
        <w:spacing w:after="120"/>
      </w:pPr>
      <w:r>
        <w:rPr>
          <w:rFonts w:ascii="Arial" w:cs="Arial" w:eastAsia="Arial" w:hAnsi="Arial"/>
          <w:sz w:val="24"/>
          <w:szCs w:val="24"/>
        </w:rPr>
        <w:t xml:space="preserve">A 6-day-old term female infant born to a mother with a history of Graves disease (in remission, off antithyroid medications for 2 years) presents with tachycardia (heart rate 210 bpm), irritability, feeding poorly despite appearing hungry, loose stools, and poor weight gain (30 grams below birth weight). Examination reveals a palpable goiter, mild exophthalmos, and a hyperactive precordium. The mother's TSI levels obtained during pregnancy were elevated at 350% of the upper limit of normal.</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likely has neonatal Graves disease from transplacental passage of maternal thyroid-stimulating immunoglobulins. The tachycardia is significant. Immediate management: (1) draw serum TSH, fT4, fT3, TSI; (2) obtain an ECG to evaluate for arrhythmia; (3) start propranolol 1 mg/kg/day divided every 8 hours for rate control; (4) contact pediatric endocrinology to discuss initiation of methimazole; (5) the decision to transfer versus manage locally depends on the facility's capability: if the heart rate does not respond to propranolol, if signs of heart failure develop, or if the facility cannot monitor closely enough, transfer is indicated. This condition is self-limiting (2 to 4 months) but can be life-threatening in the acute phase.</w:t>
      </w:r>
    </w:p>
    <w:p>
      <w:r>
        <w:br w:type="page"/>
      </w:r>
    </w:p>
    <w:p>
      <w:pPr>
        <w:pStyle w:val="Heading1"/>
      </w:pPr>
      <w:r>
        <w:t xml:space="preserve">Chapter 10: Summary and Key Takeaways</w:t>
      </w:r>
    </w:p>
    <w:p>
      <w:pPr>
        <w:pStyle w:val="Heading2"/>
      </w:pPr>
      <w:r>
        <w:t xml:space="preserve">10.1 Critical Points</w:t>
      </w:r>
    </w:p>
    <w:p>
      <w:pPr>
        <w:pStyle w:val="ListParagraph"/>
        <w:numPr>
          <w:ilvl w:val="0"/>
          <w:numId w:val="2"/>
        </w:numPr>
        <w:spacing w:after="60"/>
      </w:pPr>
      <w:r>
        <w:rPr>
          <w:rFonts w:ascii="Arial" w:cs="Arial" w:eastAsia="Arial" w:hAnsi="Arial"/>
          <w:sz w:val="24"/>
          <w:szCs w:val="24"/>
        </w:rPr>
        <w:t xml:space="preserve">Congenital hypothyroidism is the most common preventable cause of intellectual disability. NBS detects it; levothyroxine 10-15 mcg/kg/day initiated within 2 weeks of birth is the treatment.</w:t>
      </w:r>
    </w:p>
    <w:p>
      <w:pPr>
        <w:pStyle w:val="ListParagraph"/>
        <w:numPr>
          <w:ilvl w:val="0"/>
          <w:numId w:val="2"/>
        </w:numPr>
        <w:spacing w:after="60"/>
      </w:pPr>
      <w:r>
        <w:rPr>
          <w:rFonts w:ascii="Arial" w:cs="Arial" w:eastAsia="Arial" w:hAnsi="Arial"/>
          <w:sz w:val="24"/>
          <w:szCs w:val="24"/>
        </w:rPr>
        <w:t xml:space="preserve">Congenital adrenal hyperplasia (21-hydroxylase deficiency) is the most common cause of ambiguous genitalia and the most common cause of neonatal adrenal crisis. NBS for 17-OHP is universal in the US.</w:t>
      </w:r>
    </w:p>
    <w:p>
      <w:pPr>
        <w:pStyle w:val="ListParagraph"/>
        <w:numPr>
          <w:ilvl w:val="0"/>
          <w:numId w:val="2"/>
        </w:numPr>
        <w:spacing w:after="60"/>
      </w:pPr>
      <w:r>
        <w:rPr>
          <w:rFonts w:ascii="Arial" w:cs="Arial" w:eastAsia="Arial" w:hAnsi="Arial"/>
          <w:sz w:val="24"/>
          <w:szCs w:val="24"/>
        </w:rPr>
        <w:t xml:space="preserve">Male infants with salt-wasting CAH have normal genitalia and present with adrenal crisis at 1-3 weeks of age. This is a life-threatening emergency.</w:t>
      </w:r>
    </w:p>
    <w:p>
      <w:pPr>
        <w:pStyle w:val="ListParagraph"/>
        <w:numPr>
          <w:ilvl w:val="0"/>
          <w:numId w:val="2"/>
        </w:numPr>
        <w:spacing w:after="60"/>
      </w:pPr>
      <w:r>
        <w:rPr>
          <w:rFonts w:ascii="Arial" w:cs="Arial" w:eastAsia="Arial" w:hAnsi="Arial"/>
          <w:sz w:val="24"/>
          <w:szCs w:val="24"/>
        </w:rPr>
        <w:t xml:space="preserve">Ambiguous genitalia is both a medical urgency (rule out CAH/adrenal crisis) and a psychosocial emergency. Do not assign sex hastily.</w:t>
      </w:r>
    </w:p>
    <w:p>
      <w:pPr>
        <w:pStyle w:val="ListParagraph"/>
        <w:numPr>
          <w:ilvl w:val="0"/>
          <w:numId w:val="2"/>
        </w:numPr>
        <w:spacing w:after="60"/>
      </w:pPr>
      <w:r>
        <w:rPr>
          <w:rFonts w:ascii="Arial" w:cs="Arial" w:eastAsia="Arial" w:hAnsi="Arial"/>
          <w:sz w:val="24"/>
          <w:szCs w:val="24"/>
        </w:rPr>
        <w:t xml:space="preserve">The critical sample during hypoglycemia is the single most valuable diagnostic tool for persistent neonatal hypoglycemia.</w:t>
      </w:r>
    </w:p>
    <w:p>
      <w:pPr>
        <w:pStyle w:val="ListParagraph"/>
        <w:numPr>
          <w:ilvl w:val="0"/>
          <w:numId w:val="2"/>
        </w:numPr>
        <w:spacing w:after="60"/>
      </w:pPr>
      <w:r>
        <w:rPr>
          <w:rFonts w:ascii="Arial" w:cs="Arial" w:eastAsia="Arial" w:hAnsi="Arial"/>
          <w:sz w:val="24"/>
          <w:szCs w:val="24"/>
        </w:rPr>
        <w:t xml:space="preserve">Stress-dose hydrocortisone for adrenal crisis: 25 mg IV for neonates (approximately 50 mg/m2). Do not delay for confirmatory labs.</w:t>
      </w:r>
    </w:p>
    <w:p>
      <w:pPr>
        <w:pStyle w:val="ListParagraph"/>
        <w:numPr>
          <w:ilvl w:val="0"/>
          <w:numId w:val="2"/>
        </w:numPr>
        <w:spacing w:after="60"/>
      </w:pPr>
      <w:r>
        <w:rPr>
          <w:rFonts w:ascii="Arial" w:cs="Arial" w:eastAsia="Arial" w:hAnsi="Arial"/>
          <w:sz w:val="24"/>
          <w:szCs w:val="24"/>
        </w:rPr>
        <w:t xml:space="preserve">Preterm infants need repeat NBS at 2 weeks and surveillance for delayed TSH elevation.</w:t>
      </w:r>
    </w:p>
    <w:p>
      <w:pPr>
        <w:pStyle w:val="ListParagraph"/>
        <w:numPr>
          <w:ilvl w:val="0"/>
          <w:numId w:val="2"/>
        </w:numPr>
        <w:spacing w:after="60"/>
      </w:pPr>
      <w:r>
        <w:rPr>
          <w:rFonts w:ascii="Arial" w:cs="Arial" w:eastAsia="Arial" w:hAnsi="Arial"/>
          <w:sz w:val="24"/>
          <w:szCs w:val="24"/>
        </w:rPr>
        <w:t xml:space="preserve">Neonatal thyrotoxicosis from maternal Graves disease is self-limiting but can cause fatal arrhythmia or heart failure if untreated.</w:t>
      </w:r>
    </w:p>
    <w:p>
      <w:pPr>
        <w:pStyle w:val="ListParagraph"/>
        <w:numPr>
          <w:ilvl w:val="0"/>
          <w:numId w:val="2"/>
        </w:numPr>
        <w:spacing w:after="60"/>
      </w:pPr>
      <w:r>
        <w:rPr>
          <w:rFonts w:ascii="Arial" w:cs="Arial" w:eastAsia="Arial" w:hAnsi="Arial"/>
          <w:sz w:val="24"/>
          <w:szCs w:val="24"/>
        </w:rPr>
        <w:t xml:space="preserve">Neonatal diabetes is rare but almost always monogenic; genetic testing guides therapy (sulfonylurea responsiveness).</w:t>
      </w:r>
    </w:p>
    <w:p>
      <w:pPr>
        <w:pStyle w:val="ListParagraph"/>
        <w:numPr>
          <w:ilvl w:val="0"/>
          <w:numId w:val="2"/>
        </w:numPr>
        <w:spacing w:after="60"/>
      </w:pPr>
      <w:r>
        <w:rPr>
          <w:rFonts w:ascii="Arial" w:cs="Arial" w:eastAsia="Arial" w:hAnsi="Arial"/>
          <w:sz w:val="24"/>
          <w:szCs w:val="24"/>
        </w:rPr>
        <w:t xml:space="preserve">In the rural setting, early recognition, stabilization, and effective communication with the receiving NICU are the keys to optimal outcomes.</w:t>
      </w:r>
    </w:p>
    <w:p>
      <w:pPr>
        <w:pStyle w:val="Heading2"/>
      </w:pPr>
      <w:r>
        <w:t xml:space="preserve">10.2 When-to-Worry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Finding</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Consider</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NBS TSH &gt; 40 mIU/L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hypothyroidism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 with serum TSH/fT4; start L-T4 immediately</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NBS 17-OHP elevated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adrenal hyperplasia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 with serum 17-OHP; assess electrolytes</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Ambiguous genitalia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DSD (most commonly CAH)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Karyotype, 17-OHP, electrolytes, ultrasound; urgent endocrine referral</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Sick male neonate 1-3 weeks old with hyponatremia + hyperkalemia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Salt-wasting adrenal crisis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Hydrocortisone IV, fluid resuscitation, transport</w:t>
            </w:r>
          </w:p>
        </w:tc>
      </w:tr>
      <w:tr>
        <w:tc>
          <w:tcPr>
            <w:tcW w:type="dxa" w:w="2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Persistent hypoglycemia with GIR &gt; 8-10 mg/kg/min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hyperinsulinism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 sample, endocrine consult, consider diazoxide</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Seizures with low ionized calcium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hypocalcemia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 calcium gluconate with cardiac monitoring</w:t>
            </w:r>
          </w:p>
        </w:tc>
      </w:tr>
      <w:tr>
        <w:tc>
          <w:tcPr>
            <w:tcW w:type="dxa" w:w="2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Tachycardia &gt; 200 bpm in neonate of mother with Graves disease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thyrotoxicosis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TSH/fT4, propranolol, methimazole, possible transfer</w:t>
            </w:r>
          </w:p>
        </w:tc>
      </w:tr>
      <w:tr>
        <w:tc>
          <w:tcPr>
            <w:tcW w:type="dxa" w:w="2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Persistent hyperglycemia &gt; 250 mg/dL in neonate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diabetes mellitus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Insulin, genetic testing, endocrine consult</w:t>
            </w:r>
          </w:p>
        </w:tc>
      </w:tr>
    </w:tbl>
    <w:p>
      <w:pPr>
        <w:spacing w:after="120"/>
      </w:pPr>
      <w:r>
        <w:rPr>
          <w:rFonts w:ascii="Arial" w:cs="Arial" w:eastAsia="Arial" w:hAnsi="Arial"/>
          <w:sz w:val="24"/>
          <w:szCs w:val="24"/>
        </w:rPr>
        <w:t xml:space="preserve">Table 4. When-to-Worry reference for neonatal endocrine abnormalities.</w:t>
      </w:r>
    </w:p>
    <w:p>
      <w:r>
        <w:br w:type="page"/>
      </w:r>
    </w:p>
    <w:p>
      <w:pPr>
        <w:pStyle w:val="Heading1"/>
      </w:pPr>
      <w:r>
        <w:t xml:space="preserve">References</w:t>
      </w:r>
    </w:p>
    <w:p>
      <w:pPr>
        <w:spacing w:after="120"/>
      </w:pPr>
      <w:r>
        <w:rPr>
          <w:rFonts w:ascii="Arial" w:cs="Arial" w:eastAsia="Arial" w:hAnsi="Arial"/>
          <w:sz w:val="24"/>
          <w:szCs w:val="24"/>
        </w:rPr>
        <w:t xml:space="preserve">1. Rose SR, Wassner AJ, Wintergerst KA, et al. Congenital Hypothyroidism: Screening and Management. Pediatrics. 2023;151(1):e2022060419. doi:10.1542/peds.2022-060419</w:t>
      </w:r>
    </w:p>
    <w:p>
      <w:pPr>
        <w:spacing w:after="120"/>
      </w:pPr>
      <w:r>
        <w:rPr>
          <w:rFonts w:ascii="Arial" w:cs="Arial" w:eastAsia="Arial" w:hAnsi="Arial"/>
          <w:sz w:val="24"/>
          <w:szCs w:val="24"/>
        </w:rPr>
        <w:t xml:space="preserve">2. Speiser PW, Arlt W, Auchus RJ, et al. Congenital Adrenal Hyperplasia Due to Steroid 21-Hydroxylase Deficiency: An Endocrine Society Clinical Practice Guideline. J Clin Endocrinol Metab. 2018;103(11):4043-4088. doi:10.1210/jc.2018-01865</w:t>
      </w:r>
    </w:p>
    <w:p>
      <w:pPr>
        <w:spacing w:after="120"/>
      </w:pPr>
      <w:r>
        <w:rPr>
          <w:rFonts w:ascii="Arial" w:cs="Arial" w:eastAsia="Arial" w:hAnsi="Arial"/>
          <w:sz w:val="24"/>
          <w:szCs w:val="24"/>
        </w:rPr>
        <w:t xml:space="preserve">3. Claahsen-van der Grinten HL, Speiser PW, Ahmed SF, et al. Congenital Adrenal Hyperplasia-Current Insights in Pathophysiology, Diagnostics, and Management. Endocr Rev. 2022;43(1):91-159. doi:10.1210/endrev/bnab016</w:t>
      </w:r>
    </w:p>
    <w:p>
      <w:pPr>
        <w:spacing w:after="120"/>
      </w:pPr>
      <w:r>
        <w:rPr>
          <w:rFonts w:ascii="Arial" w:cs="Arial" w:eastAsia="Arial" w:hAnsi="Arial"/>
          <w:sz w:val="24"/>
          <w:szCs w:val="24"/>
        </w:rPr>
        <w:t xml:space="preserve">4. Auer MK, Nordenstrom A, Lajic S, Reisch N. Congenital adrenal hyperplasia. Lancet. 2022;401(10372):227-244. doi:10.1016/S0140-6736(22)01330-7</w:t>
      </w:r>
    </w:p>
    <w:p>
      <w:pPr>
        <w:spacing w:after="120"/>
      </w:pPr>
      <w:r>
        <w:rPr>
          <w:rFonts w:ascii="Arial" w:cs="Arial" w:eastAsia="Arial" w:hAnsi="Arial"/>
          <w:sz w:val="24"/>
          <w:szCs w:val="24"/>
        </w:rPr>
        <w:t xml:space="preserve">5. van Trotsenburg P, Stoupa A, Leger J, et al. Congenital Hypothyroidism: A 2020-2021 Consensus Guidelines Update. Thyroid. 2021;31(3):387-419. doi:10.1089/thy.2020.0333</w:t>
      </w:r>
    </w:p>
    <w:p>
      <w:pPr>
        <w:spacing w:after="120"/>
      </w:pPr>
      <w:r>
        <w:rPr>
          <w:rFonts w:ascii="Arial" w:cs="Arial" w:eastAsia="Arial" w:hAnsi="Arial"/>
          <w:sz w:val="24"/>
          <w:szCs w:val="24"/>
        </w:rPr>
        <w:t xml:space="preserve">6. LaFranchi SH. Thyroid Function in Preterm/Low Birth Weight Infants: Impact on Diagnosis and Management. Front Endocrinol (Lausanne). 2021;12:666207. doi:10.3389/fendo.2021.666207</w:t>
      </w:r>
    </w:p>
    <w:p>
      <w:pPr>
        <w:spacing w:after="120"/>
      </w:pPr>
      <w:r>
        <w:rPr>
          <w:rFonts w:ascii="Arial" w:cs="Arial" w:eastAsia="Arial" w:hAnsi="Arial"/>
          <w:sz w:val="24"/>
          <w:szCs w:val="24"/>
        </w:rPr>
        <w:t xml:space="preserve">7. Klosinska M, Kaczynska A, Ben-Skowronek I. Congenital Hypothyroidism in Preterm Newborns - The Challenges of Diagnostics and Treatment: A Review. Front Endocrinol (Lausanne). 2022;13:860862. doi:10.3389/fendo.2022.860862</w:t>
      </w:r>
    </w:p>
    <w:p>
      <w:pPr>
        <w:spacing w:after="120"/>
      </w:pPr>
      <w:r>
        <w:rPr>
          <w:rFonts w:ascii="Arial" w:cs="Arial" w:eastAsia="Arial" w:hAnsi="Arial"/>
          <w:sz w:val="24"/>
          <w:szCs w:val="24"/>
        </w:rPr>
        <w:t xml:space="preserve">8. Pappas KB. Newborn Screening. Pediatr Clin North Am. 2023;70(5):1013-1027. doi:10.1016/j.pcl.2023.06.003</w:t>
      </w:r>
    </w:p>
    <w:p>
      <w:pPr>
        <w:spacing w:after="120"/>
      </w:pPr>
      <w:r>
        <w:rPr>
          <w:rFonts w:ascii="Arial" w:cs="Arial" w:eastAsia="Arial" w:hAnsi="Arial"/>
          <w:sz w:val="24"/>
          <w:szCs w:val="24"/>
        </w:rPr>
        <w:t xml:space="preserve">9. Leger J, Olivieri A, Donaldson M, et al. European Society for Paediatric Endocrinology Consensus Guidelines on Screening, Diagnosis, and Management of Congenital Hypothyroidism. J Clin Endocrinol Metab. 2014;99(2):363-384. doi:10.1210/jc.2013-1891</w:t>
      </w:r>
    </w:p>
    <w:p>
      <w:pPr>
        <w:spacing w:after="120"/>
      </w:pPr>
      <w:r>
        <w:rPr>
          <w:rFonts w:ascii="Arial" w:cs="Arial" w:eastAsia="Arial" w:hAnsi="Arial"/>
          <w:sz w:val="24"/>
          <w:szCs w:val="24"/>
        </w:rPr>
        <w:t xml:space="preserve">10. Houk CP, Hughes IA, Ahmed SF, Lee PA; Writing Committee for the International Intersex Consensus Conference Participants. Summary of consensus statement on intersex disorders and their management. Pediatrics. 2006;118(2):753-757. doi:10.1542/peds.2006-0737</w:t>
      </w:r>
    </w:p>
    <w:p>
      <w:pPr>
        <w:spacing w:after="120"/>
      </w:pPr>
      <w:r>
        <w:rPr>
          <w:rFonts w:ascii="Arial" w:cs="Arial" w:eastAsia="Arial" w:hAnsi="Arial"/>
          <w:sz w:val="24"/>
          <w:szCs w:val="24"/>
        </w:rPr>
        <w:t xml:space="preserve">11. Adamkin DH; Committee on Fetus and Newborn. Postnatal Glucose Homeostasis in Late-Preterm and Term Infants. Pediatrics. 2011;127(3):575-579. doi:10.1542/peds.2010-3851</w:t>
      </w:r>
    </w:p>
    <w:p>
      <w:pPr>
        <w:spacing w:after="120"/>
      </w:pPr>
      <w:r>
        <w:rPr>
          <w:rFonts w:ascii="Arial" w:cs="Arial" w:eastAsia="Arial" w:hAnsi="Arial"/>
          <w:sz w:val="24"/>
          <w:szCs w:val="24"/>
        </w:rPr>
        <w:t xml:space="preserve">12. Stanley CA, Rozance PJ, Thornton PS, et al. Re-evaluating "transitional neonatal hypoglycemia": mechanism and implications for management. J Pediatr. 2015;166(6):1520-1525. doi:10.1016/j.jpeds.2015.02.045</w:t>
      </w:r>
    </w:p>
    <w:p>
      <w:pPr>
        <w:spacing w:after="120"/>
      </w:pPr>
      <w:r>
        <w:rPr>
          <w:rFonts w:ascii="Arial" w:cs="Arial" w:eastAsia="Arial" w:hAnsi="Arial"/>
          <w:sz w:val="24"/>
          <w:szCs w:val="24"/>
        </w:rPr>
        <w:t xml:space="preserve">13. De Leon DD, Stanley CA. Congenital Hypoglycemia Disorders: New Aspects of Etiology, Diagnosis, Treatment and Outcomes. Highlights of the Proceedings of the Congenital Hypoglycemia Disorders Symposium. Pediatr Diabetes. 2017;18(1):3-9. doi:10.1111/pedi.12453</w:t>
      </w:r>
    </w:p>
    <w:p>
      <w:pPr>
        <w:spacing w:after="120"/>
      </w:pPr>
      <w:r>
        <w:rPr>
          <w:rFonts w:ascii="Arial" w:cs="Arial" w:eastAsia="Arial" w:hAnsi="Arial"/>
          <w:sz w:val="24"/>
          <w:szCs w:val="24"/>
        </w:rPr>
        <w:t xml:space="preserve">14. De Franco E, Flanagan SE, Houghton JAL, et al. The effect of early, comprehensive genomic testing on clinical care in neonatal diabetes: an international cohort study. Lancet. 2015;386(9997):957-963. doi:10.1016/S0140-6736(15)60098-8</w:t>
      </w:r>
    </w:p>
    <w:p>
      <w:pPr>
        <w:spacing w:after="120"/>
      </w:pPr>
      <w:r>
        <w:rPr>
          <w:rFonts w:ascii="Arial" w:cs="Arial" w:eastAsia="Arial" w:hAnsi="Arial"/>
          <w:sz w:val="24"/>
          <w:szCs w:val="24"/>
        </w:rPr>
        <w:t xml:space="preserve">15. Sperling MA, ed. Pediatric Endocrinology. 5th ed. Elsevier; 2020.</w:t>
      </w:r>
    </w:p>
    <w:p>
      <w:pPr>
        <w:spacing w:after="120"/>
      </w:pPr>
      <w:r>
        <w:rPr>
          <w:rFonts w:ascii="Arial" w:cs="Arial" w:eastAsia="Arial" w:hAnsi="Arial"/>
          <w:sz w:val="24"/>
          <w:szCs w:val="24"/>
        </w:rPr>
        <w:t xml:space="preserve">16. Burchett S, Osborn DA. Calcium supplementation for the prevention of morbidity and mortality in preterm infants. Cochrane Database Syst Rev. 2020. doi:10.1002/14651858</w:t>
      </w:r>
    </w:p>
    <w:p>
      <w:pPr>
        <w:spacing w:after="120"/>
      </w:pPr>
      <w:r>
        <w:rPr>
          <w:rFonts w:ascii="Arial" w:cs="Arial" w:eastAsia="Arial" w:hAnsi="Arial"/>
          <w:sz w:val="24"/>
          <w:szCs w:val="24"/>
        </w:rPr>
        <w:t xml:space="preserve">17. Committee on Genetics. Health Supervision for Children With Down Syndrome. Pediatrics. 2011;128(2):393-406. doi:10.1542/peds.2011-1605</w:t>
      </w:r>
    </w:p>
    <w:p>
      <w:pPr>
        <w:spacing w:after="120"/>
      </w:pPr>
      <w:r>
        <w:rPr>
          <w:rFonts w:ascii="Arial" w:cs="Arial" w:eastAsia="Arial" w:hAnsi="Arial"/>
          <w:sz w:val="24"/>
          <w:szCs w:val="24"/>
        </w:rPr>
        <w:t xml:space="preserve">18. Merke DP, Auchus RJ. Congenital Adrenal Hyperplasia Due to 21-Hydroxylase Deficiency. N Engl J Med. 2020;383(13):1248-1261. doi:10.1056/NEJMra1909786</w:t>
      </w:r>
    </w:p>
    <w:p>
      <w:pPr>
        <w:spacing w:after="120"/>
      </w:pPr>
      <w:r>
        <w:rPr>
          <w:rFonts w:ascii="Arial" w:cs="Arial" w:eastAsia="Arial" w:hAnsi="Arial"/>
          <w:sz w:val="24"/>
          <w:szCs w:val="24"/>
        </w:rPr>
        <w:t xml:space="preserve">19. Bowden SA, Goldis M. Congenital Hypothyroidism. StatPearls. Updated 2023.</w:t>
      </w:r>
    </w:p>
    <w:p>
      <w:pPr>
        <w:spacing w:after="120"/>
      </w:pPr>
      <w:r>
        <w:rPr>
          <w:rFonts w:ascii="Arial" w:cs="Arial" w:eastAsia="Arial" w:hAnsi="Arial"/>
          <w:sz w:val="24"/>
          <w:szCs w:val="24"/>
        </w:rPr>
        <w:t xml:space="preserve">20. American Academy of Pediatrics Section on Endocrinology, Committee on Genetics. Technical Report: Congenital Adrenal Hyperplasia. Pediatrics. 2000;106(6):1511-1518.</w:t>
      </w:r>
    </w:p>
    <w:p>
      <w:pPr>
        <w:spacing w:after="120"/>
      </w:pPr>
      <w:r>
        <w:rPr>
          <w:rFonts w:ascii="Arial" w:cs="Arial" w:eastAsia="Arial" w:hAnsi="Arial"/>
          <w:sz w:val="24"/>
          <w:szCs w:val="24"/>
        </w:rPr>
        <w:t xml:space="preserve">21. Polak M, Cave H. Neonatal diabetes mellitus: a disease linked to multiple mechanisms. Orphanet J Rare Dis. 2007;2:12. doi:10.1186/1750-1172-2-12</w:t>
      </w:r>
    </w:p>
    <w:p>
      <w:pPr>
        <w:spacing w:after="120"/>
      </w:pPr>
      <w:r>
        <w:rPr>
          <w:rFonts w:ascii="Arial" w:cs="Arial" w:eastAsia="Arial" w:hAnsi="Arial"/>
          <w:sz w:val="24"/>
          <w:szCs w:val="24"/>
        </w:rPr>
        <w:t xml:space="preserve">22. Hattersley AT, Greeley SAW, Polak M, et al. ISPAD Clinical Practice Consensus Guidelines 2018: The diagnosis and management of monogenic diabetes in children and adolescents. Pediatr Diabetes. 2018;19(Suppl 27):47-63.</w:t>
      </w:r>
    </w:p>
    <w:p>
      <w:pPr>
        <w:spacing w:after="120"/>
      </w:pPr>
      <w:r>
        <w:rPr>
          <w:rFonts w:ascii="Arial" w:cs="Arial" w:eastAsia="Arial" w:hAnsi="Arial"/>
          <w:sz w:val="24"/>
          <w:szCs w:val="24"/>
        </w:rPr>
        <w:t xml:space="preserve">23. Sarafoglou K, Hoffmann GF, Roth KS, eds. Pediatric Endocrinology and Inborn Errors of Metabolism. 2nd ed. McGraw-Hill; 2017.</w:t>
      </w:r>
    </w:p>
    <w:p>
      <w:pPr>
        <w:spacing w:after="120"/>
      </w:pPr>
      <w:r>
        <w:rPr>
          <w:rFonts w:ascii="Arial" w:cs="Arial" w:eastAsia="Arial" w:hAnsi="Arial"/>
          <w:sz w:val="24"/>
          <w:szCs w:val="24"/>
        </w:rPr>
        <w:t xml:space="preserve">24. Chung HR. Adrenal and thyroid function in the fetus and preterm infant. Korean J Pediatr. 2014;57(10):425-433.</w:t>
      </w:r>
    </w:p>
    <w:p>
      <w:pPr>
        <w:spacing w:after="120"/>
      </w:pPr>
      <w:r>
        <w:rPr>
          <w:rFonts w:ascii="Arial" w:cs="Arial" w:eastAsia="Arial" w:hAnsi="Arial"/>
          <w:sz w:val="24"/>
          <w:szCs w:val="24"/>
        </w:rPr>
        <w:t xml:space="preserve">25. Rastogi MV, LaFranchi SH. Congenital hypothyroidism. Orphanet J Rare Dis. 2010;5:17. doi:10.1186/1750-1172-5-17</w:t>
      </w:r>
    </w:p>
    <w:p>
      <w:r>
        <w:br w:type="page"/>
      </w:r>
    </w:p>
    <w:p>
      <w:pPr>
        <w:pStyle w:val="Heading1"/>
      </w:pPr>
      <w:r>
        <w:t xml:space="preserve">Appendices</w:t>
      </w:r>
    </w:p>
    <w:p>
      <w:pPr>
        <w:pStyle w:val="Heading2"/>
      </w:pPr>
      <w:r>
        <w:t xml:space="preserve">Appendix A: Medication Dosing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300"/>
        <w:gridCol w:w="800"/>
        <w:gridCol w:w="1200"/>
        <w:gridCol w:w="33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Medication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Indication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Dose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Route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Frequency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Notes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Levothyroxine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hypothyroidism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10-15 mcg/kg/day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 daily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Crushed tablet; avoid soy, iron, calcium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Hydrocortisone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CAH maintenance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10-15 mg/m2/day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8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Adjust for growth/17-OHP levels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Hydrocortisone (stress dose)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Adrenal crisis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mg (neonate) or 50 mg/m2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 then q6h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 not delay for labs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Fludrocortisone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Mineralocorticoid replacement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0.05-0.2 mg/day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 or twice daily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PRA, electrolytes, BP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NaCl supplement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Salt-wasting CAH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g/day (17-34 mEq)</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Divided with feeds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in infancy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Calcium gluconate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Symptomatic hypocalcemia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mL/kg (100-200 mg/kg)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 slow push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 10-20 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Cardiac monitoring required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Calcitriol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Hypoparathyroidism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20-60 ng/kg/day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or BID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calcium closely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Diazoxide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Hyperinsulinism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5-15 mg/kg/day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8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Give with chlorothiazide; echo before start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Propranolol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thyrotoxicosis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mg/kg/day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6-8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HR, BP, glucose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Methimazole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thyrotoxicosis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0.5-1 mg/kg/day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8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CBC, LFTs</w:t>
            </w:r>
          </w:p>
        </w:tc>
      </w:tr>
    </w:tbl>
    <w:p>
      <w:pPr>
        <w:spacing w:after="120"/>
      </w:pPr>
      <w:r>
        <w:rPr>
          <w:rFonts w:ascii="Arial" w:cs="Arial" w:eastAsia="Arial" w:hAnsi="Arial"/>
          <w:sz w:val="24"/>
          <w:szCs w:val="24"/>
        </w:rPr>
        <w:t xml:space="preserve">Table A1. Medication dosing quick reference for neonatal endocrine conditions. All doses should be verified against current references and adjusted for individual patient factors.</w:t>
      </w:r>
    </w:p>
    <w:p>
      <w:pPr>
        <w:pStyle w:val="Heading2"/>
      </w:pPr>
      <w:r>
        <w:t xml:space="preserve">Appendix B: Normal Vital Sign Ranges by Gestational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24-28 Weeks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28-32 Weeks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32-37 Weeks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 (37+ Weeks)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Heart rate (bpm)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120-170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120-170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120-160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Respiratory 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Systolic BP (mmHg)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45-65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60-80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Diastolic BP (mmHg)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25-40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30-45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35-55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Temperature (C)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36.5-37.5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36.5-37.5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36.5-37.5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36.5-37.5</w:t>
            </w:r>
          </w:p>
        </w:tc>
      </w:tr>
    </w:tbl>
    <w:p>
      <w:pPr>
        <w:spacing w:after="120"/>
      </w:pPr>
      <w:r>
        <w:rPr>
          <w:rFonts w:ascii="Arial" w:cs="Arial" w:eastAsia="Arial" w:hAnsi="Arial"/>
          <w:sz w:val="24"/>
          <w:szCs w:val="24"/>
        </w:rPr>
        <w:t xml:space="preserve">Table B1. Approximate normal vital sign ranges by gestational age.</w:t>
      </w:r>
    </w:p>
    <w:p>
      <w:pPr>
        <w:pStyle w:val="Heading2"/>
      </w:pPr>
      <w:r>
        <w:t xml:space="preserve">Appendix C: Parent Education Template</w:t>
      </w:r>
    </w:p>
    <w:p>
      <w:pPr>
        <w:spacing w:after="120"/>
      </w:pPr>
      <w:r>
        <w:rPr>
          <w:rFonts w:ascii="Arial" w:cs="Arial" w:eastAsia="Arial" w:hAnsi="Arial"/>
          <w:b/>
          <w:bCs/>
          <w:sz w:val="24"/>
          <w:szCs w:val="24"/>
        </w:rPr>
        <w:t xml:space="preserve">For Parents of Infants with Congenital Hypothyroidism:</w:t>
      </w:r>
    </w:p>
    <w:p>
      <w:pPr>
        <w:spacing w:after="120"/>
      </w:pPr>
      <w:r>
        <w:rPr>
          <w:rFonts w:ascii="Arial" w:cs="Arial" w:eastAsia="Arial" w:hAnsi="Arial"/>
          <w:sz w:val="24"/>
          <w:szCs w:val="24"/>
        </w:rPr>
        <w:t xml:space="preserve">Your baby has been diagnosed with congenital hypothyroidism, a condition where the thyroid gland does not make enough thyroid hormone. Thyroid hormone is essential for your baby's brain development and growth. The good news is that this condition is very treatable. Your baby will take a medication called levothyroxine (a thyroid hormone tablet) once every day. Here are the key things to know: (1) Crush the tablet and mix it with a small amount of breast milk, formula, or water; (2) Give it at the same time each day, ideally 30 minutes before a feeding; (3) Do not mix with soy formula or iron supplements; (4) Your baby will need regular blood tests to check thyroid hormone levels; (5) Keep all follow-up appointments with your baby's doctor and the endocrinologist. With consistent daily medication and regular monitoring, your baby should grow and develop normally.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Endocrine Abnormalities in Neonates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2026-03-18T22:15:16.682Z</dcterms:created>
  <dcterms:modified xsi:type="dcterms:W3CDTF">2026-03-18T22:15:16.682Z</dcterms:modified>
</cp:coreProperties>
</file>

<file path=docProps/custom.xml><?xml version="1.0" encoding="utf-8"?>
<Properties xmlns="http://schemas.openxmlformats.org/officeDocument/2006/custom-properties" xmlns:vt="http://schemas.openxmlformats.org/officeDocument/2006/docPropsVTypes"/>
</file>