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Infectious Diseases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Neonatal Infection Matters in the Rural Nursery</w:t>
      </w:r>
    </w:p>
    <w:p>
      <w:pPr>
        <w:spacing w:after="120"/>
      </w:pPr>
      <w:r>
        <w:rPr>
          <w:rFonts w:ascii="Arial" w:cs="Arial" w:eastAsia="Arial" w:hAnsi="Arial"/>
          <w:sz w:val="24"/>
          <w:szCs w:val="24"/>
        </w:rPr>
        <w:t xml:space="preserve">Neonatal infection remains one of the leading causes of morbidity and mortality in the newborn period worldwide. In the United States, early-onset sepsis (EOS) occurs in approximately 0.5 to 1 per 1,000 term live births and 6 to 8 per 1,000 very low birth weight (VLBW) infants. Despite a significant decline in group B streptococcal (GBS) disease since the implementation of universal intrapartum antibiotic prophylaxis, neonatal sepsis continues to carry a case fatality rate of approximately 3 percent in term infants and up to 25 to 50 percent in extremely premature infants.</w:t>
      </w:r>
    </w:p>
    <w:p>
      <w:pPr>
        <w:spacing w:after="120"/>
      </w:pPr>
      <w:r>
        <w:rPr>
          <w:rFonts w:ascii="Arial" w:cs="Arial" w:eastAsia="Arial" w:hAnsi="Arial"/>
          <w:sz w:val="24"/>
          <w:szCs w:val="24"/>
        </w:rPr>
        <w:t xml:space="preserve">For the rural nursery provider, the challenge is multifaceted. First, the clinical signs of neonatal sepsis are notoriously nonspecific: respiratory distress, temperature instability, poor feeding, lethargy, and irritability can be caused by infection or by dozens of non-infectious conditions. Second, definitive diagnostic tools (blood culture, CSF culture) require time, typically 24 to 48 hours, and in the interim, providers must decide whether to treat empirically. Third, the consequences of both overtreatment (unnecessary antibiotic exposure with its risks to the microbiome and promotion of resistance) and undertreatment (missed sepsis with potentially fatal outcomes) are significant.</w:t>
      </w:r>
    </w:p>
    <w:p>
      <w:pPr>
        <w:spacing w:after="120"/>
      </w:pPr>
      <w:r>
        <w:rPr>
          <w:rFonts w:ascii="Arial" w:cs="Arial" w:eastAsia="Arial" w:hAnsi="Arial"/>
          <w:sz w:val="24"/>
          <w:szCs w:val="24"/>
        </w:rPr>
        <w:t xml:space="preserve">This guide covers the full spectrum of neonatal infectious diseases relevant to Level I and Level II nurseries: early-onset bacterial sepsis, late-onset sepsis, neonatal herpes simplex virus (HSV) infection, congenital TORCH infections, congenital syphilis, and common nursery-acquired infections. Each section provides pathophysiology, clinical presentation, evidence-based diagnostic and management approaches, and clear guidance on when to escalate care.</w:t>
      </w:r>
    </w:p>
    <w:p>
      <w:pPr>
        <w:pStyle w:val="Heading2"/>
      </w:pPr>
      <w:r>
        <w:t xml:space="preserve">1.2 Scope of Practice: Level I vs Level II</w:t>
      </w:r>
    </w:p>
    <w:p>
      <w:pPr>
        <w:spacing w:after="120"/>
      </w:pPr>
      <w:r>
        <w:rPr>
          <w:rFonts w:ascii="Arial" w:cs="Arial" w:eastAsia="Arial" w:hAnsi="Arial"/>
          <w:sz w:val="24"/>
          <w:szCs w:val="24"/>
        </w:rPr>
        <w:t xml:space="preserve">Level I nurseries (well newborn nurseries) manage healthy term and late preterm infants. Most sepsis evaluations initiated in the well-baby nursery involve asymptomatic infants with maternal risk factors. Level II nurseries (special care nurseries) may manage infants receiving IV antibiotics for suspected or proven sepsis, but infants with hemodynamic instability, meningitis, or disseminated viral infections require transfer to Level III or IV NICUs. This guide helps rural providers determine which infants can be managed locally with telephone/telemedicine support and which need immediate transport.</w:t>
      </w:r>
    </w:p>
    <w:p>
      <w:r>
        <w:br w:type="page"/>
      </w:r>
    </w:p>
    <w:p>
      <w:pPr>
        <w:pStyle w:val="Heading1"/>
      </w:pPr>
      <w:r>
        <w:t xml:space="preserve">Chapter 2: Foundational Knowledge</w:t>
      </w:r>
    </w:p>
    <w:p>
      <w:pPr>
        <w:pStyle w:val="Heading2"/>
      </w:pPr>
      <w:r>
        <w:t xml:space="preserve">2.1 Neonatal Immune System Overview</w:t>
      </w:r>
    </w:p>
    <w:p>
      <w:pPr>
        <w:spacing w:after="120"/>
      </w:pPr>
      <w:r>
        <w:rPr>
          <w:rFonts w:ascii="Arial" w:cs="Arial" w:eastAsia="Arial" w:hAnsi="Arial"/>
          <w:sz w:val="24"/>
          <w:szCs w:val="24"/>
        </w:rPr>
        <w:t xml:space="preserve">The neonatal immune system is qualitatively and quantitatively immature. Both the innate and adaptive immune systems have significant limitations that make newborns uniquely susceptible to infection. Innate immunity is the first line of defense: neonatal neutrophils have diminished chemotaxis, phagocytic capacity, and bactericidal activity compared to adult neutrophils. The neonatal neutrophil storage pool is limited, making neonates prone to neutropenia during overwhelming infection. Complement levels (particularly the alternative and mannose-binding lectin pathways) are 50 to 80 percent of adult levels at term and even lower in preterm infants, reducing opsonization capacity.</w:t>
      </w:r>
    </w:p>
    <w:p>
      <w:pPr>
        <w:spacing w:after="120"/>
      </w:pPr>
      <w:r>
        <w:rPr>
          <w:rFonts w:ascii="Arial" w:cs="Arial" w:eastAsia="Arial" w:hAnsi="Arial"/>
          <w:sz w:val="24"/>
          <w:szCs w:val="24"/>
        </w:rPr>
        <w:t xml:space="preserve">Adaptive immunity is also immature. Neonatal T cells are predominantly naive and have a bias toward T-helper 2 (Th2) responses, which are less effective against intracellular pathogens. B cell responses are limited in diversity and affinity maturation. However, maternal IgG antibodies cross the placenta during the third trimester, providing passive protection against organisms for which the mother has immunity. This transplacental IgG transfer begins at approximately 13 weeks but occurs most efficiently after 32 weeks, which is why preterm infants born before this time have significantly lower antibody levels and are more vulnerable to infection. IgM does not cross the placenta; therefore, detection of IgM in a neonate suggests fetal or neonatal infection.</w:t>
      </w:r>
    </w:p>
    <w:p>
      <w:pPr>
        <w:spacing w:after="120"/>
      </w:pPr>
      <w:r>
        <w:rPr>
          <w:rFonts w:ascii="Arial" w:cs="Arial" w:eastAsia="Arial" w:hAnsi="Arial"/>
          <w:sz w:val="24"/>
          <w:szCs w:val="24"/>
        </w:rPr>
        <w:t xml:space="preserve">The skin and mucosal barriers are also immature in newborns. The stratum corneum is thinner (especially in preterm infants), and the gastric pH is higher, reducing the stomach's bactericidal capacity. The intestinal mucosa has increased permeability, as discussed in the GI guide, which facilitates both beneficial macromolecular transfer (e.g., immunoglobulins from breast milk) and detrimental bacterial translocation.</w:t>
      </w:r>
    </w:p>
    <w:p>
      <w:pPr>
        <w:pStyle w:val="Heading2"/>
      </w:pPr>
      <w:r>
        <w:t xml:space="preserve">2.2 Microbiology of Neonatal Infections</w:t>
      </w:r>
    </w:p>
    <w:p>
      <w:pPr>
        <w:spacing w:after="120"/>
      </w:pPr>
      <w:r>
        <w:rPr>
          <w:rFonts w:ascii="Arial" w:cs="Arial" w:eastAsia="Arial" w:hAnsi="Arial"/>
          <w:sz w:val="24"/>
          <w:szCs w:val="24"/>
        </w:rPr>
        <w:t xml:space="preserve">The pathogens causing neonatal infection differ by timing of onset and mode of acquisition. Early-onset sepsis (EOS), defined as infection within the first 72 hours of life (some definitions use 7 days), is caused by organisms acquired from the maternal genital tract during labor and delivery. The dominant pathogens are: Group B Streptococcus (GBS, Streptococcus agalactiae), which remains the most common cause of EOS in term infants; Escherichia coli, which is the most common cause of EOS in preterm infants and is increasingly resistant to ampicillin; and less commonly, other organisms including Listeria monocytogenes, other gram-negative enteric bacilli, Haemophilus influenzae (non-typeable), and viridans group streptococci.</w:t>
      </w:r>
    </w:p>
    <w:p>
      <w:pPr>
        <w:spacing w:after="120"/>
      </w:pPr>
      <w:r>
        <w:rPr>
          <w:rFonts w:ascii="Arial" w:cs="Arial" w:eastAsia="Arial" w:hAnsi="Arial"/>
          <w:sz w:val="24"/>
          <w:szCs w:val="24"/>
        </w:rPr>
        <w:t xml:space="preserve">Late-onset sepsis (LOS), defined as infection after 72 hours of life, involves a broader range of organisms. In NICU populations, coagulase-negative staphylococci (CONS) are the most common cause, often related to central venous catheters and other indwelling devices. Other important pathogens include Staphylococcus aureus (including MRSA), gram-negative enteric organisms (Klebsiella, Enterobacter, Serratia, Pseudomonas), Candida species (particularly in extremely preterm infants), and late-onset GBS (which typically presents as meningitis). In the Level II nursery population, community-acquired late-onset infections are more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312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Timing</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Pathogens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Acquisition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Early-onset sepsis (EOS)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0-72 hours (up to 7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GBS (term), E. coli (preterm), Listeria, H. influenzae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Vertical: ascending from birth canal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Late-onset sepsis (LOS)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After 72 hours of life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 S. aureus (MRSA), gram-negatives, Candida, GBS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Nosocomial (NICU devices) or community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infections (TORCH)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Prenatal acquisition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CMV, Toxoplasma, Rubella, HSV, Syphilis, Zika, Parvovirus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Transplacental or perinatal</w:t>
            </w:r>
          </w:p>
        </w:tc>
      </w:tr>
    </w:tbl>
    <w:p>
      <w:pPr>
        <w:spacing w:after="120"/>
      </w:pPr>
      <w:r>
        <w:rPr>
          <w:rFonts w:ascii="Arial" w:cs="Arial" w:eastAsia="Arial" w:hAnsi="Arial"/>
          <w:sz w:val="24"/>
          <w:szCs w:val="24"/>
        </w:rPr>
        <w:t xml:space="preserve">Table 1. Classification of neonatal infections by timing and etiology.</w:t>
      </w:r>
    </w:p>
    <w:p>
      <w:r>
        <w:br w:type="page"/>
      </w:r>
    </w:p>
    <w:p>
      <w:pPr>
        <w:pStyle w:val="Heading1"/>
      </w:pPr>
      <w:r>
        <w:t xml:space="preserve">Chapter 3: Early-Onset Sepsis</w:t>
      </w:r>
    </w:p>
    <w:p>
      <w:pPr>
        <w:pStyle w:val="Heading2"/>
      </w:pPr>
      <w:r>
        <w:t xml:space="preserve">3.1 Risk Factors and Epidemiology</w:t>
      </w:r>
    </w:p>
    <w:p>
      <w:pPr>
        <w:spacing w:after="120"/>
      </w:pPr>
      <w:r>
        <w:rPr>
          <w:rFonts w:ascii="Arial" w:cs="Arial" w:eastAsia="Arial" w:hAnsi="Arial"/>
          <w:sz w:val="24"/>
          <w:szCs w:val="24"/>
        </w:rPr>
        <w:t xml:space="preserve">The incidence of culture-confirmed EOS in the United States among infants born at 35 or more weeks of gestation is approximately 0.5 per 1,000 live births. Among VLBW infants, the incidence is 10 to 20 times higher. The single most effective public health intervention to reduce EOS has been universal maternal screening for GBS colonization at 36 to 37 weeks of gestation with intrapartum antibiotic prophylaxis (IAP) for colonized mothers, as recommended by the CDC since 2002 (updated 2010, reaffirmed 2019). This strategy has reduced early-onset GBS disease by approximately 80 percent.</w:t>
      </w:r>
    </w:p>
    <w:p>
      <w:pPr>
        <w:spacing w:after="120"/>
      </w:pPr>
      <w:r>
        <w:rPr>
          <w:rFonts w:ascii="Arial" w:cs="Arial" w:eastAsia="Arial" w:hAnsi="Arial"/>
          <w:sz w:val="24"/>
          <w:szCs w:val="24"/>
        </w:rPr>
        <w:t xml:space="preserve">Established risk factors for EOS include: maternal GBS colonization (with inadequate or absent IAP), prolonged rupture of membranes (greater than 18 hours), maternal intrapartum fever (temperature greater than 100.4 degrees Fahrenheit or 38.0 degrees Celsius), clinical diagnosis of chorioamnionitis or intraamniotic infection, preterm labor, and preterm premature rupture of membranes. The AAP 2018 clinical report on EOS management in infants born at 35 weeks or greater gestation emphasized that no risk-assessment strategy can identify all infants who will develop EOS at birth.</w:t>
      </w:r>
    </w:p>
    <w:p>
      <w:pPr>
        <w:pStyle w:val="Heading2"/>
      </w:pPr>
      <w:r>
        <w:t xml:space="preserve">3.2 Clinical Presentation</w:t>
      </w:r>
    </w:p>
    <w:p>
      <w:pPr>
        <w:spacing w:after="120"/>
      </w:pPr>
      <w:r>
        <w:rPr>
          <w:rFonts w:ascii="Arial" w:cs="Arial" w:eastAsia="Arial" w:hAnsi="Arial"/>
          <w:sz w:val="24"/>
          <w:szCs w:val="24"/>
        </w:rPr>
        <w:t xml:space="preserve">The clinical signs of EOS are nonspecific and overlap extensively with non-infectious conditions. Respiratory distress is the most common presenting sign, occurring in approximately 85 percent of cases. Other signs include temperature instability (hypothermia is more common than fever in neonates, and hypothermia in the first hours of life should always raise concern for sepsis), poor feeding, lethargy, hypotonia, tachycardia, hypotension, apnea, abdominal distension, and jaundice. In fulminant cases, infants may present with cardiovascular collapse, shock, disseminated intravascular coagulation, and multiorgan failure. The majority of infants with EOS present within the first 24 hours of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Do not be reassured by a well-appearing neonate with significant maternal risk factors. Up to 15 to 20 percent of neonates with culture-proven EOS are initially well-appearing at birth and develop symptoms in the first 6 to 12 hours. Close observation with serial clinical examinations is essential.</w:t>
            </w:r>
          </w:p>
        </w:tc>
      </w:tr>
    </w:tbl>
    <w:p>
      <w:pPr>
        <w:pStyle w:val="Heading2"/>
      </w:pPr>
      <w:r>
        <w:t xml:space="preserve">3.3 Three AAP Approaches to EOS Risk Assessment (Infants 35+ Weeks)</w:t>
      </w:r>
    </w:p>
    <w:p>
      <w:pPr>
        <w:spacing w:after="120"/>
      </w:pPr>
      <w:r>
        <w:rPr>
          <w:rFonts w:ascii="Arial" w:cs="Arial" w:eastAsia="Arial" w:hAnsi="Arial"/>
          <w:sz w:val="24"/>
          <w:szCs w:val="24"/>
        </w:rPr>
        <w:t xml:space="preserve">The AAP 2018 clinical report (Puopolo et al., Pediatrics 2018;142(6):e20182894) outlined three approaches for institutions to use in managing infants at risk for EOS. Each has advantages and limitations:</w:t>
      </w:r>
    </w:p>
    <w:p>
      <w:pPr>
        <w:spacing w:after="120"/>
      </w:pPr>
      <w:r>
        <w:rPr>
          <w:rFonts w:ascii="Arial" w:cs="Arial" w:eastAsia="Arial" w:hAnsi="Arial"/>
          <w:b/>
          <w:bCs/>
          <w:sz w:val="24"/>
          <w:szCs w:val="24"/>
        </w:rPr>
        <w:t xml:space="preserve">Approach 1: Categorical Risk Assessment</w:t>
      </w:r>
    </w:p>
    <w:p>
      <w:pPr>
        <w:spacing w:after="120"/>
      </w:pPr>
      <w:r>
        <w:rPr>
          <w:rFonts w:ascii="Arial" w:cs="Arial" w:eastAsia="Arial" w:hAnsi="Arial"/>
          <w:sz w:val="24"/>
          <w:szCs w:val="24"/>
        </w:rPr>
        <w:t xml:space="preserve">This approach uses threshold-based risk factors to categorize infants. Infants born to mothers with clinical chorioamnionitis or those with clinical signs of illness undergo a sepsis evaluation (blood culture, CBC, and empirical antibiotics). Infants born to mothers with inadequate GBS prophylaxis but who appear well undergo observation or limited evaluation. This approach is straightforward but tends to overtreat, as many well-appearing infants of mothers with chorioamnionitis are not infected.</w:t>
      </w:r>
    </w:p>
    <w:p>
      <w:pPr>
        <w:spacing w:after="120"/>
      </w:pPr>
      <w:r>
        <w:rPr>
          <w:rFonts w:ascii="Arial" w:cs="Arial" w:eastAsia="Arial" w:hAnsi="Arial"/>
          <w:b/>
          <w:bCs/>
          <w:sz w:val="24"/>
          <w:szCs w:val="24"/>
        </w:rPr>
        <w:t xml:space="preserve">Approach 2: Multivariate Risk Assessment (EOS Risk Calculator)</w:t>
      </w:r>
    </w:p>
    <w:p>
      <w:pPr>
        <w:spacing w:after="120"/>
      </w:pPr>
      <w:r>
        <w:rPr>
          <w:rFonts w:ascii="Arial" w:cs="Arial" w:eastAsia="Arial" w:hAnsi="Arial"/>
          <w:sz w:val="24"/>
          <w:szCs w:val="24"/>
        </w:rPr>
        <w:t xml:space="preserve">The Kaiser Permanente Neonatal EOS Risk Calculator (neonatalsepsiscalculator.kaiserpermanente.org) uses a multivariate model incorporating gestational age, highest maternal intrapartum temperature, maternal GBS status, duration of rupture of membranes, and type/duration of intrapartum antibiotics to estimate a baseline risk at birth. This is then modified by the infant's clinical condition (well-appearing, equivocal, or clinical illness) to generate a posterior probability of EOS. Blood culture and enhanced observation are recommended for infants with a risk of 1 per 1,000 or greater; blood culture and empirical antibiotics are recommended for a risk of 3 per 1,000 or greater. Implementation of the EOS calculator has reduced blood cultures by 66 percent and empirical antibiotic use by 48 percent without compromising safety. The calculator was updated in 2024 using a contemporary cohort (Kuzniewicz et al., Pediatrics 2024;154(4):e2023065267).</w:t>
      </w:r>
    </w:p>
    <w:p>
      <w:pPr>
        <w:spacing w:after="120"/>
      </w:pPr>
      <w:r>
        <w:rPr>
          <w:rFonts w:ascii="Arial" w:cs="Arial" w:eastAsia="Arial" w:hAnsi="Arial"/>
          <w:b/>
          <w:bCs/>
          <w:sz w:val="24"/>
          <w:szCs w:val="24"/>
        </w:rPr>
        <w:t xml:space="preserve">Approach 3: Enhanced Serial Clinical Observation</w:t>
      </w:r>
    </w:p>
    <w:p>
      <w:pPr>
        <w:spacing w:after="120"/>
      </w:pPr>
      <w:r>
        <w:rPr>
          <w:rFonts w:ascii="Arial" w:cs="Arial" w:eastAsia="Arial" w:hAnsi="Arial"/>
          <w:sz w:val="24"/>
          <w:szCs w:val="24"/>
        </w:rPr>
        <w:t xml:space="preserve">This approach relies on structured serial physical examinations every 4 to 6 hours for the first 24 to 48 hours of life, using standardized vital sign parameters and clinical observation criteria. Infants who develop clinical signs undergo evaluation and treatment. This approach has the lowest rate of antibiotic exposure but requires a robust nursing infrastructure for frequent, standardized assessments, which may be challenging in resource-limited rural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Rural nurseries should adopt the EOS management approach that best fits their resources. The categorical risk assessment (Approach 1) is the most straightforward and requires the least infrastructure. The EOS Risk Calculator (Approach 2) is increasingly adopted and can be used on any web browser. Enhanced observation (Approach 3) requires dedicated nursing resources for frequent serial exams, which may be difficult in small nurseries with limited staffing. Regardless of approach, all nurseries need a clear policy for communication of abnormal maternal screening results and a protocol for rapid initiation of antibiotics when indicated.</w:t>
            </w:r>
          </w:p>
        </w:tc>
      </w:tr>
    </w:tbl>
    <w:p>
      <w:pPr>
        <w:pStyle w:val="Heading2"/>
      </w:pPr>
      <w:r>
        <w:t xml:space="preserve">3.4 Diagnostic Evaluation</w:t>
      </w:r>
    </w:p>
    <w:p>
      <w:pPr>
        <w:spacing w:after="120"/>
      </w:pPr>
      <w:r>
        <w:rPr>
          <w:rFonts w:ascii="Arial" w:cs="Arial" w:eastAsia="Arial" w:hAnsi="Arial"/>
          <w:sz w:val="24"/>
          <w:szCs w:val="24"/>
        </w:rPr>
        <w:t xml:space="preserve">The gold standard for EOS diagnosis is a positive blood culture. The minimum recommended blood volume for neonatal blood culture is 1 mL in a single aerobic bottle. Obtaining adequate blood volume significantly improves culture sensitivity. Blood cultures are positive in approximately 24 to 36 hours for the common neonatal pathogens (GBS, E. coli) in modern continuous-monitoring blood culture systems. A negative blood culture at 36 to 48 hours has very high negative predictive value and allows safe discontinuation of empirical antibiotics.</w:t>
      </w:r>
    </w:p>
    <w:p>
      <w:pPr>
        <w:spacing w:after="120"/>
      </w:pPr>
      <w:r>
        <w:rPr>
          <w:rFonts w:ascii="Arial" w:cs="Arial" w:eastAsia="Arial" w:hAnsi="Arial"/>
          <w:sz w:val="24"/>
          <w:szCs w:val="24"/>
        </w:rPr>
        <w:t xml:space="preserve">The complete blood count (CBC) with differential has limited diagnostic accuracy for EOS. Neither the white blood cell count, the absolute neutrophil count, nor the immature-to-total neutrophil ratio (I:T ratio) is sufficiently sensitive or specific to diagnose or exclude EOS when used in isolation. However, severely abnormal values (WBC less than 5,000/mcL, absolute neutrophil count less than 1,000/mcL, or I:T ratio greater than 0.3) increase the probability of infection and should prompt treatment. C-reactive protein (CRP) is not useful at the time of initial evaluation because it takes 6 to 12 hours to rise after infection onset. Serial CRP measurements at 24 and 48 hours may be useful for guiding antibiotic duration. Procalcitonin is a newer biomarker that rises earlier than CRP (within 2 to 4 hours) but is affected by a physiologic rise in the first 24 to 48 hours after birth, complicating interpretation.</w:t>
      </w:r>
    </w:p>
    <w:p>
      <w:pPr>
        <w:spacing w:after="120"/>
      </w:pPr>
      <w:r>
        <w:rPr>
          <w:rFonts w:ascii="Arial" w:cs="Arial" w:eastAsia="Arial" w:hAnsi="Arial"/>
          <w:sz w:val="24"/>
          <w:szCs w:val="24"/>
        </w:rPr>
        <w:t xml:space="preserve">Lumbar puncture (LP) is recommended in all infants with a positive blood culture, clinical illness consistent with sepsis, or clinical deterioration during treatment. LP should be performed before or shortly after initiation of antibiotics if the infant is clinically stable. LP should not delay antibiotic initiation in a critically ill neonate. In well-appearing infants undergoing evaluation based solely on risk factors, LP is not routinely recommended at the initial evaluation.</w:t>
      </w:r>
    </w:p>
    <w:p>
      <w:pPr>
        <w:pStyle w:val="Heading2"/>
      </w:pPr>
      <w:r>
        <w:t xml:space="preserve">3.5 Empirical Antibiotic Therapy</w:t>
      </w:r>
    </w:p>
    <w:p>
      <w:pPr>
        <w:spacing w:after="120"/>
      </w:pPr>
      <w:r>
        <w:rPr>
          <w:rFonts w:ascii="Arial" w:cs="Arial" w:eastAsia="Arial" w:hAnsi="Arial"/>
          <w:sz w:val="24"/>
          <w:szCs w:val="24"/>
        </w:rPr>
        <w:t xml:space="preserve">The standard empirical antibiotic regimen for suspected EOS is ampicillin plus gentamicin. This combination provides coverage for GBS, most E. coli strains, Listeria monocytogenes, and other common EOS pathogens. Ampicillin provides synergistic bactericidal activity with aminoglycosides against GBS.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800"/>
        <w:gridCol w:w="1800"/>
        <w:gridCol w:w="34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Medication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Dose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Route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Frequency</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 (meningitis: 100 mg/kg/dose)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q12h (age 0-7d, weight &lt;2kg); q8h (term, &gt;7d)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Covers GBS, Listeria, some gram-neg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 mg/kg/dose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q24-48h (GA-dependent)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troughs; covers gram-negatives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Acyclovir (if HSV suspected)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mg/kg/dose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 14 days; CNS/disseminated: 21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Vancomycin (LOS with MRSA concern)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10-15 mg/kg/dose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q8-12h (GA-dependent)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troughs; for suspected MRSA LOS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Cefotaxime (if meningitis suspected)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q8-12h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Alternative to gentamicin for meningitis; avoid routine use</w:t>
            </w:r>
          </w:p>
        </w:tc>
      </w:tr>
    </w:tbl>
    <w:p>
      <w:pPr>
        <w:spacing w:after="120"/>
      </w:pPr>
      <w:r>
        <w:rPr>
          <w:rFonts w:ascii="Arial" w:cs="Arial" w:eastAsia="Arial" w:hAnsi="Arial"/>
          <w:sz w:val="24"/>
          <w:szCs w:val="24"/>
        </w:rPr>
        <w:t xml:space="preserve">Table 2. Empirical antibiotic dosing for neonatal sepsis. Verify all doses against current references (NeoFax/Lexicomp).</w:t>
      </w:r>
    </w:p>
    <w:p>
      <w:pPr>
        <w:spacing w:after="120"/>
      </w:pPr>
      <w:r>
        <w:rPr>
          <w:rFonts w:ascii="Arial" w:cs="Arial" w:eastAsia="Arial" w:hAnsi="Arial"/>
          <w:sz w:val="24"/>
          <w:szCs w:val="24"/>
        </w:rPr>
        <w:t xml:space="preserve">Duration of therapy: If the blood culture is negative at 36 to 48 hours and the infant is clinically well, antibiotics should be discontinued. Prolonged empirical antibiotic therapy (5 or more days) in preterm infants with negative cultures has been associated with increased risks of NEC, late-onset sepsis, and death. For culture-proven sepsis without meningitis, treatment is typically 10 days. For GBS meningitis, treatment is 14 to 21 days. For gram-negative meningitis, treatment is 21 days minimum. All infants with meningitis should have a repeat LP before completion of therapy to document CSF sterilization.</w:t>
      </w:r>
    </w:p>
    <w:p>
      <w:r>
        <w:br w:type="page"/>
      </w:r>
    </w:p>
    <w:p>
      <w:pPr>
        <w:pStyle w:val="Heading1"/>
      </w:pPr>
      <w:r>
        <w:t xml:space="preserve">Chapter 4: Neonatal Herpes Simplex Virus Infection</w:t>
      </w:r>
    </w:p>
    <w:p>
      <w:pPr>
        <w:pStyle w:val="Heading2"/>
      </w:pPr>
      <w:r>
        <w:t xml:space="preserve">4.1 Epidemiology and Transmission</w:t>
      </w:r>
    </w:p>
    <w:p>
      <w:pPr>
        <w:spacing w:after="120"/>
      </w:pPr>
      <w:r>
        <w:rPr>
          <w:rFonts w:ascii="Arial" w:cs="Arial" w:eastAsia="Arial" w:hAnsi="Arial"/>
          <w:sz w:val="24"/>
          <w:szCs w:val="24"/>
        </w:rPr>
        <w:t xml:space="preserve">Neonatal HSV infection occurs in approximately 1 in 3,200 live births in the United States (roughly 1,500 cases per year). Transmission occurs most commonly during vaginal delivery through contact with infected maternal genital secretions. The risk of transmission is highest (30 to 50 percent) when the mother has a primary genital herpes infection at the time of delivery (because viral shedding is high and no protective maternal antibodies have yet developed). The risk is much lower (less than 1 to 3 percent) with recurrent maternal genital herpes (because viral shedding is lower and transplacental antibodies provide some protection). Importantly, many mothers of infected neonates have no known history of genital herpes, and the infection is acquired asymptomatically.</w:t>
      </w:r>
    </w:p>
    <w:p>
      <w:pPr>
        <w:spacing w:after="120"/>
      </w:pPr>
      <w:r>
        <w:rPr>
          <w:rFonts w:ascii="Arial" w:cs="Arial" w:eastAsia="Arial" w:hAnsi="Arial"/>
          <w:sz w:val="24"/>
          <w:szCs w:val="24"/>
        </w:rPr>
        <w:t xml:space="preserve">HSV-2 accounts for approximately 70 percent of neonatal HSV infections, and HSV-1 accounts for approximately 30 percent, though HSV-1 is increasing. Postnatal transmission from caregivers with oral herpes (cold sores) can also occur and is important to prevent through education and hand hygiene.</w:t>
      </w:r>
    </w:p>
    <w:p>
      <w:pPr>
        <w:pStyle w:val="Heading2"/>
      </w:pPr>
      <w:r>
        <w:t xml:space="preserve">4.2 Classification of Neonatal HSV Disease</w:t>
      </w:r>
    </w:p>
    <w:p>
      <w:pPr>
        <w:spacing w:after="120"/>
      </w:pPr>
      <w:r>
        <w:rPr>
          <w:rFonts w:ascii="Arial" w:cs="Arial" w:eastAsia="Arial" w:hAnsi="Arial"/>
          <w:sz w:val="24"/>
          <w:szCs w:val="24"/>
        </w:rPr>
        <w:t xml:space="preserve">Neonatal HSV is classified into three categories based on the extent of disease, each with distinct prognosis and treatment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40"/>
        <w:gridCol w:w="3120"/>
        <w:gridCol w:w="1560"/>
        <w:gridCol w:w="208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Category</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Proportion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Presentation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Mortality (with treatment)</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Morbidity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Skin, Eyes, Mouth (SEM)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Vesicular lesions (often clustered), conjunctivitis, oral ulcers; onset typically 7-14 days of life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recurrent skin lesions common</w:t>
            </w:r>
          </w:p>
        </w:tc>
      </w:tr>
      <w:tr>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Central Nervous System (CNS)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Seizures, lethargy, irritability, poor feeding, bulging fontanelle, CSF pleocytosis; may lack skin vesicles in 30-40%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Neurologic impairment in ~70% of survivors</w:t>
            </w:r>
          </w:p>
        </w:tc>
      </w:tr>
      <w:tr>
        <w:tc>
          <w:tcPr>
            <w:tcW w:type="dxa" w:w="15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Disseminated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Sepsis-like picture with hepatitis, DIC, pneumonitis, multi-organ failure; may mimic bacterial sepsis; onset often in first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Severe; neurologic impairment common in survivors</w:t>
            </w:r>
          </w:p>
        </w:tc>
      </w:tr>
    </w:tbl>
    <w:p>
      <w:pPr>
        <w:spacing w:after="120"/>
      </w:pPr>
      <w:r>
        <w:rPr>
          <w:rFonts w:ascii="Arial" w:cs="Arial" w:eastAsia="Arial" w:hAnsi="Arial"/>
          <w:sz w:val="24"/>
          <w:szCs w:val="24"/>
        </w:rPr>
        <w:t xml:space="preserve">Table 3. Classification of neonatal HSV disease. Mortality data reflect high-dose (60 mg/kg/day) acyclovir treatment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Neonatal HSV can present WITHOUT skin vesicles. Up to 30 to 40 percent of infants with CNS HSV disease and many with disseminated disease have no vesicular lesions at presentation. A sepsis-like picture in a neonate with negative bacterial cultures, elevated liver enzymes, and/or CSF pleocytosis should prompt consideration of HSV and empiric acyclovir while awaiting HSV PCR results.</w:t>
            </w:r>
          </w:p>
        </w:tc>
      </w:tr>
    </w:tbl>
    <w:p>
      <w:pPr>
        <w:pStyle w:val="Heading2"/>
      </w:pPr>
      <w:r>
        <w:t xml:space="preserve">4.3 Diagnosis</w:t>
      </w:r>
    </w:p>
    <w:p>
      <w:pPr>
        <w:spacing w:after="120"/>
      </w:pPr>
      <w:r>
        <w:rPr>
          <w:rFonts w:ascii="Arial" w:cs="Arial" w:eastAsia="Arial" w:hAnsi="Arial"/>
          <w:sz w:val="24"/>
          <w:szCs w:val="24"/>
        </w:rPr>
        <w:t xml:space="preserve">HSV PCR is the diagnostic test of choice. Surface cultures or PCR from conjunctivae, nasopharynx, mouth, and rectum (surface swabs) should be obtained if neonatal HSV is suspected. Blood HSV DNA PCR is essential for disseminated disease. CSF HSV DNA PCR is required for CNS disease evaluation. Serum alanine aminotransferase (ALT) should be obtained to screen for hepatic involvement (disseminated disease). CSF should be sent for cell count, glucose, protein, and HSV PCR. Note that a negative CSF HSV PCR early in disease does not exclude CNS involvement; repeat LP may be needed if clinical suspicion remains high.</w:t>
      </w:r>
    </w:p>
    <w:p>
      <w:pPr>
        <w:pStyle w:val="Heading2"/>
      </w:pPr>
      <w:r>
        <w:t xml:space="preserve">4.4 Treatment</w:t>
      </w:r>
    </w:p>
    <w:p>
      <w:pPr>
        <w:spacing w:after="120"/>
      </w:pPr>
      <w:r>
        <w:rPr>
          <w:rFonts w:ascii="Arial" w:cs="Arial" w:eastAsia="Arial" w:hAnsi="Arial"/>
          <w:sz w:val="24"/>
          <w:szCs w:val="24"/>
        </w:rPr>
        <w:t xml:space="preserve">Intravenous acyclovir is the standard treatment. The AAP-recommended dose is 20 mg/kg/dose administered every 8 hours (total 60 mg/kg/day). Treatment duration: SEM disease, 14 days; CNS disease, 21 days (with repeat LP before stopping to confirm negative CSF HSV PCR); disseminated disease, 21 days. If CSF HSV PCR is still positive at day 21, continue IV acyclovir and repeat LP weekly until negative. Following completion of IV therapy, infants should receive oral acyclovir suppressive therapy at 300 mg/m2/dose three times daily for 6 months to prevent cutaneous recurrences and improve neurodevelopmental outcomes. Monitor absolute neutrophil count biweekly during IV acyclovir (neutropenia occurs in approximately 20 percent of treated neonates) and renal function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If neonatal HSV is suspected in the rural nursery (vesicular rash, sepsis-like illness with negative bacterial cultures, seizures, elevated ALT), start IV acyclovir immediately without waiting for PCR results. Obtain surface swabs, blood HSV PCR, and CSF studies, then initiate acyclovir and arrange transfer to a facility with pediatric infectious disease expertise. Time to acyclovir initiation is directly correlated with outcome.</w:t>
            </w:r>
          </w:p>
        </w:tc>
      </w:tr>
    </w:tbl>
    <w:p>
      <w:r>
        <w:br w:type="page"/>
      </w:r>
    </w:p>
    <w:p>
      <w:pPr>
        <w:pStyle w:val="Heading1"/>
      </w:pPr>
      <w:r>
        <w:t xml:space="preserve">Chapter 5: Congenital and Perinatal Infections (TORCH)</w:t>
      </w:r>
    </w:p>
    <w:p>
      <w:pPr>
        <w:pStyle w:val="Heading2"/>
      </w:pPr>
      <w:r>
        <w:t xml:space="preserve">5.1 Overview of TORCH Infections</w:t>
      </w:r>
    </w:p>
    <w:p>
      <w:pPr>
        <w:spacing w:after="120"/>
      </w:pPr>
      <w:r>
        <w:rPr>
          <w:rFonts w:ascii="Arial" w:cs="Arial" w:eastAsia="Arial" w:hAnsi="Arial"/>
          <w:sz w:val="24"/>
          <w:szCs w:val="24"/>
        </w:rPr>
        <w:t xml:space="preserve">The TORCH acronym encompasses a group of infections acquired in utero or perinatally that can cause significant congenital malformations, organ damage, and developmental disability. The classic TORCH agents are: Toxoplasma gondii, Other (syphilis, varicella, parvovirus B19, Zika virus), Rubella, Cytomegalovirus (CMV), and Herpes simplex virus (HSV). These infections share several clinical features including intrauterine growth restriction, hepatosplenomegaly, jaundice, thrombocytopenia with petechiae/purpura (blueberry muffin rash), chorioretinitis, and intracranial calcifications. The specific pattern of findings, along with maternal history and specific diagnostic testing, distinguishes one from another.</w:t>
      </w:r>
    </w:p>
    <w:p>
      <w:pPr>
        <w:pStyle w:val="Heading2"/>
      </w:pPr>
      <w:r>
        <w:t xml:space="preserve">5.2 Congenital Cytomegalovirus (cCMV)</w:t>
      </w:r>
    </w:p>
    <w:p>
      <w:pPr>
        <w:spacing w:after="120"/>
      </w:pPr>
      <w:r>
        <w:rPr>
          <w:rFonts w:ascii="Arial" w:cs="Arial" w:eastAsia="Arial" w:hAnsi="Arial"/>
          <w:sz w:val="24"/>
          <w:szCs w:val="24"/>
        </w:rPr>
        <w:t xml:space="preserve">Congenital CMV is the most common congenital viral infection, occurring in approximately 0.5 to 1 percent of all live births in the United States (about 20,000 to 40,000 infants per year). It is the leading non-genetic cause of sensorineural hearing loss in children. Approximately 10 to 15 percent of congenitally infected infants are symptomatic at birth, with manifestations including petechiae, hepatosplenomegaly, jaundice (direct hyperbilirubinemia), thrombocytopenia, microcephaly, periventricular calcifications, chorioretinitis, and sensorineural hearing loss. The remaining 85 to 90 percent are asymptomatic at birth, but 10 to 15 percent of these will develop late-onset sensorineural hearing loss.</w:t>
      </w:r>
    </w:p>
    <w:p>
      <w:pPr>
        <w:spacing w:after="120"/>
      </w:pPr>
      <w:r>
        <w:rPr>
          <w:rFonts w:ascii="Arial" w:cs="Arial" w:eastAsia="Arial" w:hAnsi="Arial"/>
          <w:sz w:val="24"/>
          <w:szCs w:val="24"/>
        </w:rPr>
        <w:t xml:space="preserve">Diagnosis requires detection of CMV DNA by PCR or CMV culture from urine or saliva obtained within the first 21 days of life (positive testing after 21 days cannot distinguish congenital from postnatal acquisition). Treatment with oral valganciclovir (16 mg/kg/dose twice daily for 6 months) is recommended for symptomatic cCMV with CNS involvement, as it has been shown to improve hearing and neurodevelopmental outcomes. Monitoring includes audiology evaluation at birth and serially (every 3 to 6 months through age 3 years), ophthalmology evaluation, and CBC/LFT monitoring during valganciclovir therapy (neutropenia is the most common adverse effect).</w:t>
      </w:r>
    </w:p>
    <w:p>
      <w:pPr>
        <w:pStyle w:val="Heading2"/>
      </w:pPr>
      <w:r>
        <w:t xml:space="preserve">5.3 Congenital Syphilis</w:t>
      </w:r>
    </w:p>
    <w:p>
      <w:pPr>
        <w:spacing w:after="120"/>
      </w:pPr>
      <w:r>
        <w:rPr>
          <w:rFonts w:ascii="Arial" w:cs="Arial" w:eastAsia="Arial" w:hAnsi="Arial"/>
          <w:sz w:val="24"/>
          <w:szCs w:val="24"/>
        </w:rPr>
        <w:t xml:space="preserve">Congenital syphilis is a resurging public health crisis in the United States, with cases increasing by more than 900 percent between 2012 and 2022. The CDC reported over 3,700 cases in 2022, including 282 stillbirths and infant deaths. The increase is driven by rising rates of primary and secondary syphilis in women of reproductive age combined with gaps in prenatal screening and treatment. Congenital syphilis is entirely preventable with adequate maternal screening and treatment with penicillin before delivery.</w:t>
      </w:r>
    </w:p>
    <w:p>
      <w:pPr>
        <w:spacing w:after="120"/>
      </w:pPr>
      <w:r>
        <w:rPr>
          <w:rFonts w:ascii="Arial" w:cs="Arial" w:eastAsia="Arial" w:hAnsi="Arial"/>
          <w:sz w:val="24"/>
          <w:szCs w:val="24"/>
        </w:rPr>
        <w:t xml:space="preserve">Clinical manifestations in the neonate may include hepatosplenomegaly, jaundice, generalized lymphadenopathy, mucocutaneous lesions (snuffles, maculopapular rash involving palms and soles, condylomata lata), anemia, thrombocytopenia, pneumonia alba, osteochondritis and periostitis (metaphyseal lucencies on long bone radiographs), and nonimmune hydrops. However, up to 60 percent of infected newborns are asymptomatic at birth.</w:t>
      </w:r>
    </w:p>
    <w:p>
      <w:pPr>
        <w:spacing w:after="120"/>
      </w:pPr>
      <w:r>
        <w:rPr>
          <w:rFonts w:ascii="Arial" w:cs="Arial" w:eastAsia="Arial" w:hAnsi="Arial"/>
          <w:sz w:val="24"/>
          <w:szCs w:val="24"/>
        </w:rPr>
        <w:t xml:space="preserve">Diagnosis involves maternal and infant serologic testing (RPR/VDRL as screening tests; FTA-ABS/TP-PA as confirmatory tests). Evaluation of the exposed or symptomatic infant includes: quantitative nontreponemal test (RPR), CBC, LFTs, CSF analysis (VDRL, cell count, protein), and long bone radiographs. Treatment is with IV aqueous crystalline penicillin G at 50,000 units/kg/dose IV every 12 hours (for the first 7 days of life) then every 8 hours (for days 8 through 28) for a total of 10 days; or IM procaine penicillin G at 50,000 units/kg as a single daily dose for 10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Any infant born to a mother with reactive syphilis serology requires urgent evaluation. Review maternal treatment records carefully: adequate treatment is defined as completion of an appropriate penicillin regimen at least 30 days before delivery. If maternal treatment was inadequate, absent, unknown, or with a non-penicillin regimen, the infant must be fully evaluated and treated.</w:t>
            </w:r>
          </w:p>
        </w:tc>
      </w:tr>
    </w:tbl>
    <w:p>
      <w:pPr>
        <w:pStyle w:val="Heading2"/>
      </w:pPr>
      <w:r>
        <w:t xml:space="preserve">5.4 Other Congenital Infections</w:t>
      </w:r>
    </w:p>
    <w:p>
      <w:pPr>
        <w:spacing w:after="120"/>
      </w:pPr>
      <w:r>
        <w:rPr>
          <w:rFonts w:ascii="Arial" w:cs="Arial" w:eastAsia="Arial" w:hAnsi="Arial"/>
          <w:sz w:val="24"/>
          <w:szCs w:val="24"/>
        </w:rPr>
        <w:t xml:space="preserve">Congenital toxoplasmosis results from primary maternal Toxoplasma gondii infection during pregnancy. Classic triad: chorioretinitis, hydrocephalus, and diffuse intracranial calcifications. Treatment is with pyrimethamine plus sulfadiazine plus leucovorin for 12 months. Congenital rubella is now rare in the United States due to vaccination but remains important globally. Classic triad: sensorineural hearing loss, congenital heart disease (PDA, pulmonary artery stenosis), and cataracts. Congenital Zika virus infection causes severe microcephaly and other CNS malformations. It is now rare but should be considered in infants born to mothers with travel to endemic areas.</w:t>
      </w:r>
    </w:p>
    <w:p>
      <w:r>
        <w:br w:type="page"/>
      </w:r>
    </w:p>
    <w:p>
      <w:pPr>
        <w:pStyle w:val="Heading1"/>
      </w:pPr>
      <w:r>
        <w:t xml:space="preserve">Chapter 6: Group B Streptococcus Prevention</w:t>
      </w:r>
    </w:p>
    <w:p>
      <w:pPr>
        <w:pStyle w:val="Heading2"/>
      </w:pPr>
      <w:r>
        <w:t xml:space="preserve">6.1 CDC GBS Prevention Guidelines</w:t>
      </w:r>
    </w:p>
    <w:p>
      <w:pPr>
        <w:spacing w:after="120"/>
      </w:pPr>
      <w:r>
        <w:rPr>
          <w:rFonts w:ascii="Arial" w:cs="Arial" w:eastAsia="Arial" w:hAnsi="Arial"/>
          <w:sz w:val="24"/>
          <w:szCs w:val="24"/>
        </w:rPr>
        <w:t xml:space="preserve">The CDC GBS prevention guidelines (most recently updated in the ACOG/AAP 2019 GBS prophylaxis recommendations) recommend universal maternal vaginal-rectal screening for GBS colonization at 36 0/7 to 37 6/7 weeks of gestation. Intrapartum antibiotic prophylaxis (IAP) is indicated for: all GBS-colonized women, women with GBS bacteriuria at any time during the current pregnancy, women with a prior infant with invasive GBS disease, and women with unknown GBS status at the time of delivery if risk factors are present (preterm labor less than 37 weeks, rupture of membranes greater than or equal to 18 hours, or intrapartum temperature greater than or equal to 100.4 degrees Fahrenheit).</w:t>
      </w:r>
    </w:p>
    <w:p>
      <w:pPr>
        <w:spacing w:after="120"/>
      </w:pPr>
      <w:r>
        <w:rPr>
          <w:rFonts w:ascii="Arial" w:cs="Arial" w:eastAsia="Arial" w:hAnsi="Arial"/>
          <w:sz w:val="24"/>
          <w:szCs w:val="24"/>
        </w:rPr>
        <w:t xml:space="preserve">The preferred IAP regimen is IV penicillin G (5 million units initial dose, then 2.5 to 3 million units every 4 hours until delivery). Ampicillin (2 g initial dose, then 1 g every 4 hours) is an acceptable alternative. For penicillin-allergic patients, options depend on the allergy severity and GBS susceptibility testing: cefazolin for low-risk allergy, clindamycin for high-risk allergy if the isolate is susceptible, or vancomycin if clindamycin-resistant.</w:t>
      </w:r>
    </w:p>
    <w:p>
      <w:pPr>
        <w:spacing w:after="120"/>
      </w:pPr>
      <w:r>
        <w:rPr>
          <w:rFonts w:ascii="Arial" w:cs="Arial" w:eastAsia="Arial" w:hAnsi="Arial"/>
          <w:sz w:val="24"/>
          <w:szCs w:val="24"/>
        </w:rPr>
        <w:t xml:space="preserve">IAP is considered adequate if the recommended agent was administered IV at least 4 hours before delivery. The management of the newborn varies depending on the adequacy of IAP, maternal risk factors, gestational age, and the infant's clinical appearance, as outlined in the AAP 2018 EOS clinical report.</w:t>
      </w:r>
    </w:p>
    <w:p>
      <w:r>
        <w:br w:type="page"/>
      </w:r>
    </w:p>
    <w:p>
      <w:pPr>
        <w:pStyle w:val="Heading1"/>
      </w:pPr>
      <w:r>
        <w:t xml:space="preserve">Chapter 7: Late-Onset Sepsis</w:t>
      </w:r>
    </w:p>
    <w:p>
      <w:pPr>
        <w:spacing w:after="120"/>
      </w:pPr>
      <w:r>
        <w:rPr>
          <w:rFonts w:ascii="Arial" w:cs="Arial" w:eastAsia="Arial" w:hAnsi="Arial"/>
          <w:sz w:val="24"/>
          <w:szCs w:val="24"/>
        </w:rPr>
        <w:t xml:space="preserve">Late-onset sepsis (LOS) occurs after 72 hours of life and has a different pathogen spectrum and epidemiology than EOS. In the NICU population, LOS is primarily nosocomial, associated with central venous catheters, prolonged intubation, and TPN exposure. The most common pathogen is coagulase-negative staphylococci (CONS), followed by S. aureus, gram-negative enteric organisms, and Candida species. In the Level II nursery and community setting, LOS is more commonly community-acquired and may present as bacteremia, urinary tract infection, or meningitis.</w:t>
      </w:r>
    </w:p>
    <w:p>
      <w:pPr>
        <w:spacing w:after="120"/>
      </w:pPr>
      <w:r>
        <w:rPr>
          <w:rFonts w:ascii="Arial" w:cs="Arial" w:eastAsia="Arial" w:hAnsi="Arial"/>
          <w:sz w:val="24"/>
          <w:szCs w:val="24"/>
        </w:rPr>
        <w:t xml:space="preserve">Late-onset GBS disease is an important cause of meningitis in the first 3 months of life and is NOT prevented by intrapartum antibiotic prophylaxis (which only prevents early-onset GBS disease). Presentation typically includes fever, irritability, poor feeding, and signs of meningitis (bulging fontanelle, seizures, altered level of consciousness). Urine culture (obtained by catheterization or suprapubic aspiration, not bag specimens) should be included in the evaluation of LOS, as UTI is a common cause of fever in neonates beyond 72 hours.</w:t>
      </w:r>
    </w:p>
    <w:p>
      <w:pPr>
        <w:spacing w:after="120"/>
      </w:pPr>
      <w:r>
        <w:rPr>
          <w:rFonts w:ascii="Arial" w:cs="Arial" w:eastAsia="Arial" w:hAnsi="Arial"/>
          <w:sz w:val="24"/>
          <w:szCs w:val="24"/>
        </w:rPr>
        <w:t xml:space="preserve">Empirical antibiotic therapy for suspected LOS in the NICU typically includes vancomycin (for CONS and MRSA coverage) plus an aminoglycoside or third-generation cephalosporin (for gram-negative coverage). In the well-baby nursery or community setting, ampicillin plus gentamicin or a third-generation cephalosporin is appropriate for initial coverage, with modification based on culture results.</w:t>
      </w:r>
    </w:p>
    <w:p>
      <w:r>
        <w:br w:type="page"/>
      </w:r>
    </w:p>
    <w:p>
      <w:pPr>
        <w:pStyle w:val="Heading1"/>
      </w:pPr>
      <w:r>
        <w:t xml:space="preserve">Chapter 8: Special Populations</w:t>
      </w:r>
    </w:p>
    <w:p>
      <w:pPr>
        <w:pStyle w:val="Heading2"/>
      </w:pPr>
      <w:r>
        <w:t xml:space="preserve">8.1 Late Preterm Infants (34-36+6 Weeks)</w:t>
      </w:r>
    </w:p>
    <w:p>
      <w:pPr>
        <w:spacing w:after="120"/>
      </w:pPr>
      <w:r>
        <w:rPr>
          <w:rFonts w:ascii="Arial" w:cs="Arial" w:eastAsia="Arial" w:hAnsi="Arial"/>
          <w:sz w:val="24"/>
          <w:szCs w:val="24"/>
        </w:rPr>
        <w:t xml:space="preserve">Late preterm infants are at higher risk for EOS than term infants due to maternal factors (preterm labor is itself a risk factor for infection) and their relatively immature immune systems. They are also more likely to present with respiratory distress that mimics sepsis (TTN, RDS). The EOS Risk Calculator is valid for use in infants born at 35 or more weeks of gestation and can be particularly useful in this population. Late preterm infants may also have prolonged nursery stays that increase opportunities for late-onset nosocomial infections.</w:t>
      </w:r>
    </w:p>
    <w:p>
      <w:pPr>
        <w:pStyle w:val="Heading2"/>
      </w:pPr>
      <w:r>
        <w:t xml:space="preserve">8.2 Infants of Mothers with Chorioamnionitis</w:t>
      </w:r>
    </w:p>
    <w:p>
      <w:pPr>
        <w:spacing w:after="120"/>
      </w:pPr>
      <w:r>
        <w:rPr>
          <w:rFonts w:ascii="Arial" w:cs="Arial" w:eastAsia="Arial" w:hAnsi="Arial"/>
          <w:sz w:val="24"/>
          <w:szCs w:val="24"/>
        </w:rPr>
        <w:t xml:space="preserve">The 2017 ACOG Committee Opinion redefined chorioamnionitis as intraamniotic infection (confirmed by amniocentesis) versus suspected intraamniotic infection (previously called clinical chorioamnionitis, now termed isolated maternal fever if fever is the only criterion). This distinction is clinically important: isolated maternal fever without other criteria for intraamniotic infection (such as maternal tachycardia, fetal tachycardia, uterine tenderness, purulent amniotic fluid) carries a lower risk of neonatal infection than confirmed intraamniotic infection with multiple clinical features. Both the categorical risk assessment and the EOS calculator incorporate maternal temperature as a variable.</w:t>
      </w:r>
    </w:p>
    <w:p>
      <w:pPr>
        <w:pStyle w:val="Heading2"/>
      </w:pPr>
      <w:r>
        <w:t xml:space="preserve">8.3 Maternal Viral Infections Relevant to the Newborn</w:t>
      </w:r>
    </w:p>
    <w:p>
      <w:pPr>
        <w:spacing w:after="120"/>
      </w:pPr>
      <w:r>
        <w:rPr>
          <w:rFonts w:ascii="Arial" w:cs="Arial" w:eastAsia="Arial" w:hAnsi="Arial"/>
          <w:sz w:val="24"/>
          <w:szCs w:val="24"/>
        </w:rPr>
        <w:t xml:space="preserve">Beyond TORCH infections, several maternal viral infections have implications for the newborn. Maternal hepatitis B: All infants born to HBsAg-positive mothers should receive hepatitis B immune globulin (HBIG) plus the first dose of hepatitis B vaccine within 12 hours of birth. Maternal HIV: With appropriate antiretroviral therapy and viral suppression, the risk of vertical transmission is less than 1 percent. Neonatal ARV prophylaxis is initiated within 6 hours of birth. Maternal varicella: Peripartum varicella (onset 5 days before to 2 days after delivery) is associated with severe neonatal varicella; VariZIG (varicella-zoster immune globulin) should be administered to the neonate. COVID-19: Current evidence suggests low rates of vertical transmission; standard infection prevention precautions apply.</w:t>
      </w:r>
    </w:p>
    <w:p>
      <w:r>
        <w:br w:type="page"/>
      </w:r>
    </w:p>
    <w:p>
      <w:pPr>
        <w:pStyle w:val="Heading1"/>
      </w:pPr>
      <w:r>
        <w:t xml:space="preserve">Chapter 9: Transport and Escalation</w:t>
      </w:r>
    </w:p>
    <w:p>
      <w:pPr>
        <w:pStyle w:val="Heading2"/>
      </w:pPr>
      <w:r>
        <w:t xml:space="preserve">9.1 Transfer Criteria</w:t>
      </w:r>
    </w:p>
    <w:p>
      <w:pPr>
        <w:pStyle w:val="ListParagraph"/>
        <w:numPr>
          <w:ilvl w:val="0"/>
          <w:numId w:val="2"/>
        </w:numPr>
        <w:spacing w:after="60"/>
      </w:pPr>
      <w:r>
        <w:rPr>
          <w:rFonts w:ascii="Arial" w:cs="Arial" w:eastAsia="Arial" w:hAnsi="Arial"/>
          <w:sz w:val="24"/>
          <w:szCs w:val="24"/>
        </w:rPr>
        <w:t xml:space="preserve">Hemodynamic instability unresponsive to fluid resuscitation and requiring vasopressor support</w:t>
      </w:r>
    </w:p>
    <w:p>
      <w:pPr>
        <w:pStyle w:val="ListParagraph"/>
        <w:numPr>
          <w:ilvl w:val="0"/>
          <w:numId w:val="2"/>
        </w:numPr>
        <w:spacing w:after="60"/>
      </w:pPr>
      <w:r>
        <w:rPr>
          <w:rFonts w:ascii="Arial" w:cs="Arial" w:eastAsia="Arial" w:hAnsi="Arial"/>
          <w:sz w:val="24"/>
          <w:szCs w:val="24"/>
        </w:rPr>
        <w:t xml:space="preserve">Suspected or confirmed meningitis (CSF pleocytosis, positive Gram stain, or positive CSF culture)</w:t>
      </w:r>
    </w:p>
    <w:p>
      <w:pPr>
        <w:pStyle w:val="ListParagraph"/>
        <w:numPr>
          <w:ilvl w:val="0"/>
          <w:numId w:val="2"/>
        </w:numPr>
        <w:spacing w:after="60"/>
      </w:pPr>
      <w:r>
        <w:rPr>
          <w:rFonts w:ascii="Arial" w:cs="Arial" w:eastAsia="Arial" w:hAnsi="Arial"/>
          <w:sz w:val="24"/>
          <w:szCs w:val="24"/>
        </w:rPr>
        <w:t xml:space="preserve">Suspected neonatal HSV (vesicular rash with systemic illness, sepsis-like picture with negative bacterial cultures and elevated ALT, seizures)</w:t>
      </w:r>
    </w:p>
    <w:p>
      <w:pPr>
        <w:pStyle w:val="ListParagraph"/>
        <w:numPr>
          <w:ilvl w:val="0"/>
          <w:numId w:val="2"/>
        </w:numPr>
        <w:spacing w:after="60"/>
      </w:pPr>
      <w:r>
        <w:rPr>
          <w:rFonts w:ascii="Arial" w:cs="Arial" w:eastAsia="Arial" w:hAnsi="Arial"/>
          <w:sz w:val="24"/>
          <w:szCs w:val="24"/>
        </w:rPr>
        <w:t xml:space="preserve">Suspected disseminated viral infection (HSV, enterovirus) with multiorgan involvement</w:t>
      </w:r>
    </w:p>
    <w:p>
      <w:pPr>
        <w:pStyle w:val="ListParagraph"/>
        <w:numPr>
          <w:ilvl w:val="0"/>
          <w:numId w:val="2"/>
        </w:numPr>
        <w:spacing w:after="60"/>
      </w:pPr>
      <w:r>
        <w:rPr>
          <w:rFonts w:ascii="Arial" w:cs="Arial" w:eastAsia="Arial" w:hAnsi="Arial"/>
          <w:sz w:val="24"/>
          <w:szCs w:val="24"/>
        </w:rPr>
        <w:t xml:space="preserve">Confirmed or suspected congenital syphilis with neurologic involvement or inadequate maternal treatment</w:t>
      </w:r>
    </w:p>
    <w:p>
      <w:pPr>
        <w:pStyle w:val="ListParagraph"/>
        <w:numPr>
          <w:ilvl w:val="0"/>
          <w:numId w:val="2"/>
        </w:numPr>
        <w:spacing w:after="60"/>
      </w:pPr>
      <w:r>
        <w:rPr>
          <w:rFonts w:ascii="Arial" w:cs="Arial" w:eastAsia="Arial" w:hAnsi="Arial"/>
          <w:sz w:val="24"/>
          <w:szCs w:val="24"/>
        </w:rPr>
        <w:t xml:space="preserve">Fungal sepsis (Candida) in a critically ill neonate</w:t>
      </w:r>
    </w:p>
    <w:p>
      <w:pPr>
        <w:pStyle w:val="ListParagraph"/>
        <w:numPr>
          <w:ilvl w:val="0"/>
          <w:numId w:val="2"/>
        </w:numPr>
        <w:spacing w:after="60"/>
      </w:pPr>
      <w:r>
        <w:rPr>
          <w:rFonts w:ascii="Arial" w:cs="Arial" w:eastAsia="Arial" w:hAnsi="Arial"/>
          <w:sz w:val="24"/>
          <w:szCs w:val="24"/>
        </w:rPr>
        <w:t xml:space="preserve">Any neonate requiring care beyond the facility's level of designation</w:t>
      </w:r>
    </w:p>
    <w:p>
      <w:pPr>
        <w:pStyle w:val="Heading2"/>
      </w:pPr>
      <w:r>
        <w:t xml:space="preserve">9.2 Stabilization Before Transport</w:t>
      </w:r>
    </w:p>
    <w:p>
      <w:pPr>
        <w:pStyle w:val="ListParagraph"/>
        <w:numPr>
          <w:ilvl w:val="0"/>
          <w:numId w:val="3"/>
        </w:numPr>
        <w:spacing w:after="60"/>
      </w:pPr>
      <w:r>
        <w:rPr>
          <w:rFonts w:ascii="Arial" w:cs="Arial" w:eastAsia="Arial" w:hAnsi="Arial"/>
          <w:sz w:val="24"/>
          <w:szCs w:val="24"/>
        </w:rPr>
        <w:t xml:space="preserve">Secure IV access (preferably two sites) and begin appropriate antibiotics immediately</w:t>
      </w:r>
    </w:p>
    <w:p>
      <w:pPr>
        <w:pStyle w:val="ListParagraph"/>
        <w:numPr>
          <w:ilvl w:val="0"/>
          <w:numId w:val="3"/>
        </w:numPr>
        <w:spacing w:after="60"/>
      </w:pPr>
      <w:r>
        <w:rPr>
          <w:rFonts w:ascii="Arial" w:cs="Arial" w:eastAsia="Arial" w:hAnsi="Arial"/>
          <w:sz w:val="24"/>
          <w:szCs w:val="24"/>
        </w:rPr>
        <w:t xml:space="preserve">Initiate fluid resuscitation: NS 10-20 mL/kg bolus PRN for hypotension; maintenance IV fluids</w:t>
      </w:r>
    </w:p>
    <w:p>
      <w:pPr>
        <w:pStyle w:val="ListParagraph"/>
        <w:numPr>
          <w:ilvl w:val="0"/>
          <w:numId w:val="3"/>
        </w:numPr>
        <w:spacing w:after="60"/>
      </w:pPr>
      <w:r>
        <w:rPr>
          <w:rFonts w:ascii="Arial" w:cs="Arial" w:eastAsia="Arial" w:hAnsi="Arial"/>
          <w:sz w:val="24"/>
          <w:szCs w:val="24"/>
        </w:rPr>
        <w:t xml:space="preserve">If HSV suspected: start IV acyclovir 20 mg/kg/dose q8h before transfer</w:t>
      </w:r>
    </w:p>
    <w:p>
      <w:pPr>
        <w:pStyle w:val="ListParagraph"/>
        <w:numPr>
          <w:ilvl w:val="0"/>
          <w:numId w:val="3"/>
        </w:numPr>
        <w:spacing w:after="60"/>
      </w:pPr>
      <w:r>
        <w:rPr>
          <w:rFonts w:ascii="Arial" w:cs="Arial" w:eastAsia="Arial" w:hAnsi="Arial"/>
          <w:sz w:val="24"/>
          <w:szCs w:val="24"/>
        </w:rPr>
        <w:t xml:space="preserve">Respiratory support as needed: supplemental O2, CPAP, or intubation/mechanical ventilation</w:t>
      </w:r>
    </w:p>
    <w:p>
      <w:pPr>
        <w:pStyle w:val="ListParagraph"/>
        <w:numPr>
          <w:ilvl w:val="0"/>
          <w:numId w:val="3"/>
        </w:numPr>
        <w:spacing w:after="60"/>
      </w:pPr>
      <w:r>
        <w:rPr>
          <w:rFonts w:ascii="Arial" w:cs="Arial" w:eastAsia="Arial" w:hAnsi="Arial"/>
          <w:sz w:val="24"/>
          <w:szCs w:val="24"/>
        </w:rPr>
        <w:t xml:space="preserve">Obtain blood culture, CBC, CRP, blood gas, glucose, hepatic panel, and CSF (if stable for LP) BEFORE antibiotics if possible, but do not delay antibiotics for testing</w:t>
      </w:r>
    </w:p>
    <w:p>
      <w:pPr>
        <w:pStyle w:val="ListParagraph"/>
        <w:numPr>
          <w:ilvl w:val="0"/>
          <w:numId w:val="3"/>
        </w:numPr>
        <w:spacing w:after="60"/>
      </w:pPr>
      <w:r>
        <w:rPr>
          <w:rFonts w:ascii="Arial" w:cs="Arial" w:eastAsia="Arial" w:hAnsi="Arial"/>
          <w:sz w:val="24"/>
          <w:szCs w:val="24"/>
        </w:rPr>
        <w:t xml:space="preserve">Continuous cardiorespiratory monitoring with pulse oximetry</w:t>
      </w:r>
    </w:p>
    <w:p>
      <w:pPr>
        <w:pStyle w:val="ListParagraph"/>
        <w:numPr>
          <w:ilvl w:val="0"/>
          <w:numId w:val="3"/>
        </w:numPr>
        <w:spacing w:after="60"/>
      </w:pPr>
      <w:r>
        <w:rPr>
          <w:rFonts w:ascii="Arial" w:cs="Arial" w:eastAsia="Arial" w:hAnsi="Arial"/>
          <w:sz w:val="24"/>
          <w:szCs w:val="24"/>
        </w:rPr>
        <w:t xml:space="preserve">Thermoregulation: maintain normothermia</w:t>
      </w:r>
    </w:p>
    <w:p>
      <w:pPr>
        <w:pStyle w:val="ListParagraph"/>
        <w:numPr>
          <w:ilvl w:val="0"/>
          <w:numId w:val="3"/>
        </w:numPr>
        <w:spacing w:after="60"/>
      </w:pPr>
      <w:r>
        <w:rPr>
          <w:rFonts w:ascii="Arial" w:cs="Arial" w:eastAsia="Arial" w:hAnsi="Arial"/>
          <w:sz w:val="24"/>
          <w:szCs w:val="24"/>
        </w:rPr>
        <w:t xml:space="preserve">SBAR communication with receiving NICU</w:t>
      </w:r>
    </w:p>
    <w:p>
      <w:r>
        <w:br w:type="page"/>
      </w:r>
    </w:p>
    <w:p>
      <w:pPr>
        <w:pStyle w:val="Heading1"/>
      </w:pPr>
      <w:r>
        <w:t xml:space="preserve">Chapter 10: Case Studies</w:t>
      </w:r>
    </w:p>
    <w:p>
      <w:pPr>
        <w:pStyle w:val="Heading2"/>
      </w:pPr>
      <w:r>
        <w:t xml:space="preserve">Case 1: Maternal GBS Positive, Well-Appearing Term Infant</w:t>
      </w:r>
    </w:p>
    <w:p>
      <w:pPr>
        <w:spacing w:after="120"/>
      </w:pPr>
      <w:r>
        <w:rPr>
          <w:rFonts w:ascii="Arial" w:cs="Arial" w:eastAsia="Arial" w:hAnsi="Arial"/>
          <w:sz w:val="24"/>
          <w:szCs w:val="24"/>
        </w:rPr>
        <w:t xml:space="preserve">A 39-week male infant is born via spontaneous vaginal delivery to a GBS-positive mother. The mother received two doses of IV penicillin starting 6 hours before delivery (IAP considered adequate). The infant is well-appearing at birth with Apgar scores of 8 and 9. He is vigorous, feeding well, and vitals are normal at 2 hours of life.</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was born to a GBS-positive mother who received adequate IAP. Per the AAP 2018 guidelines, a well-appearing infant of any gestational age at 35 weeks or more with adequate maternal IAP can be observed with routine care. No blood culture, CBC, or empirical antibiotics are indicated. The infant should be observed in the nursery for a minimum of 48 hours with standard vital sign monitoring. If at any time clinical signs develop (respiratory distress, temperature instability, poor feeding, lethargy), a full sepsis evaluation should be performed and empirical antibiotics started. The key teaching point is that adequate IAP in a well-appearing infant permits observation without laboratory testing or treatment.</w:t>
      </w:r>
    </w:p>
    <w:p>
      <w:pPr>
        <w:pStyle w:val="Heading2"/>
      </w:pPr>
      <w:r>
        <w:t xml:space="preserve">Case 2: Vesicular Rash at 10 Days of Life</w:t>
      </w:r>
    </w:p>
    <w:p>
      <w:pPr>
        <w:spacing w:after="120"/>
      </w:pPr>
      <w:r>
        <w:rPr>
          <w:rFonts w:ascii="Arial" w:cs="Arial" w:eastAsia="Arial" w:hAnsi="Arial"/>
          <w:sz w:val="24"/>
          <w:szCs w:val="24"/>
        </w:rPr>
        <w:t xml:space="preserve">A 10-day-old term female infant presents to the rural ED with a cluster of vesicular lesions on her scalp and forehead. The mother reports the infant has been slightly fussier than usual but is still feeding. Temperature is 37.9 degrees Celsius. The infant appears alert and active but has intermittent tremulousness. There is no maternal history of genital herpes. The mother had a cold sore on her lip 1 week ago.</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infant has vesicular skin lesions in the setting of a maternal oral herpes outbreak, raising immediate concern for neonatal HSV. Even though the infant appears relatively well, HSV can progress rapidly from SEM disease to CNS or disseminated disease. The provider should: (1) obtain surface swabs (vesicle fluid, conjunctivae, nasopharynx, rectum) for HSV PCR and culture; (2) obtain blood for HSV DNA PCR and CBC, CMP, hepatic panel; (3) perform a lumbar puncture for CSF cell count, glucose, protein, and HSV DNA PCR; (4) start IV acyclovir 20 mg/kg/dose every 8 hours immediately; (5) arrange transfer to a center with pediatric infectious disease capability. The tremulousness may represent early CNS involvement. Do not wait for PCR results before starting acyclovir. The teaching points are: neonatal HSV can be acquired from oral herpes contacts, vesicular lesions should be unroofed for direct viral testing, and empiric acyclovir must not be delayed.</w:t>
      </w:r>
    </w:p>
    <w:p>
      <w:pPr>
        <w:pStyle w:val="Heading2"/>
      </w:pPr>
      <w:r>
        <w:t xml:space="preserve">Case 3: Sepsis-Like Illness in a 3-Week-Old with Maternal Syphilis History</w:t>
      </w:r>
    </w:p>
    <w:p>
      <w:pPr>
        <w:spacing w:after="120"/>
      </w:pPr>
      <w:r>
        <w:rPr>
          <w:rFonts w:ascii="Arial" w:cs="Arial" w:eastAsia="Arial" w:hAnsi="Arial"/>
          <w:sz w:val="24"/>
          <w:szCs w:val="24"/>
        </w:rPr>
        <w:t xml:space="preserve">A 3-week-old term male infant presents with poor feeding, lethargy, and a diffuse maculopapular rash on his trunk, palms, and soles. The mother's prenatal records are unavailable but she reports she was told she had a positive blood test at her first prenatal visit and received one injection. The infant has hepatomegaly on exam. Labs reveal anemia (Hgb 9.2), thrombocytopenia (platelets 62,000), and elevated direct bilirubin (4.8 mg/dL). RPR is reactive at 1:64.</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presentation is classic for congenital syphilis. The rash distribution (including palms and soles), hepatomegaly, anemia, thrombocytopenia, cholestasis, and high RPR titer in a symptomatic infant with questionable maternal treatment are diagnostic. One injection may represent a single dose of benzathine penicillin G, which is inadequate treatment if maternal syphilis was late latent or of unknown duration (which requires 3 weekly injections). The provider should: obtain a CSF analysis (VDRL, cell count, protein), long bone radiographs, ophthalmology evaluation, and audiology evaluation; start IV aqueous crystalline penicillin G at 50,000 units/kg/dose every 12 hours for the first 7 days of life or every 8 hours thereafter for a total of 10 days; and report to the local health department. Transfer to a center with pediatric infectious disease is recommended for ongoing management.</w:t>
      </w:r>
    </w:p>
    <w:p>
      <w:r>
        <w:br w:type="page"/>
      </w:r>
    </w:p>
    <w:p>
      <w:pPr>
        <w:pStyle w:val="Heading1"/>
      </w:pPr>
      <w:r>
        <w:t xml:space="preserve">Chapter 11: Summary and Key Takeaways</w:t>
      </w:r>
    </w:p>
    <w:p>
      <w:pPr>
        <w:pStyle w:val="ListParagraph"/>
        <w:numPr>
          <w:ilvl w:val="0"/>
          <w:numId w:val="2"/>
        </w:numPr>
        <w:spacing w:after="60"/>
      </w:pPr>
      <w:r>
        <w:rPr>
          <w:rFonts w:ascii="Arial" w:cs="Arial" w:eastAsia="Arial" w:hAnsi="Arial"/>
          <w:sz w:val="24"/>
          <w:szCs w:val="24"/>
        </w:rPr>
        <w:t xml:space="preserve">EOS incidence is approximately 0.5/1,000 in term infants. GBS and E. coli are the leading pathogens. Empirical therapy is ampicillin plus gentamicin.</w:t>
      </w:r>
    </w:p>
    <w:p>
      <w:pPr>
        <w:pStyle w:val="ListParagraph"/>
        <w:numPr>
          <w:ilvl w:val="0"/>
          <w:numId w:val="2"/>
        </w:numPr>
        <w:spacing w:after="60"/>
      </w:pPr>
      <w:r>
        <w:rPr>
          <w:rFonts w:ascii="Arial" w:cs="Arial" w:eastAsia="Arial" w:hAnsi="Arial"/>
          <w:sz w:val="24"/>
          <w:szCs w:val="24"/>
        </w:rPr>
        <w:t xml:space="preserve">Three AAP-endorsed approaches exist for EOS risk assessment in infants born at 35+ weeks: categorical, EOS calculator, and enhanced observation. Choose based on your facility's resources.</w:t>
      </w:r>
    </w:p>
    <w:p>
      <w:pPr>
        <w:pStyle w:val="ListParagraph"/>
        <w:numPr>
          <w:ilvl w:val="0"/>
          <w:numId w:val="2"/>
        </w:numPr>
        <w:spacing w:after="60"/>
      </w:pPr>
      <w:r>
        <w:rPr>
          <w:rFonts w:ascii="Arial" w:cs="Arial" w:eastAsia="Arial" w:hAnsi="Arial"/>
          <w:sz w:val="24"/>
          <w:szCs w:val="24"/>
        </w:rPr>
        <w:t xml:space="preserve">Discontinue empirical antibiotics at 36-48 hours if blood cultures are negative and the infant is clinically well. Prolonged empirical antibiotics with negative cultures cause harm.</w:t>
      </w:r>
    </w:p>
    <w:p>
      <w:pPr>
        <w:pStyle w:val="ListParagraph"/>
        <w:numPr>
          <w:ilvl w:val="0"/>
          <w:numId w:val="2"/>
        </w:numPr>
        <w:spacing w:after="60"/>
      </w:pPr>
      <w:r>
        <w:rPr>
          <w:rFonts w:ascii="Arial" w:cs="Arial" w:eastAsia="Arial" w:hAnsi="Arial"/>
          <w:sz w:val="24"/>
          <w:szCs w:val="24"/>
        </w:rPr>
        <w:t xml:space="preserve">Neonatal HSV is a medical emergency. It can present WITHOUT vesicles. Disseminated HSV mimics bacterial sepsis. Start IV acyclovir (20 mg/kg q8h) empirically when HSV is suspected. Do not wait for PCR results.</w:t>
      </w:r>
    </w:p>
    <w:p>
      <w:pPr>
        <w:pStyle w:val="ListParagraph"/>
        <w:numPr>
          <w:ilvl w:val="0"/>
          <w:numId w:val="2"/>
        </w:numPr>
        <w:spacing w:after="60"/>
      </w:pPr>
      <w:r>
        <w:rPr>
          <w:rFonts w:ascii="Arial" w:cs="Arial" w:eastAsia="Arial" w:hAnsi="Arial"/>
          <w:sz w:val="24"/>
          <w:szCs w:val="24"/>
        </w:rPr>
        <w:t xml:space="preserve">Congenital CMV is the most common congenital viral infection and the leading non-genetic cause of sensorineural hearing loss. Diagnose with urine or saliva CMV PCR within the first 21 days of life.</w:t>
      </w:r>
    </w:p>
    <w:p>
      <w:pPr>
        <w:pStyle w:val="ListParagraph"/>
        <w:numPr>
          <w:ilvl w:val="0"/>
          <w:numId w:val="2"/>
        </w:numPr>
        <w:spacing w:after="60"/>
      </w:pPr>
      <w:r>
        <w:rPr>
          <w:rFonts w:ascii="Arial" w:cs="Arial" w:eastAsia="Arial" w:hAnsi="Arial"/>
          <w:sz w:val="24"/>
          <w:szCs w:val="24"/>
        </w:rPr>
        <w:t xml:space="preserve">Congenital syphilis is surging in the US. It is 100% preventable with adequate prenatal screening and penicillin treatment. Every infant born to a mother with reactive syphilis serology needs evaluation.</w:t>
      </w:r>
    </w:p>
    <w:p>
      <w:pPr>
        <w:pStyle w:val="ListParagraph"/>
        <w:numPr>
          <w:ilvl w:val="0"/>
          <w:numId w:val="2"/>
        </w:numPr>
        <w:spacing w:after="60"/>
      </w:pPr>
      <w:r>
        <w:rPr>
          <w:rFonts w:ascii="Arial" w:cs="Arial" w:eastAsia="Arial" w:hAnsi="Arial"/>
          <w:sz w:val="24"/>
          <w:szCs w:val="24"/>
        </w:rPr>
        <w:t xml:space="preserve">Maternal GBS colonization with adequate IAP in a well-appearing term infant allows routine observation without laboratory testing or antibiotics.</w:t>
      </w:r>
    </w:p>
    <w:p>
      <w:pPr>
        <w:pStyle w:val="ListParagraph"/>
        <w:numPr>
          <w:ilvl w:val="0"/>
          <w:numId w:val="2"/>
        </w:numPr>
        <w:spacing w:after="60"/>
      </w:pPr>
      <w:r>
        <w:rPr>
          <w:rFonts w:ascii="Arial" w:cs="Arial" w:eastAsia="Arial" w:hAnsi="Arial"/>
          <w:sz w:val="24"/>
          <w:szCs w:val="24"/>
        </w:rPr>
        <w:t xml:space="preserve">All infants born to HBsAg-positive mothers must receive HBIG plus hepatitis B vaccine within 12 hours of birth.</w:t>
      </w:r>
    </w:p>
    <w:p>
      <w:pPr>
        <w:pStyle w:val="ListParagraph"/>
        <w:numPr>
          <w:ilvl w:val="0"/>
          <w:numId w:val="2"/>
        </w:numPr>
        <w:spacing w:after="60"/>
      </w:pPr>
      <w:r>
        <w:rPr>
          <w:rFonts w:ascii="Arial" w:cs="Arial" w:eastAsia="Arial" w:hAnsi="Arial"/>
          <w:sz w:val="24"/>
          <w:szCs w:val="24"/>
        </w:rPr>
        <w:t xml:space="preserve">In the rural nursery: recognize the patterns, start empiric therapy quickly, obtain appropriate cultures, and transfer when the condition exceeds your level of care.</w:t>
      </w:r>
    </w:p>
    <w:p>
      <w:r>
        <w:br w:type="page"/>
      </w:r>
    </w:p>
    <w:p>
      <w:pPr>
        <w:pStyle w:val="Heading1"/>
      </w:pPr>
      <w:r>
        <w:t xml:space="preserve">References</w:t>
      </w:r>
    </w:p>
    <w:p>
      <w:pPr>
        <w:spacing w:after="120"/>
      </w:pPr>
      <w:r>
        <w:rPr>
          <w:rFonts w:ascii="Arial" w:cs="Arial" w:eastAsia="Arial" w:hAnsi="Arial"/>
          <w:sz w:val="24"/>
          <w:szCs w:val="24"/>
        </w:rPr>
        <w:t xml:space="preserve">1. Puopolo KM, Benitz WE, Zaoutis TE; Committee on Fetus and Newborn; Committee on Infectious Diseases. Management of Neonates Born at &gt;=35 0/7 Weeks' Gestation With Suspected or Proven Early-Onset Bacterial Sepsis. Pediatrics. 2018;142(6):e20182894. doi:10.1542/peds.2018-2894</w:t>
      </w:r>
    </w:p>
    <w:p>
      <w:pPr>
        <w:spacing w:after="120"/>
      </w:pPr>
      <w:r>
        <w:rPr>
          <w:rFonts w:ascii="Arial" w:cs="Arial" w:eastAsia="Arial" w:hAnsi="Arial"/>
          <w:sz w:val="24"/>
          <w:szCs w:val="24"/>
        </w:rPr>
        <w:t xml:space="preserve">2. Puopolo KM, Benitz WE, Zaoutis TE; Committee on Fetus and Newborn; Committee on Infectious Diseases. Management of Neonates Born at &lt;34 6/7 Weeks' Gestation With Suspected or Proven Early-Onset Bacterial Sepsis. Pediatrics. 2018;142(6):e20182896. doi:10.1542/peds.2018-2896</w:t>
      </w:r>
    </w:p>
    <w:p>
      <w:pPr>
        <w:spacing w:after="120"/>
      </w:pPr>
      <w:r>
        <w:rPr>
          <w:rFonts w:ascii="Arial" w:cs="Arial" w:eastAsia="Arial" w:hAnsi="Arial"/>
          <w:sz w:val="24"/>
          <w:szCs w:val="24"/>
        </w:rPr>
        <w:t xml:space="preserve">3. Kuzniewicz MW, Escobar GJ, Forquer H, et al. Update to the Neonatal Early-Onset Sepsis Calculator Utilizing a Contemporary Cohort. Pediatrics. 2024;154(4):e2023065267. doi:10.1542/peds.2023-065267</w:t>
      </w:r>
    </w:p>
    <w:p>
      <w:pPr>
        <w:spacing w:after="120"/>
      </w:pPr>
      <w:r>
        <w:rPr>
          <w:rFonts w:ascii="Arial" w:cs="Arial" w:eastAsia="Arial" w:hAnsi="Arial"/>
          <w:sz w:val="24"/>
          <w:szCs w:val="24"/>
        </w:rPr>
        <w:t xml:space="preserve">4. Verani JR, McGee L, Schrag SJ; CDC. Prevention of Perinatal Group B Streptococcal Disease: Revised Guidelines from CDC, 2010. MMWR Recomm Rep. 2010;59(RR-10):1-36.</w:t>
      </w:r>
    </w:p>
    <w:p>
      <w:pPr>
        <w:spacing w:after="120"/>
      </w:pPr>
      <w:r>
        <w:rPr>
          <w:rFonts w:ascii="Arial" w:cs="Arial" w:eastAsia="Arial" w:hAnsi="Arial"/>
          <w:sz w:val="24"/>
          <w:szCs w:val="24"/>
        </w:rPr>
        <w:t xml:space="preserve">5. Kimberlin DW, Baley J; Committee on Infectious Diseases; Committee on Fetus and Newborn. Guidance on Management of Asymptomatic Neonates Born to Women With Active Genital Herpes Lesions. Pediatrics. 2013;131(2):e635-e646. doi:10.1542/peds.2012-3216</w:t>
      </w:r>
    </w:p>
    <w:p>
      <w:pPr>
        <w:spacing w:after="120"/>
      </w:pPr>
      <w:r>
        <w:rPr>
          <w:rFonts w:ascii="Arial" w:cs="Arial" w:eastAsia="Arial" w:hAnsi="Arial"/>
          <w:sz w:val="24"/>
          <w:szCs w:val="24"/>
        </w:rPr>
        <w:t xml:space="preserve">6. Kimberlin DW, Whitley RJ, Wan W, et al. Oral Acyclovir Suppression and Neurodevelopment After Neonatal Herpes. N Engl J Med. 2011;365(14):1284-1292. doi:10.1056/NEJMoa1003509</w:t>
      </w:r>
    </w:p>
    <w:p>
      <w:pPr>
        <w:spacing w:after="120"/>
      </w:pPr>
      <w:r>
        <w:rPr>
          <w:rFonts w:ascii="Arial" w:cs="Arial" w:eastAsia="Arial" w:hAnsi="Arial"/>
          <w:sz w:val="24"/>
          <w:szCs w:val="24"/>
        </w:rPr>
        <w:t xml:space="preserve">7. Kimberlin DW, Lin CY, Jacobs RF, et al. Safety and Efficacy of High-Dose Intravenous Acyclovir in the Management of Neonatal Herpes Simplex Virus Infections. Pediatrics. 2001;108(2):230-238.</w:t>
      </w:r>
    </w:p>
    <w:p>
      <w:pPr>
        <w:spacing w:after="120"/>
      </w:pPr>
      <w:r>
        <w:rPr>
          <w:rFonts w:ascii="Arial" w:cs="Arial" w:eastAsia="Arial" w:hAnsi="Arial"/>
          <w:sz w:val="24"/>
          <w:szCs w:val="24"/>
        </w:rPr>
        <w:t xml:space="preserve">8. Briggs-Steinberg C, Roth P. Early-Onset Sepsis in Newborns. Pediatr Rev. 2023;44(1):14-22. doi:10.1542/pir.2020-001164</w:t>
      </w:r>
    </w:p>
    <w:p>
      <w:pPr>
        <w:spacing w:after="120"/>
      </w:pPr>
      <w:r>
        <w:rPr>
          <w:rFonts w:ascii="Arial" w:cs="Arial" w:eastAsia="Arial" w:hAnsi="Arial"/>
          <w:sz w:val="24"/>
          <w:szCs w:val="24"/>
        </w:rPr>
        <w:t xml:space="preserve">9. Stoll BJ, Puopolo KM, Hansen NI, et al. Early-Onset Neonatal Sepsis 2015 to 2017, the Rise of Escherichia coli, and the Need for Novel Prevention Strategies. JAMA Pediatr. 2020;174(7):e200593.</w:t>
      </w:r>
    </w:p>
    <w:p>
      <w:pPr>
        <w:spacing w:after="120"/>
      </w:pPr>
      <w:r>
        <w:rPr>
          <w:rFonts w:ascii="Arial" w:cs="Arial" w:eastAsia="Arial" w:hAnsi="Arial"/>
          <w:sz w:val="24"/>
          <w:szCs w:val="24"/>
        </w:rPr>
        <w:t xml:space="preserve">10. Rawlinson WD, Boppana SB, Fowler KB, et al. Congenital Cytomegalovirus Infection in Pregnancy and the Neonate: Consensus Recommendations. Lancet Infect Dis. 2017;17(6):e177-e188.</w:t>
      </w:r>
    </w:p>
    <w:p>
      <w:pPr>
        <w:spacing w:after="120"/>
      </w:pPr>
      <w:r>
        <w:rPr>
          <w:rFonts w:ascii="Arial" w:cs="Arial" w:eastAsia="Arial" w:hAnsi="Arial"/>
          <w:sz w:val="24"/>
          <w:szCs w:val="24"/>
        </w:rPr>
        <w:t xml:space="preserve">11. Kimberlin DW, Jester PM, Sanchez PJ, et al; NIAID CASG. Valganciclovir for Symptomatic Congenital Cytomegalovirus Disease. N Engl J Med. 2015;372(10):933-943.</w:t>
      </w:r>
    </w:p>
    <w:p>
      <w:pPr>
        <w:spacing w:after="120"/>
      </w:pPr>
      <w:r>
        <w:rPr>
          <w:rFonts w:ascii="Arial" w:cs="Arial" w:eastAsia="Arial" w:hAnsi="Arial"/>
          <w:sz w:val="24"/>
          <w:szCs w:val="24"/>
        </w:rPr>
        <w:t xml:space="preserve">12. Workowski KA, Bachmann LH, Chan PA, et al. Sexually Transmitted Infections Treatment Guidelines, 2021. MMWR Recomm Rep. 2021;70(4):1-187.</w:t>
      </w:r>
    </w:p>
    <w:p>
      <w:pPr>
        <w:spacing w:after="120"/>
      </w:pPr>
      <w:r>
        <w:rPr>
          <w:rFonts w:ascii="Arial" w:cs="Arial" w:eastAsia="Arial" w:hAnsi="Arial"/>
          <w:sz w:val="24"/>
          <w:szCs w:val="24"/>
        </w:rPr>
        <w:t xml:space="preserve">13. Boppana SB, Ross SA, Shimamura M, et al; NIAID CMV CASG. Saliva PCR Assay for Congenital CMV Diagnosis. N Engl J Med. 2011;364(22):2111-2118.</w:t>
      </w:r>
    </w:p>
    <w:p>
      <w:pPr>
        <w:spacing w:after="120"/>
      </w:pPr>
      <w:r>
        <w:rPr>
          <w:rFonts w:ascii="Arial" w:cs="Arial" w:eastAsia="Arial" w:hAnsi="Arial"/>
          <w:sz w:val="24"/>
          <w:szCs w:val="24"/>
        </w:rPr>
        <w:t xml:space="preserve">14. Stocker M, Rosa-Mangeret F, Agyeman PKA, et al. Management of neonates at risk of early onset sepsis. Eur J Pediatr. 2024;183:5517-5529. doi:10.1007/s00431-024-05811-0</w:t>
      </w:r>
    </w:p>
    <w:p>
      <w:pPr>
        <w:spacing w:after="120"/>
      </w:pPr>
      <w:r>
        <w:rPr>
          <w:rFonts w:ascii="Arial" w:cs="Arial" w:eastAsia="Arial" w:hAnsi="Arial"/>
          <w:sz w:val="24"/>
          <w:szCs w:val="24"/>
        </w:rPr>
        <w:t xml:space="preserve">15. Brady MT, Byington CL, Davies HD, et al. Updated Guidance for Palivizumab Prophylaxis Among Infants and Young Children at Increased Risk of Hospitalization for RSV Infection. Pediatrics. 2014;134(2):e620-e638.</w:t>
      </w:r>
    </w:p>
    <w:p>
      <w:pPr>
        <w:spacing w:after="120"/>
      </w:pPr>
      <w:r>
        <w:rPr>
          <w:rFonts w:ascii="Arial" w:cs="Arial" w:eastAsia="Arial" w:hAnsi="Arial"/>
          <w:sz w:val="24"/>
          <w:szCs w:val="24"/>
        </w:rPr>
        <w:t xml:space="preserve">16. Shane AL, Sanchez PJ, Stoll BJ. Neonatal Sepsis. Lancet. 2017;390(10104):1770-1780.</w:t>
      </w:r>
    </w:p>
    <w:p>
      <w:pPr>
        <w:spacing w:after="120"/>
      </w:pPr>
      <w:r>
        <w:rPr>
          <w:rFonts w:ascii="Arial" w:cs="Arial" w:eastAsia="Arial" w:hAnsi="Arial"/>
          <w:sz w:val="24"/>
          <w:szCs w:val="24"/>
        </w:rPr>
        <w:t xml:space="preserve">17. Cantey JB, Wozniak PS, Sanchez PJ. Prospective Surveillance of Antibiotic Use in the Neonatal Intensive Care Unit: Results from the SCOUT Study. Pediatr Infect Dis J. 2015;34(3):267-272.</w:t>
      </w:r>
    </w:p>
    <w:p>
      <w:pPr>
        <w:spacing w:after="120"/>
      </w:pPr>
      <w:r>
        <w:rPr>
          <w:rFonts w:ascii="Arial" w:cs="Arial" w:eastAsia="Arial" w:hAnsi="Arial"/>
          <w:sz w:val="24"/>
          <w:szCs w:val="24"/>
        </w:rPr>
        <w:t xml:space="preserve">18. Benitz WE, Wynn JL, Polin RA. Reappraisal of Guidelines for Management of Neonates With Suspected Early-Onset Sepsis. J Pediatr. 2015;166(4):1070-1074.</w:t>
      </w:r>
    </w:p>
    <w:p>
      <w:pPr>
        <w:spacing w:after="120"/>
      </w:pPr>
      <w:r>
        <w:rPr>
          <w:rFonts w:ascii="Arial" w:cs="Arial" w:eastAsia="Arial" w:hAnsi="Arial"/>
          <w:sz w:val="24"/>
          <w:szCs w:val="24"/>
        </w:rPr>
        <w:t xml:space="preserve">19. AAP Red Book: 2024-2027 Report of the Committee on Infectious Diseases. American Academy of Pediatrics; 2024.</w:t>
      </w:r>
    </w:p>
    <w:p>
      <w:pPr>
        <w:spacing w:after="120"/>
      </w:pPr>
      <w:r>
        <w:rPr>
          <w:rFonts w:ascii="Arial" w:cs="Arial" w:eastAsia="Arial" w:hAnsi="Arial"/>
          <w:sz w:val="24"/>
          <w:szCs w:val="24"/>
        </w:rPr>
        <w:t xml:space="preserve">20. Raturi A, Chandran S. Neonatal Sepsis: Aetiology, Pathophysiology, Diagnostic Advances and Management Strategies. J Neonatal Perinatal Med. 2024. doi:10.1177/11795565241281337</w:t>
      </w:r>
    </w:p>
    <w:p>
      <w:pPr>
        <w:spacing w:after="120"/>
      </w:pPr>
      <w:r>
        <w:rPr>
          <w:rFonts w:ascii="Arial" w:cs="Arial" w:eastAsia="Arial" w:hAnsi="Arial"/>
          <w:sz w:val="24"/>
          <w:szCs w:val="24"/>
        </w:rPr>
        <w:t xml:space="preserve">21. Roberts AG, Younge N, Greenberg RG. Neonatal NEC: Update on Pathophysiology, Treatment, Prevention. Paediatr Drugs. 2024;26(3):259-275.</w:t>
      </w:r>
    </w:p>
    <w:p>
      <w:pPr>
        <w:spacing w:after="120"/>
      </w:pPr>
      <w:r>
        <w:rPr>
          <w:rFonts w:ascii="Arial" w:cs="Arial" w:eastAsia="Arial" w:hAnsi="Arial"/>
          <w:sz w:val="24"/>
          <w:szCs w:val="24"/>
        </w:rPr>
        <w:t xml:space="preserve">22. CDC. Congenital Syphilis Surveillance Data, 2012-2022. Atlanta, GA: US DHHS; 2023.</w:t>
      </w:r>
    </w:p>
    <w:p>
      <w:pPr>
        <w:spacing w:after="120"/>
      </w:pPr>
      <w:r>
        <w:rPr>
          <w:rFonts w:ascii="Arial" w:cs="Arial" w:eastAsia="Arial" w:hAnsi="Arial"/>
          <w:sz w:val="24"/>
          <w:szCs w:val="24"/>
        </w:rPr>
        <w:t xml:space="preserve">23. Pinninti SG, Kimberlin DW. Neonatal Herpes Simplex Virus Infections. Semin Perinatol. 2018;42(3):168-175.</w:t>
      </w:r>
    </w:p>
    <w:p>
      <w:pPr>
        <w:spacing w:after="120"/>
      </w:pPr>
      <w:r>
        <w:rPr>
          <w:rFonts w:ascii="Arial" w:cs="Arial" w:eastAsia="Arial" w:hAnsi="Arial"/>
          <w:sz w:val="24"/>
          <w:szCs w:val="24"/>
        </w:rPr>
        <w:t xml:space="preserve">24. Polin RA; Committee on Fetus and Newborn. Management of Neonates With Suspected or Proven Early-Onset Bacterial Sepsis. Pediatrics. 2012;129(5):1006-1015.</w:t>
      </w:r>
    </w:p>
    <w:p>
      <w:pPr>
        <w:spacing w:after="120"/>
      </w:pPr>
      <w:r>
        <w:rPr>
          <w:rFonts w:ascii="Arial" w:cs="Arial" w:eastAsia="Arial" w:hAnsi="Arial"/>
          <w:sz w:val="24"/>
          <w:szCs w:val="24"/>
        </w:rPr>
        <w:t xml:space="preserve">25. Sperling RS, Shapiro DE, Coombs RW, et al. Maternal Viral Load, Zidovudine Treatment, and the Risk of Transmission of HIV-1. N Engl J Med. 1996;335(22):1621-1629.</w:t>
      </w:r>
    </w:p>
    <w:p>
      <w:r>
        <w:br w:type="page"/>
      </w:r>
    </w:p>
    <w:p>
      <w:pPr>
        <w:pStyle w:val="Heading1"/>
      </w:pPr>
      <w:r>
        <w:t xml:space="preserve">Appendices</w:t>
      </w:r>
    </w:p>
    <w:p>
      <w:pPr>
        <w:pStyle w:val="Heading2"/>
      </w:pPr>
      <w:r>
        <w:t xml:space="preserve">Appendix A: Antibiotic Dosing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800"/>
        <w:gridCol w:w="1200"/>
        <w:gridCol w:w="31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Drug</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Indication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Dose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Route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Frequency</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Duration /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EOS empiric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 (meningitis: 100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q12h (&lt;7d); q8h (&gt;7d)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Stop at 36-48h if cultures neg + well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EOS empiric (gram-neg coverage)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q24-48h (GA-based)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troughs; renal 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Acyclovir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HSV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 q8h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 14d; CNS/disseminated: 21d; then oral suppression 6mo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Penicillin G (aqueous)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syphilis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 U/kg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q12h (day 0-7); q8h (day 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10 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Valganciclovir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Symptomatic cCMV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q12h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months; monitor ANC/LFTs biweekly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Vancomycin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 (MRSA/CONS)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10-15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q8-12h (GA-based)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Monitor troughs 10-20 mcg/mL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Cefotaxime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Gram-neg meningitis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q8-12h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Reserve for proven gram-neg meningitis</w:t>
            </w:r>
          </w:p>
        </w:tc>
      </w:tr>
    </w:tbl>
    <w:p>
      <w:pPr>
        <w:spacing w:after="120"/>
      </w:pPr>
      <w:r>
        <w:rPr>
          <w:rFonts w:ascii="Arial" w:cs="Arial" w:eastAsia="Arial" w:hAnsi="Arial"/>
          <w:sz w:val="24"/>
          <w:szCs w:val="24"/>
        </w:rPr>
        <w:t xml:space="preserve">Table A1. Verify all doses against NeoFax/Lexicomp and local antibiogram.</w:t>
      </w:r>
    </w:p>
    <w:p>
      <w:pPr>
        <w:pStyle w:val="Heading2"/>
      </w:pPr>
      <w:r>
        <w:t xml:space="preserve">Appendix B: EOS Risk Calculator Quick Guide</w:t>
      </w:r>
    </w:p>
    <w:p>
      <w:pPr>
        <w:spacing w:after="120"/>
      </w:pPr>
      <w:r>
        <w:rPr>
          <w:rFonts w:ascii="Arial" w:cs="Arial" w:eastAsia="Arial" w:hAnsi="Arial"/>
          <w:sz w:val="24"/>
          <w:szCs w:val="24"/>
        </w:rPr>
        <w:t xml:space="preserve">Website: neonatalsepsiscalculator.kaiserpermanente.org. Input: Local EOS incidence (per 1,000 live births), gestational age, highest maternal temperature (Celsius), duration of ROM (hours), maternal GBS status, type of intrapartum antibiotics. Output: Prior probability at birth. Then select clinical presentation (well-appearing, equivocal, clinical illness) to get posterior probability. Risk threshold greater than or equal to 1/1,000: obtain blood culture + enhanced observation. Risk threshold greater than or equal to 3/1,000: blood culture + empirical antibiotics. Vitals: check at 1, 2, 4, 6, 8, 10, 12, 16, 20, 24 hours post-birth.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Infectious Diseases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2026-03-19T00:59:14.001Z</dcterms:created>
  <dcterms:modified xsi:type="dcterms:W3CDTF">2026-03-19T00:59:14.001Z</dcterms:modified>
</cp:coreProperties>
</file>

<file path=docProps/custom.xml><?xml version="1.0" encoding="utf-8"?>
<Properties xmlns="http://schemas.openxmlformats.org/officeDocument/2006/custom-properties" xmlns:vt="http://schemas.openxmlformats.org/officeDocument/2006/docPropsVTypes"/>
</file>