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Neurological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Neonatal Neurology Matters in the Rural Nursery</w:t>
      </w:r>
    </w:p>
    <w:p>
      <w:pPr>
        <w:spacing w:after="120"/>
      </w:pPr>
      <w:r>
        <w:rPr>
          <w:rFonts w:ascii="Arial" w:cs="Arial" w:eastAsia="Arial" w:hAnsi="Arial"/>
          <w:sz w:val="24"/>
          <w:szCs w:val="24"/>
        </w:rPr>
        <w:t xml:space="preserve">Neurological disorders in the newborn period represent some of the most consequential conditions a rural nursery provider will encounter. Hypoxic-ischemic encephalopathy (HIE) remains a leading cause of neonatal mortality and long-term disability, affecting approximately 1 to 3 per 1,000 live births in developed countries. Neonatal seizures, which occur in 1 to 5 per 1,000 live births, may be the sole clinical manifestation of underlying brain injury and require rapid recognition and treatment. Intraventricular hemorrhage (IVH) affects up to 25 to 30 percent of very low birth weight infants and can lead to posthemorrhagic hydrocephalus and neurodevelopmental impairment.</w:t>
      </w:r>
    </w:p>
    <w:p>
      <w:pPr>
        <w:spacing w:after="120"/>
      </w:pPr>
      <w:r>
        <w:rPr>
          <w:rFonts w:ascii="Arial" w:cs="Arial" w:eastAsia="Arial" w:hAnsi="Arial"/>
          <w:sz w:val="24"/>
          <w:szCs w:val="24"/>
        </w:rPr>
        <w:t xml:space="preserve">For the rural provider, the challenge is threefold. First, the neonatal neurological examination is inherently difficult: neonatal seizures are often subtle and easily missed, tone abnormalities are difficult to distinguish from normal variability, and encephalopathy evolves over hours to days. Second, the definitive diagnostic tools (continuous EEG, amplitude-integrated EEG, MRI) are rarely available at community hospitals, meaning the provider must rely primarily on clinical examination, history, and basic laboratory data to make critical decisions. Third, many neonatal neurological conditions are time-sensitive: therapeutic hypothermia for HIE must be initiated within 6 hours of birth, and seizures require prompt pharmacological treatment to limit secondary brain injury.</w:t>
      </w:r>
    </w:p>
    <w:p>
      <w:pPr>
        <w:spacing w:after="120"/>
      </w:pPr>
      <w:r>
        <w:rPr>
          <w:rFonts w:ascii="Arial" w:cs="Arial" w:eastAsia="Arial" w:hAnsi="Arial"/>
          <w:sz w:val="24"/>
          <w:szCs w:val="24"/>
        </w:rPr>
        <w:t xml:space="preserve">This guide covers the major categories of neonatal neurological disorders relevant to Level I and Level II nurseries: hypoxic-ischemic encephalopathy and therapeutic hypothermia, neonatal seizures, intraventricular hemorrhage and periventricular leukomalacia, perinatal stroke, neonatal hypotonia, and the abnormal neonatal neurological examination. Each section emphasizes clinical recognition, initial stabilization, evidence-based management, and clear criteria for transport to a Level III or IV NICU with neonatal neurology capability.</w:t>
      </w:r>
    </w:p>
    <w:p>
      <w:r>
        <w:br w:type="page"/>
      </w:r>
    </w:p>
    <w:p>
      <w:pPr>
        <w:pStyle w:val="Heading1"/>
      </w:pPr>
      <w:r>
        <w:t xml:space="preserve">Chapter 2: The Neonatal Neurological Examination</w:t>
      </w:r>
    </w:p>
    <w:p>
      <w:pPr>
        <w:pStyle w:val="Heading2"/>
      </w:pPr>
      <w:r>
        <w:t xml:space="preserve">2.1 Components of the Neonatal Neuro Exam</w:t>
      </w:r>
    </w:p>
    <w:p>
      <w:pPr>
        <w:spacing w:after="120"/>
      </w:pPr>
      <w:r>
        <w:rPr>
          <w:rFonts w:ascii="Arial" w:cs="Arial" w:eastAsia="Arial" w:hAnsi="Arial"/>
          <w:sz w:val="24"/>
          <w:szCs w:val="24"/>
        </w:rPr>
        <w:t xml:space="preserve">The neonatal neurological examination is a structured clinical assessment that evaluates the functional integrity of the newborn's nervous system. It differs fundamentally from the neurological examination in older children and adults because the neonatal nervous system is developmentally immature, and the examination must account for gestational age-dependent differences in tone, reflexes, and behavioral state. The key components are: level of consciousness (alertness, response to stimulation), cranial nerve function (pupillary response, facial symmetry, suck, gag, rooting, response to sound and visual tracking), motor examination (spontaneous movements, tone assessment including both active and passive tone, posture), primitive reflexes (Moro, grasp, stepping, placing, asymmetric tonic neck reflex), and deep tendon reflexes.</w:t>
      </w:r>
    </w:p>
    <w:p>
      <w:pPr>
        <w:spacing w:after="120"/>
      </w:pPr>
      <w:r>
        <w:rPr>
          <w:rFonts w:ascii="Arial" w:cs="Arial" w:eastAsia="Arial" w:hAnsi="Arial"/>
          <w:sz w:val="24"/>
          <w:szCs w:val="24"/>
        </w:rPr>
        <w:t xml:space="preserve">Tone assessment is particularly important and often challenging. Passive tone is assessed by evaluating resistance to passive movement at each joint (scarf sign, heel-to-ear maneuver, popliteal angle, arm recoil). Active tone is assessed by observing the infant's ability to maintain posture against gravity (pull-to-sit maneuver with head lag assessment, ventral suspension with assessment of trunk tone and head control). Tone is gestational age-dependent: preterm infants have lower tone than term infants, with tone developing in a caudocephalic direction (legs before arms before axial musculature). Asymmetry of tone or movement is always abnormal and should raise concern for focal brain injury (stroke, hemorrhage).</w:t>
      </w:r>
    </w:p>
    <w:p>
      <w:pPr>
        <w:pStyle w:val="Heading2"/>
      </w:pPr>
      <w:r>
        <w:t xml:space="preserve">2.2 Sarnat Staging for HIE</w:t>
      </w:r>
    </w:p>
    <w:p>
      <w:pPr>
        <w:spacing w:after="120"/>
      </w:pPr>
      <w:r>
        <w:rPr>
          <w:rFonts w:ascii="Arial" w:cs="Arial" w:eastAsia="Arial" w:hAnsi="Arial"/>
          <w:sz w:val="24"/>
          <w:szCs w:val="24"/>
        </w:rPr>
        <w:t xml:space="preserve">The modified Sarnat staging system is the standard clinical tool for grading the severity of hypoxic-ischemic encephalopathy. It categorizes neonates into three stages based on clinical findings across multiple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80"/>
        <w:gridCol w:w="23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I (Mild)</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II (Moderate)</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III (Severe)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of consciousness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Hyperalert, irritable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Lethargic</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Stuporous, comatose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Spontaneous 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Decreased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or slightly increased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Hypotonia (focal or generalized)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Flaccid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Mild distal flexion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distal flexion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Intermittent decerebration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Primitive reflexes (suck)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 or absent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Moro reflex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low threshold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 incomplete, high threshold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Pupils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Mydriasis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Miosis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poor light reflex; fixed, dilated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Seizures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Common (within 24h)</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Uncommon (decerebration)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voltage, seizure activity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Burst-suppression or isoelectric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&lt;24 hours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2-14 days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Hours to weeks</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Prognosis (without cooling)</w:t>
            </w:r>
          </w:p>
        </w:tc>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Good; ~100% normal outcome</w:t>
            </w:r>
          </w:p>
        </w:tc>
        <w:tc>
          <w:tcPr>
            <w:tcW w:type="dxa" w:w="27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Variable; 10-50% abnormal outcome</w:t>
            </w:r>
          </w:p>
        </w:tc>
        <w:tc>
          <w:tcPr>
            <w:tcW w:type="dxa" w:w="23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Poor; 25-50% mortality; ~80% severe disability in survivors</w:t>
            </w:r>
          </w:p>
        </w:tc>
      </w:tr>
    </w:tbl>
    <w:p>
      <w:pPr>
        <w:spacing w:after="120"/>
      </w:pPr>
      <w:r>
        <w:rPr>
          <w:rFonts w:ascii="Arial" w:cs="Arial" w:eastAsia="Arial" w:hAnsi="Arial"/>
          <w:sz w:val="24"/>
          <w:szCs w:val="24"/>
        </w:rPr>
        <w:t xml:space="preserve">Table 1. Modified Sarnat staging system for hypoxic-ischemic encephalopathy.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The Sarnat examination should be performed at a minimum of 1 hour after birth (to allow for initial stabilization and clearance of maternal medications), but must be completed early enough to make therapeutic hypothermia decisions. Therapeutic hypothermia must be initiated within 6 hours of birth for maximal benefit. Serial examinations are essential as the neurological picture evolves.</w:t>
            </w:r>
          </w:p>
        </w:tc>
      </w:tr>
    </w:tbl>
    <w:p>
      <w:r>
        <w:br w:type="page"/>
      </w:r>
    </w:p>
    <w:p>
      <w:pPr>
        <w:pStyle w:val="Heading1"/>
      </w:pPr>
      <w:r>
        <w:t xml:space="preserve">Chapter 3: Hypoxic-Ischemic Encephalopathy</w:t>
      </w:r>
    </w:p>
    <w:p>
      <w:pPr>
        <w:pStyle w:val="Heading2"/>
      </w:pPr>
      <w:r>
        <w:t xml:space="preserve">3.1 Pathophysiology</w:t>
      </w:r>
    </w:p>
    <w:p>
      <w:pPr>
        <w:spacing w:after="120"/>
      </w:pPr>
      <w:r>
        <w:rPr>
          <w:rFonts w:ascii="Arial" w:cs="Arial" w:eastAsia="Arial" w:hAnsi="Arial"/>
          <w:sz w:val="24"/>
          <w:szCs w:val="24"/>
        </w:rPr>
        <w:t xml:space="preserve">Hypoxic-ischemic encephalopathy (HIE) results from impaired cerebral blood flow and oxygen delivery to the fetal or neonatal brain, typically due to events around the time of labor and delivery. The pathophysiology occurs in two phases. The primary phase is the initial hypoxic-ischemic insult, during which energy failure leads to excitotoxic neuronal injury (excessive glutamate release), intracellular calcium accumulation, free radical generation, and cell death (primarily necrosis). Following resuscitation and reperfusion, there is a latent phase of approximately 6 to 15 hours during which brain metabolism partially recovers. This is followed by a secondary phase of injury (6 to 48 hours after the insult) characterized by mitochondrial dysfunction, ongoing excitotoxicity, inflammation, and apoptotic cell death. Therapeutic hypothermia targets this secondary injury phase, which is why the 6-hour initiation window is critical.</w:t>
      </w:r>
    </w:p>
    <w:p>
      <w:pPr>
        <w:pStyle w:val="Heading2"/>
      </w:pPr>
      <w:r>
        <w:t xml:space="preserve">3.2 Clinical Presentation and Diagnosis</w:t>
      </w:r>
    </w:p>
    <w:p>
      <w:pPr>
        <w:spacing w:after="120"/>
      </w:pPr>
      <w:r>
        <w:rPr>
          <w:rFonts w:ascii="Arial" w:cs="Arial" w:eastAsia="Arial" w:hAnsi="Arial"/>
          <w:sz w:val="24"/>
          <w:szCs w:val="24"/>
        </w:rPr>
        <w:t xml:space="preserve">HIE should be suspected in any term or near-term infant with evidence of a significant perinatal hypoxic-ischemic event AND clinical signs of encephalopathy. Risk factors and perinatal indicators include: acute perinatal event (placental abruption, cord prolapse, uterine rupture, shoulder dystocia), need for prolonged resuscitation at birth, low Apgar scores (less than 5 at 5 and 10 minutes), severe fetal acidemia (umbilical cord arterial pH less than 7.00 or base deficit greater than or equal to 12 mmol/L), and evidence of multi-system organ involvement (renal dysfunction, hepatic injury, cardiac dysfunction, coagulopathy). The clinical presentation of encephalopathy includes altered level of consciousness (ranging from hyperalert/irritable in mild to obtunded/comatose in severe), abnormal tone (hypotonia is most common), abnormal primitive reflexes, seizures (occurring in 40 to 60 percent of moderate-to-severe HIE, usually within the first 12 to 24 hours), and autonomic dysfunction (apnea, bradycardia, blood pressure instability, abnormal pupillary responses).</w:t>
      </w:r>
    </w:p>
    <w:p>
      <w:pPr>
        <w:pStyle w:val="Heading2"/>
      </w:pPr>
      <w:r>
        <w:t xml:space="preserve">3.3 Therapeutic Hypothermia</w:t>
      </w:r>
    </w:p>
    <w:p>
      <w:pPr>
        <w:spacing w:after="120"/>
      </w:pPr>
      <w:r>
        <w:rPr>
          <w:rFonts w:ascii="Arial" w:cs="Arial" w:eastAsia="Arial" w:hAnsi="Arial"/>
          <w:sz w:val="24"/>
          <w:szCs w:val="24"/>
        </w:rPr>
        <w:t xml:space="preserve">Therapeutic hypothermia (TH) is the standard of care for term and near-term infants (36 weeks or greater gestation per the 2026 AAP updated clinical report; 35 weeks or greater per some center protocols) with moderate or severe HIE. TH involves cooling the infant's core body temperature to 33.5 degrees Celsius (92.3 degrees Fahrenheit) within 6 hours of birth, maintaining this temperature for 72 hours, and then slowly rewarming at a rate of 0.5 degrees Celsius per hour. Meta-analyses of the landmark randomized controlled trials (NICHD whole-body cooling trial, CoolCap, TOBY, ICE, neo.nEURO.network) have demonstrated that TH reduces the combined outcome of death or moderate-to-severe neurodevelopmental disability from approximately 60 percent to approximately 45 percent (NNT approximately 7).</w:t>
      </w:r>
    </w:p>
    <w:p>
      <w:pPr>
        <w:spacing w:after="120"/>
      </w:pPr>
      <w:r>
        <w:rPr>
          <w:rFonts w:ascii="Arial" w:cs="Arial" w:eastAsia="Arial" w:hAnsi="Arial"/>
          <w:sz w:val="24"/>
          <w:szCs w:val="24"/>
        </w:rPr>
        <w:t xml:space="preserve">Eligibility criteria generally follow a stepwise approach: Step A (evidence of perinatal hypoxia-ischemia) requires one or more of: acute perinatal event, Apgar score less than or equal to 5 at 10 minutes, continued need for resuscitation at 10 minutes of life, or pH less than 7.00 or base deficit greater than or equal to 12 mmol/L in cord or postnatal blood gas within the first hour. Step B (evidence of moderate or severe encephalopathy) requires a modified Sarnat examination demonstrating moderate (Stage II) or severe (Stage III) encephalopathy. Some protocols include Step C (abnormal aEEG/EEG) as confirmatory but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Therapeutic hypothermia MUST be initiated within 6 hours of birth. In the rural nursery, this means: (1) recognize potential HIE early (sentinel event, need for resuscitation, low Apgar scores, acidemia), (2) perform the modified Sarnat exam by 1 hour of life, (3) contact the cooling center immediately if moderate or severe encephalopathy is identified, and (4) begin passive cooling (turn off the radiant warmer, remove hats and blankets) while arranging emergent transport. Target rectal temperature of 33-34 degrees Celsius during transport. DO NOT actively overcool below 32 degrees Celsius as this is associated with worse outcomes.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the rural hospital: If you suspect HIE, call the receiving cooling center IMMEDIATELY, even before completing your full evaluation. Time is critical. Begin passive cooling (servo off, remove warming devices) while arranging transport. Monitor rectal temperature every 15 minutes. Avoid hyperthermia at all costs, as even mild hyperthermia worsens brain injury. If your facility has a cooling protocol (servo-controlled cooling blanket), initiate per protocol. If not, passive cooling with temperature monitoring is appropriate during the transport interval.</w:t>
            </w:r>
          </w:p>
        </w:tc>
      </w:tr>
    </w:tbl>
    <w:p>
      <w:pPr>
        <w:pStyle w:val="Heading2"/>
      </w:pPr>
      <w:r>
        <w:t xml:space="preserve">3.4 Supportive Management of HIE</w:t>
      </w:r>
    </w:p>
    <w:p>
      <w:pPr>
        <w:spacing w:after="120"/>
      </w:pPr>
      <w:r>
        <w:rPr>
          <w:rFonts w:ascii="Arial" w:cs="Arial" w:eastAsia="Arial" w:hAnsi="Arial"/>
          <w:sz w:val="24"/>
          <w:szCs w:val="24"/>
        </w:rPr>
        <w:t xml:space="preserve">While therapeutic hypothermia targets secondary brain injury, supportive management is essential to prevent additional injury. Key elements include: adequate ventilation (maintain PaCO2 in normal range; both hypo- and hypercapnia are harmful; hypocapnia causes cerebral vasoconstriction and worsens injury), normoglycemia (maintain blood glucose 50 to 100 mg/dL; both hypo- and hyperglycemia worsen outcomes), hemodynamic support (maintain adequate mean arterial pressure for gestational age; avoid hypotension which worsens cerebral hypoperfusion), fluid management (initial fluid restriction to 60 mL/kg/day due to risk of SIADH and cerebral edema), and seizure treatment (phenobarbital first-line per ILAE 2023 guidelines).</w:t>
      </w:r>
    </w:p>
    <w:p>
      <w:r>
        <w:br w:type="page"/>
      </w:r>
    </w:p>
    <w:p>
      <w:pPr>
        <w:pStyle w:val="Heading1"/>
      </w:pPr>
      <w:r>
        <w:t xml:space="preserve">Chapter 4: Neonatal Seizures</w:t>
      </w:r>
    </w:p>
    <w:p>
      <w:pPr>
        <w:pStyle w:val="Heading2"/>
      </w:pPr>
      <w:r>
        <w:t xml:space="preserve">4.1 Epidemiology and Etiology</w:t>
      </w:r>
    </w:p>
    <w:p>
      <w:pPr>
        <w:spacing w:after="120"/>
      </w:pPr>
      <w:r>
        <w:rPr>
          <w:rFonts w:ascii="Arial" w:cs="Arial" w:eastAsia="Arial" w:hAnsi="Arial"/>
          <w:sz w:val="24"/>
          <w:szCs w:val="24"/>
        </w:rPr>
        <w:t xml:space="preserve">Neonatal seizures occur in approximately 1 to 5 per 1,000 live births in term infants and up to 10 to 130 per 1,000 in preterm infants. They are the most common clinical manifestation of acute neurological dysfunction in the newborn. Unlike seizures in older children and adults, neonatal seizures are almost always acute symptomatic (provoked by an identifiable insult) rather than epileptic. The most common causes are: HIE (the leading cause, accounting for 40 to 60 percent of neonatal seizures), intracranial hemorrhage (IVH, subdural, subarachnoid), ischemic stroke (perinatal arterial ischemic stroke), CNS infection (meningitis, encephalitis, congenital TORCH infections), metabolic derangements (hypoglycemia, hypocalcemia, hypomagnesemia, hyponatremia, inborn errors of metabolism including pyridoxine-dependent epilepsy), neonatal-onset genetic epilepsies (KCNQ2, SCN2A, and other channelopathies), and structural brain malformations.</w:t>
      </w:r>
    </w:p>
    <w:p>
      <w:pPr>
        <w:pStyle w:val="Heading2"/>
      </w:pPr>
      <w:r>
        <w:t xml:space="preserve">4.2 Clinical Recognition</w:t>
      </w:r>
    </w:p>
    <w:p>
      <w:pPr>
        <w:spacing w:after="120"/>
      </w:pPr>
      <w:r>
        <w:rPr>
          <w:rFonts w:ascii="Arial" w:cs="Arial" w:eastAsia="Arial" w:hAnsi="Arial"/>
          <w:sz w:val="24"/>
          <w:szCs w:val="24"/>
        </w:rPr>
        <w:t xml:space="preserve">Neonatal seizures are notoriously difficult to recognize clinically. The immature neonatal brain generates seizure activity that often does not produce the generalized tonic-clonic movements seen in older patients. Instead, neonatal seizures are classified into four types: subtle seizures (the most common type, especially in preterm infants; manifestations include eye deviations, repetitive blinking, oral automatisms such as lip smacking or chewing, apnea, cycling or pedaling movements, and autonomic changes), clonic seizures (rhythmic jerking of a limb or limbs, either focal or multifocal; focal clonic seizures suggest focal brain injury such as stroke), tonic seizures (sustained posturing, either generalized or focal; generalized tonic extension suggests severe diffuse brain injury), and myoclonic seizures (rapid, single jerks of a limb or limbs; may be focal, multifocal, or generalized).</w:t>
      </w:r>
    </w:p>
    <w:p>
      <w:pPr>
        <w:spacing w:after="120"/>
      </w:pPr>
      <w:r>
        <w:rPr>
          <w:rFonts w:ascii="Arial" w:cs="Arial" w:eastAsia="Arial" w:hAnsi="Arial"/>
          <w:sz w:val="24"/>
          <w:szCs w:val="24"/>
        </w:rPr>
        <w:t xml:space="preserve">A critical clinical challenge is distinguishing true seizures from benign neonatal movement patterns such as jitteriness (tremulousness), sleep myoclonus, and stimulus-sensitive startles. Key differentiating features: jitteriness is stimulus-provoked, suppressible with gentle restraint, and involves equal-amplitude oscillatory movements; seizures are not stimulus-provoked, not suppressible with restraint, and often have a fast and slow component (clonic) or associated autonomic changes. When in doubt, treat as seizures while arranging definitive EEG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Up to 80% of electrographic neonatal seizures have NO clinical correlate (subclinical or electrographic-only seizures). This means that clinical seizure freedom after treatment does NOT guarantee that seizures have stopped. Continuous EEG or aEEG monitoring is the gold standard and should be arranged via transfer to a center with this capability for any infant with suspected or confirmed seizures.</w:t>
            </w:r>
          </w:p>
        </w:tc>
      </w:tr>
    </w:tbl>
    <w:p>
      <w:pPr>
        <w:pStyle w:val="Heading2"/>
      </w:pPr>
      <w:r>
        <w:t xml:space="preserve">4.3 Treatment: ILAE 2023 Guidelines</w:t>
      </w:r>
    </w:p>
    <w:p>
      <w:pPr>
        <w:spacing w:after="120"/>
      </w:pPr>
      <w:r>
        <w:rPr>
          <w:rFonts w:ascii="Arial" w:cs="Arial" w:eastAsia="Arial" w:hAnsi="Arial"/>
          <w:sz w:val="24"/>
          <w:szCs w:val="24"/>
        </w:rPr>
        <w:t xml:space="preserve">The International League Against Epilepsy (ILAE) published updated neonatal seizure treatment guidelines in 2023 (Pressler et al., Epilepsia 2023;64(10):2550-2570). The six key recommendations are:</w:t>
      </w:r>
    </w:p>
    <w:p>
      <w:pPr>
        <w:spacing w:after="120"/>
      </w:pPr>
      <w:r>
        <w:rPr>
          <w:rFonts w:ascii="Arial" w:cs="Arial" w:eastAsia="Arial" w:hAnsi="Arial"/>
          <w:b/>
          <w:bCs/>
          <w:sz w:val="24"/>
          <w:szCs w:val="24"/>
        </w:rPr>
        <w:t xml:space="preserve">Recommendation 1: Phenobarbital is the first-line anti-seizure medication (ASM).</w:t>
      </w:r>
    </w:p>
    <w:p>
      <w:pPr>
        <w:spacing w:after="120"/>
      </w:pPr>
      <w:r>
        <w:rPr>
          <w:rFonts w:ascii="Arial" w:cs="Arial" w:eastAsia="Arial" w:hAnsi="Arial"/>
          <w:sz w:val="24"/>
          <w:szCs w:val="24"/>
        </w:rPr>
        <w:t xml:space="preserve">This is an evidence-based recommendation of moderate strength. The landmark NEOLEV2 trial (Sharpe et al., 2020) demonstrated that phenobarbital achieved seizure cessation in 80 percent of neonates versus only 28 percent with levetiracetam. Dosing: loading dose of 20 mg/kg IV, with additional 5 to 10 mg/kg boluses (up to a total of 40 mg/kg) if seizures persist. Phenobarbital should be used regardless of etiology (HIE, stroke, hemorrhage, infection) unless a channelopathy is suspected.</w:t>
      </w:r>
    </w:p>
    <w:p>
      <w:pPr>
        <w:spacing w:after="120"/>
      </w:pPr>
      <w:r>
        <w:rPr>
          <w:rFonts w:ascii="Arial" w:cs="Arial" w:eastAsia="Arial" w:hAnsi="Arial"/>
          <w:b/>
          <w:bCs/>
          <w:sz w:val="24"/>
          <w:szCs w:val="24"/>
        </w:rPr>
        <w:t xml:space="preserve">Recommendation 2: Second-line options.</w:t>
      </w:r>
    </w:p>
    <w:p>
      <w:pPr>
        <w:spacing w:after="120"/>
      </w:pPr>
      <w:r>
        <w:rPr>
          <w:rFonts w:ascii="Arial" w:cs="Arial" w:eastAsia="Arial" w:hAnsi="Arial"/>
          <w:sz w:val="24"/>
          <w:szCs w:val="24"/>
        </w:rPr>
        <w:t xml:space="preserve">For seizures not responding to phenobarbital, second-line options include phenytoin/fosphenytoin, levetiracetam, midazolam, or lidocaine. In neonates with cardiac disorders, levetiracetam may be preferred (to avoid the cardiac effects of phenytoin). Phenytoin loading dose: 20 mg/kg IV (as fosphenytoin PE equivalent). Levetiracetam loading dose: 40 to 60 mg/kg IV. Midazolam: 0.05 to 0.15 mg/kg IV bolus, then continuous infusion 0.1 to 0.4 mg/kg/hour.</w:t>
      </w:r>
    </w:p>
    <w:p>
      <w:pPr>
        <w:spacing w:after="120"/>
      </w:pPr>
      <w:r>
        <w:rPr>
          <w:rFonts w:ascii="Arial" w:cs="Arial" w:eastAsia="Arial" w:hAnsi="Arial"/>
          <w:b/>
          <w:bCs/>
          <w:sz w:val="24"/>
          <w:szCs w:val="24"/>
        </w:rPr>
        <w:t xml:space="preserve">Recommendation 3: Discontinue ASMs before discharge.</w:t>
      </w:r>
    </w:p>
    <w:p>
      <w:pPr>
        <w:spacing w:after="120"/>
      </w:pPr>
      <w:r>
        <w:rPr>
          <w:rFonts w:ascii="Arial" w:cs="Arial" w:eastAsia="Arial" w:hAnsi="Arial"/>
          <w:sz w:val="24"/>
          <w:szCs w:val="24"/>
        </w:rPr>
        <w:t xml:space="preserve">Following cessation of acute provoked seizures (the most common scenario in neonatal seizures) without evidence for neonatal-onset epilepsy, ASMs should be discontinued before discharge regardless of MRI or EEG findings. This recommendation reflects evidence that most neonatal seizures are acute symptomatic and self-limited, and that prolonged phenobarbital exposure has potential neurotoxic effects.</w:t>
      </w:r>
    </w:p>
    <w:p>
      <w:pPr>
        <w:spacing w:after="120"/>
      </w:pPr>
      <w:r>
        <w:rPr>
          <w:rFonts w:ascii="Arial" w:cs="Arial" w:eastAsia="Arial" w:hAnsi="Arial"/>
          <w:b/>
          <w:bCs/>
          <w:sz w:val="24"/>
          <w:szCs w:val="24"/>
        </w:rPr>
        <w:t xml:space="preserve">Recommendation 4: Channelopathies.</w:t>
      </w:r>
    </w:p>
    <w:p>
      <w:pPr>
        <w:spacing w:after="120"/>
      </w:pPr>
      <w:r>
        <w:rPr>
          <w:rFonts w:ascii="Arial" w:cs="Arial" w:eastAsia="Arial" w:hAnsi="Arial"/>
          <w:sz w:val="24"/>
          <w:szCs w:val="24"/>
        </w:rPr>
        <w:t xml:space="preserve">When a genetic channelopathy is suspected (e.g., family history of neonatal seizures, seizure phenotype suggestive of KCNQ2 or SCN2A), sodium channel blockers (phenytoin or carbamazepine) should be first-line rather than phenobarbital.</w:t>
      </w:r>
    </w:p>
    <w:p>
      <w:pPr>
        <w:spacing w:after="120"/>
      </w:pPr>
      <w:r>
        <w:rPr>
          <w:rFonts w:ascii="Arial" w:cs="Arial" w:eastAsia="Arial" w:hAnsi="Arial"/>
          <w:b/>
          <w:bCs/>
          <w:sz w:val="24"/>
          <w:szCs w:val="24"/>
        </w:rPr>
        <w:t xml:space="preserve">Recommendation 5: Therapeutic hypothermia may reduce seizure burden in HIE.</w:t>
      </w:r>
    </w:p>
    <w:p>
      <w:pPr>
        <w:spacing w:after="120"/>
      </w:pPr>
      <w:r>
        <w:rPr>
          <w:rFonts w:ascii="Arial" w:cs="Arial" w:eastAsia="Arial" w:hAnsi="Arial"/>
          <w:sz w:val="24"/>
          <w:szCs w:val="24"/>
        </w:rPr>
        <w:t xml:space="preserve">Evidence supports that cooling reduces seizure burden, though it should not be considered a seizure treatment per se.</w:t>
      </w:r>
    </w:p>
    <w:p>
      <w:pPr>
        <w:spacing w:after="120"/>
      </w:pPr>
      <w:r>
        <w:rPr>
          <w:rFonts w:ascii="Arial" w:cs="Arial" w:eastAsia="Arial" w:hAnsi="Arial"/>
          <w:b/>
          <w:bCs/>
          <w:sz w:val="24"/>
          <w:szCs w:val="24"/>
        </w:rPr>
        <w:t xml:space="preserve">Recommendation 6: Pyridoxine trial.</w:t>
      </w:r>
    </w:p>
    <w:p>
      <w:pPr>
        <w:spacing w:after="120"/>
      </w:pPr>
      <w:r>
        <w:rPr>
          <w:rFonts w:ascii="Arial" w:cs="Arial" w:eastAsia="Arial" w:hAnsi="Arial"/>
          <w:sz w:val="24"/>
          <w:szCs w:val="24"/>
        </w:rPr>
        <w:t xml:space="preserve">For seizures refractory to conventional ASMs, a trial of IV pyridoxine (100 mg) should be administered to evaluate for pyridoxine-dependent epilepsy, ideally with concurrent EEG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80"/>
        <w:gridCol w:w="1760"/>
        <w:gridCol w:w="800"/>
        <w:gridCol w:w="2960"/>
      </w:tblGrid>
      <w:tr>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Medication</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Loading Dose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Maintenance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Route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Notes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Phenobarbital (1st line)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mg/kg (add 5-10 mg/kg PRN, max 40 mg/kg total)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 mg/kg/day divided BID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 level 20-40 mcg/mL; respiratory depression at high levels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Fosphenytoin (2nd line)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mg/kg PE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4-8 mg/kg/day PE divided BID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Cardiac monitoring required; avoid in channelopathies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Levetiracetam (2nd line)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40-60 mg/kg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40-60 mg/kg/day divided BID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Preferred if cardiac disease; less sedation</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Midazolam (2nd/3rd line)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0.05-0.15 mg/kg bolus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Infusion 0.1-0.4 mg/kg/h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Risk of respiratory depression; used for refractory seizures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Pyridoxine (trial)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mg single dose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refractory seizures; trial with EEG monitoring</w:t>
            </w:r>
          </w:p>
        </w:tc>
      </w:tr>
    </w:tbl>
    <w:p>
      <w:pPr>
        <w:spacing w:after="120"/>
      </w:pPr>
      <w:r>
        <w:rPr>
          <w:rFonts w:ascii="Arial" w:cs="Arial" w:eastAsia="Arial" w:hAnsi="Arial"/>
          <w:sz w:val="24"/>
          <w:szCs w:val="24"/>
        </w:rPr>
        <w:t xml:space="preserve">Table 2. Anti-seizure medication dosing for neonatal seizures per ILAE 2023 guidelines.</w:t>
      </w:r>
    </w:p>
    <w:p>
      <w:r>
        <w:br w:type="page"/>
      </w:r>
    </w:p>
    <w:p>
      <w:pPr>
        <w:pStyle w:val="Heading1"/>
      </w:pPr>
      <w:r>
        <w:t xml:space="preserve">Chapter 5: Intraventricular Hemorrhage and Periventricular Leukomalacia</w:t>
      </w:r>
    </w:p>
    <w:p>
      <w:pPr>
        <w:pStyle w:val="Heading2"/>
      </w:pPr>
      <w:r>
        <w:t xml:space="preserve">5.1 Intraventricular Hemorrhage (IVH)</w:t>
      </w:r>
    </w:p>
    <w:p>
      <w:pPr>
        <w:spacing w:after="120"/>
      </w:pPr>
      <w:r>
        <w:rPr>
          <w:rFonts w:ascii="Arial" w:cs="Arial" w:eastAsia="Arial" w:hAnsi="Arial"/>
          <w:sz w:val="24"/>
          <w:szCs w:val="24"/>
        </w:rPr>
        <w:t xml:space="preserve">IVH is bleeding into the ventricular system of the brain, originating from the fragile capillary network of the germinal matrix (a highly vascularized region of the developing brain present in preterm infants, located adjacent to the lateral ventricles). The germinal matrix involutes by approximately 34 weeks of gestation, which is why IVH is predominantly a disease of prematurity. The incidence is approximately 25 to 30 percent in infants born at less than 1500 grams or less than 32 weeks of gestation, with the majority of hemorrhages occurring within the first 72 hours of life.</w:t>
      </w:r>
    </w:p>
    <w:p>
      <w:pPr>
        <w:spacing w:after="120"/>
      </w:pPr>
      <w:r>
        <w:rPr>
          <w:rFonts w:ascii="Arial" w:cs="Arial" w:eastAsia="Arial" w:hAnsi="Arial"/>
          <w:sz w:val="24"/>
          <w:szCs w:val="24"/>
        </w:rPr>
        <w:t xml:space="preserve">IVH is graded by the Papile classification: Grade I, germinal matrix hemorrhage without intraventricular extension; Grade II, intraventricular hemorrhage without ventricular dilation; Grade III, intraventricular hemorrhage with ventricular dilation; Grade IV (now more accurately termed periventricular hemorrhagic infarction, PVHI), hemorrhage with parenchymal involvement. Grades I and II are generally associated with favorable outcomes, while Grades III and IV carry significant risk for hydrocephalus and neurodevelopmental impairment.</w:t>
      </w:r>
    </w:p>
    <w:p>
      <w:pPr>
        <w:spacing w:after="120"/>
      </w:pPr>
      <w:r>
        <w:rPr>
          <w:rFonts w:ascii="Arial" w:cs="Arial" w:eastAsia="Arial" w:hAnsi="Arial"/>
          <w:sz w:val="24"/>
          <w:szCs w:val="24"/>
        </w:rPr>
        <w:t xml:space="preserve">Prevention of IVH is a priority in preterm infant care. Strategies include: antenatal corticosteroids (the most effective preventive intervention), delayed cord clamping (30 to 60 seconds), gentle handling and minimal stimulation in the first 72 hours, maintenance of hemodynamic stability (avoiding rapid fluid boluses and wide blood pressure swings), head midline positioning, avoidance of hypercapnia and hypoxia, and correction of coagulopathy. Diagnosis is by cranial ultrasound, which should be performed on all infants born at less than 32 weeks of gestation at 7 to 14 days of life and repeated at 36 to 40 weeks postmenstrual age. Serial head circumference measurements are essential for monitoring for posthemorrhagic hydrocephalus.</w:t>
      </w:r>
    </w:p>
    <w:p>
      <w:pPr>
        <w:pStyle w:val="Heading2"/>
      </w:pPr>
      <w:r>
        <w:t xml:space="preserve">5.2 Periventricular Leukomalacia (PVL)</w:t>
      </w:r>
    </w:p>
    <w:p>
      <w:pPr>
        <w:spacing w:after="120"/>
      </w:pPr>
      <w:r>
        <w:rPr>
          <w:rFonts w:ascii="Arial" w:cs="Arial" w:eastAsia="Arial" w:hAnsi="Arial"/>
          <w:sz w:val="24"/>
          <w:szCs w:val="24"/>
        </w:rPr>
        <w:t xml:space="preserve">Periventricular leukomalacia (PVL) is ischemic injury to the periventricular white matter, the region of the brain where the descending motor tracts and developing neural connections are located. It is the most common form of brain injury in premature infants and is the leading cause of cerebral palsy in this population. PVL results from the vulnerability of immature oligodendrocyte precursor cells (pre-OLs) in the periventricular watershed zones to hypoxia-ischemia, infection/inflammation, and excitotoxicity. Risk factors include chorioamnionitis, postnatal sepsis, hemodynamic instability, and significant IVH. PVL may be cystic (forming visible cavities on ultrasound, generally detectable by 2 to 6 weeks after injury) or non-cystic/diffuse (more common but harder to detect, diagnosed primarily by MRI). Non-cystic PVL is now recognized as the predominant form and is associated with cognitive and behavioral impairments in addition to motor deficits.</w:t>
      </w:r>
    </w:p>
    <w:p>
      <w:r>
        <w:br w:type="page"/>
      </w:r>
    </w:p>
    <w:p>
      <w:pPr>
        <w:pStyle w:val="Heading1"/>
      </w:pPr>
      <w:r>
        <w:t xml:space="preserve">Chapter 6: Perinatal Stroke</w:t>
      </w:r>
    </w:p>
    <w:p>
      <w:pPr>
        <w:spacing w:after="120"/>
      </w:pPr>
      <w:r>
        <w:rPr>
          <w:rFonts w:ascii="Arial" w:cs="Arial" w:eastAsia="Arial" w:hAnsi="Arial"/>
          <w:sz w:val="24"/>
          <w:szCs w:val="24"/>
        </w:rPr>
        <w:t xml:space="preserve">Perinatal arterial ischemic stroke (PAIS) occurs in approximately 1 in 2,500 to 4,000 live births, making it far more common than is generally appreciated. The majority of PAIS involves the territory of the left middle cerebral artery. Risk factors include maternal and placental factors (chorioamnionitis, pre-eclampsia, prolonged ROM), neonatal factors (congenital heart disease, polycythemia, dehydration, infection), and prothrombotic disorders (factor V Leiden, protein C or S deficiency, antiphospholipid antibodies). However, in a substantial proportion of cases, no identifiable risk factor is found.</w:t>
      </w:r>
    </w:p>
    <w:p>
      <w:pPr>
        <w:spacing w:after="120"/>
      </w:pPr>
      <w:r>
        <w:rPr>
          <w:rFonts w:ascii="Arial" w:cs="Arial" w:eastAsia="Arial" w:hAnsi="Arial"/>
          <w:sz w:val="24"/>
          <w:szCs w:val="24"/>
        </w:rPr>
        <w:t xml:space="preserve">The classic presentation of PAIS in the neonate is seizures (usually focal clonic, involving one side of the body, often with preserved consciousness between events) in an otherwise well-appearing term infant, typically presenting between 12 and 72 hours of life. Some infants present with asymmetric tone or hemiparesis, apnea, or lethargy. Importantly, neonatal stroke may be clinically silent at birth and detected only later when asymmetric hand preference or developmental delays emerge in infancy.</w:t>
      </w:r>
    </w:p>
    <w:p>
      <w:pPr>
        <w:spacing w:after="120"/>
      </w:pPr>
      <w:r>
        <w:rPr>
          <w:rFonts w:ascii="Arial" w:cs="Arial" w:eastAsia="Arial" w:hAnsi="Arial"/>
          <w:sz w:val="24"/>
          <w:szCs w:val="24"/>
        </w:rPr>
        <w:t xml:space="preserve">Diagnosis is by MRI with diffusion-weighted imaging (DWI), which is the most sensitive modality for detecting acute ischemic injury. Cranial ultrasound may detect large infarcts but misses many strokes, especially in the early phase. Head CT is less sensitive than MRI. Initial management is supportive: seizure treatment (phenobarbital first-line per ILAE guidelines), maintenance of adequate perfusion and oxygenation, and evaluation for underlying causes (echocardiography, thrombophilia workup). Anticoagulation in neonatal stroke remains controversial; current guidelines (AHA/ASA 2019) suggest consideration of anticoagulation with unfractionated heparin or low-molecular-weight heparin in selected cases (cardiac source of embolism, recurrent stroke) but not routinely.</w:t>
      </w:r>
    </w:p>
    <w:p>
      <w:r>
        <w:br w:type="page"/>
      </w:r>
    </w:p>
    <w:p>
      <w:pPr>
        <w:pStyle w:val="Heading1"/>
      </w:pPr>
      <w:r>
        <w:t xml:space="preserve">Chapter 7: Neonatal Hypotonia</w:t>
      </w:r>
    </w:p>
    <w:p>
      <w:pPr>
        <w:spacing w:after="120"/>
      </w:pPr>
      <w:r>
        <w:rPr>
          <w:rFonts w:ascii="Arial" w:cs="Arial" w:eastAsia="Arial" w:hAnsi="Arial"/>
          <w:sz w:val="24"/>
          <w:szCs w:val="24"/>
        </w:rPr>
        <w:t xml:space="preserve">Hypotonia (the floppy infant) is one of the most common reasons for neurological consultation in the newborn period. The differential diagnosis is extensive, encompassing central causes (disorders of the brain and spinal cord) and peripheral causes (disorders of the anterior horn cell, peripheral nerve, neuromuscular junction, or muscle). The clinical distinction between central and peripheral hypotonia is critically important because it directs the diagnostic workup and has prognostic implications.</w:t>
      </w:r>
    </w:p>
    <w:p>
      <w:pPr>
        <w:spacing w:after="120"/>
      </w:pPr>
      <w:r>
        <w:rPr>
          <w:rFonts w:ascii="Arial" w:cs="Arial" w:eastAsia="Arial" w:hAnsi="Arial"/>
          <w:sz w:val="24"/>
          <w:szCs w:val="24"/>
        </w:rPr>
        <w:t xml:space="preserve">Central hypotonia is characterized by: decreased level of consciousness or alertness, normal or brisk deep tendon reflexes, preserved antigravity movements (though weak), associated features such as seizures, dysmorphic features, or malformations, and fisting (tightly clenched fists, which suggest upper motor neuron involvement). Common causes include HIE, chromosomal abnormalities (trisomy 21, Prader-Willi syndrome), brain malformations, metabolic disorders, and congenital infections. Peripheral hypotonia is characterized by: normal alertness, absent or diminished deep tendon reflexes, marked weakness with absent antigravity movements, muscle atrophy (which may be difficult to appreciate in neonates), and fasciculations (tongue fasciculations are suggestive of spinal muscular atrophy). Common causes include spinal muscular atrophy (SMA) type I (the most common lethal genetic neuromuscular disorder in infancy; now detectable by newborn screening in many US states), congenital myotonic dystrophy (associated with maternal myotonic dystrophy; polyhydramnios, respiratory failure, and feeding difficulty at birth), congenital myopathies, congenital muscular dystrophies, and transient neonatal myasthenia gravis (from maternal myasthenia antibodies).</w:t>
      </w:r>
    </w:p>
    <w:p>
      <w:pPr>
        <w:spacing w:after="120"/>
      </w:pPr>
      <w:r>
        <w:rPr>
          <w:rFonts w:ascii="Arial" w:cs="Arial" w:eastAsia="Arial" w:hAnsi="Arial"/>
          <w:sz w:val="24"/>
          <w:szCs w:val="24"/>
        </w:rPr>
        <w:t xml:space="preserve">The initial evaluation of the hypotonic neonate includes: detailed maternal history (myotonic dystrophy in the mother, medication use), family history (consanguinity, neuromuscular disease), physical examination focusing on the distinction between central and peripheral findings, creatine kinase (CK) level (elevated in muscular dystrophies, may be mildly elevated in SMA), genetic testing (chromosomal microarray, SMN1 gene deletion testing for SMA, methylation studies for Prader-Willi), and neuroimaging (MRI for central causes). If SMA is suspected, SMN1 gene deletion testing should be sent urgently because FDA-approved gene therapy (onasemnogene abeparvovec, Zolgensma) and splicing modifier therapy (nusinersen, Spinraza) are now available and are most effective when initiated early.</w:t>
      </w:r>
    </w:p>
    <w:p>
      <w:r>
        <w:br w:type="page"/>
      </w:r>
    </w:p>
    <w:p>
      <w:pPr>
        <w:pStyle w:val="Heading1"/>
      </w:pPr>
      <w:r>
        <w:t xml:space="preserve">Chapter 8: Special Populations</w:t>
      </w:r>
    </w:p>
    <w:p>
      <w:pPr>
        <w:pStyle w:val="Heading2"/>
      </w:pPr>
      <w:r>
        <w:t xml:space="preserve">8.1 Late Preterm Infants</w:t>
      </w:r>
    </w:p>
    <w:p>
      <w:pPr>
        <w:spacing w:after="120"/>
      </w:pPr>
      <w:r>
        <w:rPr>
          <w:rFonts w:ascii="Arial" w:cs="Arial" w:eastAsia="Arial" w:hAnsi="Arial"/>
          <w:sz w:val="24"/>
          <w:szCs w:val="24"/>
        </w:rPr>
        <w:t xml:space="preserve">Late preterm infants (34-36+6 weeks) have a higher incidence of neonatal encephalopathy and seizures than term infants, partly because their brains are developmentally more vulnerable and partly because the events leading to preterm delivery (chorioamnionitis, placental insufficiency) may also cause brain injury. IVH is uncommon but can occur in this population (the germinal matrix has largely involuted but may still be present). These infants are at increased risk for feeding difficulties, which may be neurologically mediated.</w:t>
      </w:r>
    </w:p>
    <w:p>
      <w:pPr>
        <w:pStyle w:val="Heading2"/>
      </w:pPr>
      <w:r>
        <w:t xml:space="preserve">8.2 Infants with Congenital Heart Disease</w:t>
      </w:r>
    </w:p>
    <w:p>
      <w:pPr>
        <w:spacing w:after="120"/>
      </w:pPr>
      <w:r>
        <w:rPr>
          <w:rFonts w:ascii="Arial" w:cs="Arial" w:eastAsia="Arial" w:hAnsi="Arial"/>
          <w:sz w:val="24"/>
          <w:szCs w:val="24"/>
        </w:rPr>
        <w:t xml:space="preserve">Neonates with complex congenital heart disease, particularly cyanotic lesions and those requiring surgery in the neonatal period, are at significantly increased risk for brain injury, including periventricular white matter injury, stroke (both ischemic and hemorrhagic), and seizures. This risk exists both preoperatively (from altered hemodynamics and chronic hypoxemia) and perioperatively. Brain injury may be subclinical and detected only on routine preoperative MRI. Neurological assessment should be part of the standard evaluation for all neonates with complex CHD.</w:t>
      </w:r>
    </w:p>
    <w:p>
      <w:r>
        <w:br w:type="page"/>
      </w:r>
    </w:p>
    <w:p>
      <w:pPr>
        <w:pStyle w:val="Heading1"/>
      </w:pPr>
      <w:r>
        <w:t xml:space="preserve">Chapter 9: Transport and Escalation</w:t>
      </w:r>
    </w:p>
    <w:p>
      <w:pPr>
        <w:pStyle w:val="Heading2"/>
      </w:pPr>
      <w:r>
        <w:t xml:space="preserve">9.1 Transfer Criteria</w:t>
      </w:r>
    </w:p>
    <w:p>
      <w:pPr>
        <w:pStyle w:val="ListParagraph"/>
        <w:numPr>
          <w:ilvl w:val="0"/>
          <w:numId w:val="2"/>
        </w:numPr>
        <w:spacing w:after="60"/>
      </w:pPr>
      <w:r>
        <w:rPr>
          <w:rFonts w:ascii="Arial" w:cs="Arial" w:eastAsia="Arial" w:hAnsi="Arial"/>
          <w:sz w:val="24"/>
          <w:szCs w:val="24"/>
        </w:rPr>
        <w:t xml:space="preserve">Suspected moderate or severe HIE requiring therapeutic hypothermia (6-hour window)</w:t>
      </w:r>
    </w:p>
    <w:p>
      <w:pPr>
        <w:pStyle w:val="ListParagraph"/>
        <w:numPr>
          <w:ilvl w:val="0"/>
          <w:numId w:val="2"/>
        </w:numPr>
        <w:spacing w:after="60"/>
      </w:pPr>
      <w:r>
        <w:rPr>
          <w:rFonts w:ascii="Arial" w:cs="Arial" w:eastAsia="Arial" w:hAnsi="Arial"/>
          <w:sz w:val="24"/>
          <w:szCs w:val="24"/>
        </w:rPr>
        <w:t xml:space="preserve">Active seizures or history of seizures requiring ongoing EEG monitoring</w:t>
      </w:r>
    </w:p>
    <w:p>
      <w:pPr>
        <w:pStyle w:val="ListParagraph"/>
        <w:numPr>
          <w:ilvl w:val="0"/>
          <w:numId w:val="2"/>
        </w:numPr>
        <w:spacing w:after="60"/>
      </w:pPr>
      <w:r>
        <w:rPr>
          <w:rFonts w:ascii="Arial" w:cs="Arial" w:eastAsia="Arial" w:hAnsi="Arial"/>
          <w:sz w:val="24"/>
          <w:szCs w:val="24"/>
        </w:rPr>
        <w:t xml:space="preserve">Suspected neonatal stroke (focal seizures, asymmetric examination)</w:t>
      </w:r>
    </w:p>
    <w:p>
      <w:pPr>
        <w:pStyle w:val="ListParagraph"/>
        <w:numPr>
          <w:ilvl w:val="0"/>
          <w:numId w:val="2"/>
        </w:numPr>
        <w:spacing w:after="60"/>
      </w:pPr>
      <w:r>
        <w:rPr>
          <w:rFonts w:ascii="Arial" w:cs="Arial" w:eastAsia="Arial" w:hAnsi="Arial"/>
          <w:sz w:val="24"/>
          <w:szCs w:val="24"/>
        </w:rPr>
        <w:t xml:space="preserve">Significant IVH (Grade III or IV) with clinical deterioration or rapidly increasing head circumference</w:t>
      </w:r>
    </w:p>
    <w:p>
      <w:pPr>
        <w:pStyle w:val="ListParagraph"/>
        <w:numPr>
          <w:ilvl w:val="0"/>
          <w:numId w:val="2"/>
        </w:numPr>
        <w:spacing w:after="60"/>
      </w:pPr>
      <w:r>
        <w:rPr>
          <w:rFonts w:ascii="Arial" w:cs="Arial" w:eastAsia="Arial" w:hAnsi="Arial"/>
          <w:sz w:val="24"/>
          <w:szCs w:val="24"/>
        </w:rPr>
        <w:t xml:space="preserve">Unexplained neonatal hypotonia requiring specialized diagnostic evaluation</w:t>
      </w:r>
    </w:p>
    <w:p>
      <w:pPr>
        <w:pStyle w:val="ListParagraph"/>
        <w:numPr>
          <w:ilvl w:val="0"/>
          <w:numId w:val="2"/>
        </w:numPr>
        <w:spacing w:after="60"/>
      </w:pPr>
      <w:r>
        <w:rPr>
          <w:rFonts w:ascii="Arial" w:cs="Arial" w:eastAsia="Arial" w:hAnsi="Arial"/>
          <w:sz w:val="24"/>
          <w:szCs w:val="24"/>
        </w:rPr>
        <w:t xml:space="preserve">Any infant with progressive encephalopathy of unclear etiology</w:t>
      </w:r>
    </w:p>
    <w:p>
      <w:pPr>
        <w:pStyle w:val="Heading2"/>
      </w:pPr>
      <w:r>
        <w:t xml:space="preserve">9.2 Stabilization Before Transport</w:t>
      </w:r>
    </w:p>
    <w:p>
      <w:pPr>
        <w:pStyle w:val="ListParagraph"/>
        <w:numPr>
          <w:ilvl w:val="0"/>
          <w:numId w:val="3"/>
        </w:numPr>
        <w:spacing w:after="60"/>
      </w:pPr>
      <w:r>
        <w:rPr>
          <w:rFonts w:ascii="Arial" w:cs="Arial" w:eastAsia="Arial" w:hAnsi="Arial"/>
          <w:sz w:val="24"/>
          <w:szCs w:val="24"/>
        </w:rPr>
        <w:t xml:space="preserve">Airway/breathing: Secure airway if needed; maintain adequate ventilation (avoid hypo/hypercapnia)</w:t>
      </w:r>
    </w:p>
    <w:p>
      <w:pPr>
        <w:pStyle w:val="ListParagraph"/>
        <w:numPr>
          <w:ilvl w:val="0"/>
          <w:numId w:val="3"/>
        </w:numPr>
        <w:spacing w:after="60"/>
      </w:pPr>
      <w:r>
        <w:rPr>
          <w:rFonts w:ascii="Arial" w:cs="Arial" w:eastAsia="Arial" w:hAnsi="Arial"/>
          <w:sz w:val="24"/>
          <w:szCs w:val="24"/>
        </w:rPr>
        <w:t xml:space="preserve">Circulation: Maintain adequate MAP for GA; avoid hypotension</w:t>
      </w:r>
    </w:p>
    <w:p>
      <w:pPr>
        <w:pStyle w:val="ListParagraph"/>
        <w:numPr>
          <w:ilvl w:val="0"/>
          <w:numId w:val="3"/>
        </w:numPr>
        <w:spacing w:after="60"/>
      </w:pPr>
      <w:r>
        <w:rPr>
          <w:rFonts w:ascii="Arial" w:cs="Arial" w:eastAsia="Arial" w:hAnsi="Arial"/>
          <w:sz w:val="24"/>
          <w:szCs w:val="24"/>
        </w:rPr>
        <w:t xml:space="preserve">Temperature: If HIE suspected → begin passive cooling to 33-34°C; monitor rectal temp q15min; AVOID active overcooling &lt;32°C and hyperthermia</w:t>
      </w:r>
    </w:p>
    <w:p>
      <w:pPr>
        <w:pStyle w:val="ListParagraph"/>
        <w:numPr>
          <w:ilvl w:val="0"/>
          <w:numId w:val="3"/>
        </w:numPr>
        <w:spacing w:after="60"/>
      </w:pPr>
      <w:r>
        <w:rPr>
          <w:rFonts w:ascii="Arial" w:cs="Arial" w:eastAsia="Arial" w:hAnsi="Arial"/>
          <w:sz w:val="24"/>
          <w:szCs w:val="24"/>
        </w:rPr>
        <w:t xml:space="preserve">Seizures: Load with phenobarbital 20 mg/kg IV if seizures confirmed/strongly suspected</w:t>
      </w:r>
    </w:p>
    <w:p>
      <w:pPr>
        <w:pStyle w:val="ListParagraph"/>
        <w:numPr>
          <w:ilvl w:val="0"/>
          <w:numId w:val="3"/>
        </w:numPr>
        <w:spacing w:after="60"/>
      </w:pPr>
      <w:r>
        <w:rPr>
          <w:rFonts w:ascii="Arial" w:cs="Arial" w:eastAsia="Arial" w:hAnsi="Arial"/>
          <w:sz w:val="24"/>
          <w:szCs w:val="24"/>
        </w:rPr>
        <w:t xml:space="preserve">Glucose: Maintain 50-100 mg/dL (check q1-2h in encephalopathic infants)</w:t>
      </w:r>
    </w:p>
    <w:p>
      <w:pPr>
        <w:pStyle w:val="ListParagraph"/>
        <w:numPr>
          <w:ilvl w:val="0"/>
          <w:numId w:val="3"/>
        </w:numPr>
        <w:spacing w:after="60"/>
      </w:pPr>
      <w:r>
        <w:rPr>
          <w:rFonts w:ascii="Arial" w:cs="Arial" w:eastAsia="Arial" w:hAnsi="Arial"/>
          <w:sz w:val="24"/>
          <w:szCs w:val="24"/>
        </w:rPr>
        <w:t xml:space="preserve">Labs: Blood gas (cord and/or postnatal), glucose, electrolytes (Ca, Mg, Na), CBC, lactate, LFTs, coagulation studies</w:t>
      </w:r>
    </w:p>
    <w:p>
      <w:pPr>
        <w:pStyle w:val="ListParagraph"/>
        <w:numPr>
          <w:ilvl w:val="0"/>
          <w:numId w:val="3"/>
        </w:numPr>
        <w:spacing w:after="60"/>
      </w:pPr>
      <w:r>
        <w:rPr>
          <w:rFonts w:ascii="Arial" w:cs="Arial" w:eastAsia="Arial" w:hAnsi="Arial"/>
          <w:sz w:val="24"/>
          <w:szCs w:val="24"/>
        </w:rPr>
        <w:t xml:space="preserve">SBAR communication: Include details of perinatal events, Apgar scores, resuscitation, Sarnat stage, temperature, medications given, current clinical status</w:t>
      </w:r>
    </w:p>
    <w:p>
      <w:r>
        <w:br w:type="page"/>
      </w:r>
    </w:p>
    <w:p>
      <w:pPr>
        <w:pStyle w:val="Heading1"/>
      </w:pPr>
      <w:r>
        <w:t xml:space="preserve">Chapter 10: Case Studies</w:t>
      </w:r>
    </w:p>
    <w:p>
      <w:pPr>
        <w:pStyle w:val="Heading2"/>
      </w:pPr>
      <w:r>
        <w:t xml:space="preserve">Case 1: Term Infant with Low Apgar Scores and Encephalopathy</w:t>
      </w:r>
    </w:p>
    <w:p>
      <w:pPr>
        <w:spacing w:after="120"/>
      </w:pPr>
      <w:r>
        <w:rPr>
          <w:rFonts w:ascii="Arial" w:cs="Arial" w:eastAsia="Arial" w:hAnsi="Arial"/>
          <w:sz w:val="24"/>
          <w:szCs w:val="24"/>
        </w:rPr>
        <w:t xml:space="preserve">A 40-week infant is born via emergency cesarean section for placental abruption. Apgar scores are 1 at 1 minute and 4 at 5 minutes. The infant requires extensive resuscitation including intubation and epinephrine. Cord pH is 6.85 with base deficit of 18. At 1 hour of life, the infant is on mechanical ventilation. Examination shows: lethargic, decreased spontaneous movement, marked hypotonia, weak suck, absent Moro, and constricted pupils. Rectal temperature is 37.2 degrees Celsius.</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meets criteria for therapeutic hypothermia: evidence of an acute perinatal event (abruption), severe fetal acidemia (pH 6.85, BD 18), need for extensive resuscitation, and moderate-to-severe encephalopathy on modified Sarnat exam (lethargy, hypotonia, absent Moro, pupillary abnormality = Stage II-III). Immediate actions: (1) contact the cooling center NOW, (2) turn off the radiant warmer and begin passive cooling to target rectal temperature 33-34 degrees Celsius, (3) monitor rectal temperature every 15 minutes, (4) maintain adequate ventilation (target PaCO2 40-50), (5) check blood glucose and maintain 50-100 mg/dL, (6) monitor for seizures, (7) arrange emergent transport. The 6-hour clock started at birth. Every minute counts.</w:t>
      </w:r>
    </w:p>
    <w:p>
      <w:pPr>
        <w:pStyle w:val="Heading2"/>
      </w:pPr>
      <w:r>
        <w:t xml:space="preserve">Case 2: Seizures in a Well-Appearing 2-Day-Old</w:t>
      </w:r>
    </w:p>
    <w:p>
      <w:pPr>
        <w:spacing w:after="120"/>
      </w:pPr>
      <w:r>
        <w:rPr>
          <w:rFonts w:ascii="Arial" w:cs="Arial" w:eastAsia="Arial" w:hAnsi="Arial"/>
          <w:sz w:val="24"/>
          <w:szCs w:val="24"/>
        </w:rPr>
        <w:t xml:space="preserve">A 39-week male infant, born via uncomplicated vaginal delivery with Apgar scores of 8 and 9, is doing well in the well-baby nursery. At 42 hours of life, the nurse observes rhythmic left arm and left leg jerking lasting approximately 90 seconds. Between events the infant appears alert and feeds normally. No maternal risk factors for infection. The pregnancy was uncomplicated.</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Focal clonic seizures in an otherwise well-appearing term infant at 1 to 3 days of life is the classic presentation of perinatal arterial ischemic stroke, most commonly involving the left middle cerebral artery. The provider should: (1) confirm the clinical event is a seizure (focal, rhythmic, not suppressible with restraint), (2) obtain IV access and load with phenobarbital 20 mg/kg IV, (3) check stat glucose, calcium, magnesium, and electrolytes (to rule out metabolic causes), (4) obtain blood culture and consider empirical antibiotics if infection cannot be excluded, (5) obtain a cranial ultrasound as an initial screen (may miss smaller strokes), and (6) arrange urgent transfer to a center with MRI and neonatal neurology capability. MRI with diffusion-weighted imaging will be the definitive diagnostic study. An echocardiogram and thrombophilia workup should be part of the subsequent evaluation.</w:t>
      </w:r>
    </w:p>
    <w:p>
      <w:pPr>
        <w:pStyle w:val="Heading2"/>
      </w:pPr>
      <w:r>
        <w:t xml:space="preserve">Case 3: Hypotonic Infant with Absent Reflexes</w:t>
      </w:r>
    </w:p>
    <w:p>
      <w:pPr>
        <w:spacing w:after="120"/>
      </w:pPr>
      <w:r>
        <w:rPr>
          <w:rFonts w:ascii="Arial" w:cs="Arial" w:eastAsia="Arial" w:hAnsi="Arial"/>
          <w:sz w:val="24"/>
          <w:szCs w:val="24"/>
        </w:rPr>
        <w:t xml:space="preserve">A 38-week female infant is born via scheduled cesarean for breech presentation. Apgar scores are 7 and 8. The pregnancy was complicated by polyhydramnios. In the nursery, the infant has generalized hypotonia, minimal spontaneous movement, absent deep tendon reflexes, and a weak cry but appears alert and visually tracks the examiner's face. She is having difficulty with suck and swallow coordination.</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peripheral hypotonia (preserved alertness with absent DTRs and marked weakness). The combination of polyhydramnios, hypotonia, weakness, absent reflexes, and feeding difficulty in an alert infant should immediately suggest a neuromuscular disorder. The two most important diagnoses to consider are: spinal muscular atrophy (SMA) type I and congenital myotonic dystrophy (examine the mother for myotonia). The provider should: (1) check CK level (may be normal in SMA; elevated in muscular dystrophies), (2) urgently send SMN1 gene deletion testing (now available as a rapid turnaround test), (3) examine the mother for myotonic dystrophy (inability to release grip, percussion myotonia), (4) check newborn screening results (SMA is on the RUSP), (5) ensure respiratory status is adequate (these infants are at high risk for respiratory failure), (6) consult pediatric neurology and genetics, and (7) arrange transfer if respiratory support exceeds nursery capability. Time matters for SMA: gene therapy (Zolgensma) is most effective when given early in the disease course.</w:t>
      </w:r>
    </w:p>
    <w:p>
      <w:r>
        <w:br w:type="page"/>
      </w:r>
    </w:p>
    <w:p>
      <w:pPr>
        <w:pStyle w:val="Heading1"/>
      </w:pPr>
      <w:r>
        <w:t xml:space="preserve">Chapter 11: Summary and Key Takeaways</w:t>
      </w:r>
    </w:p>
    <w:p>
      <w:pPr>
        <w:pStyle w:val="ListParagraph"/>
        <w:numPr>
          <w:ilvl w:val="0"/>
          <w:numId w:val="2"/>
        </w:numPr>
        <w:spacing w:after="60"/>
      </w:pPr>
      <w:r>
        <w:rPr>
          <w:rFonts w:ascii="Arial" w:cs="Arial" w:eastAsia="Arial" w:hAnsi="Arial"/>
          <w:sz w:val="24"/>
          <w:szCs w:val="24"/>
        </w:rPr>
        <w:t xml:space="preserve">HIE: Therapeutic hypothermia must be initiated within 6 hours of birth. Begin passive cooling immediately if moderate/severe encephalopathy is identified. Contact the cooling center NOW. Every minute counts.</w:t>
      </w:r>
    </w:p>
    <w:p>
      <w:pPr>
        <w:pStyle w:val="ListParagraph"/>
        <w:numPr>
          <w:ilvl w:val="0"/>
          <w:numId w:val="2"/>
        </w:numPr>
        <w:spacing w:after="60"/>
      </w:pPr>
      <w:r>
        <w:rPr>
          <w:rFonts w:ascii="Arial" w:cs="Arial" w:eastAsia="Arial" w:hAnsi="Arial"/>
          <w:sz w:val="24"/>
          <w:szCs w:val="24"/>
        </w:rPr>
        <w:t xml:space="preserve">Sarnat staging is the clinical tool for grading HIE severity. Perform at 1+ hours of life. Stage II (moderate) and Stage III (severe) qualify for therapeutic hypothermia.</w:t>
      </w:r>
    </w:p>
    <w:p>
      <w:pPr>
        <w:pStyle w:val="ListParagraph"/>
        <w:numPr>
          <w:ilvl w:val="0"/>
          <w:numId w:val="2"/>
        </w:numPr>
        <w:spacing w:after="60"/>
      </w:pPr>
      <w:r>
        <w:rPr>
          <w:rFonts w:ascii="Arial" w:cs="Arial" w:eastAsia="Arial" w:hAnsi="Arial"/>
          <w:sz w:val="24"/>
          <w:szCs w:val="24"/>
        </w:rPr>
        <w:t xml:space="preserve">Neonatal seizures: Phenobarbital is the first-line ASM per ILAE 2023 guidelines. Loading dose 20 mg/kg IV. Up to 80% of electrographic seizures are clinically silent — arrange EEG/aEEG monitoring.</w:t>
      </w:r>
    </w:p>
    <w:p>
      <w:pPr>
        <w:pStyle w:val="ListParagraph"/>
        <w:numPr>
          <w:ilvl w:val="0"/>
          <w:numId w:val="2"/>
        </w:numPr>
        <w:spacing w:after="60"/>
      </w:pPr>
      <w:r>
        <w:rPr>
          <w:rFonts w:ascii="Arial" w:cs="Arial" w:eastAsia="Arial" w:hAnsi="Arial"/>
          <w:sz w:val="24"/>
          <w:szCs w:val="24"/>
        </w:rPr>
        <w:t xml:space="preserve">Discontinue ASMs before discharge for acute provoked seizures that have resolved, regardless of MRI or EEG findings.</w:t>
      </w:r>
    </w:p>
    <w:p>
      <w:pPr>
        <w:pStyle w:val="ListParagraph"/>
        <w:numPr>
          <w:ilvl w:val="0"/>
          <w:numId w:val="2"/>
        </w:numPr>
        <w:spacing w:after="60"/>
      </w:pPr>
      <w:r>
        <w:rPr>
          <w:rFonts w:ascii="Arial" w:cs="Arial" w:eastAsia="Arial" w:hAnsi="Arial"/>
          <w:sz w:val="24"/>
          <w:szCs w:val="24"/>
        </w:rPr>
        <w:t xml:space="preserve">Perinatal stroke: Suspect in any term infant with focal seizures. MRI with DWI is the definitive diagnostic study.</w:t>
      </w:r>
    </w:p>
    <w:p>
      <w:pPr>
        <w:pStyle w:val="ListParagraph"/>
        <w:numPr>
          <w:ilvl w:val="0"/>
          <w:numId w:val="2"/>
        </w:numPr>
        <w:spacing w:after="60"/>
      </w:pPr>
      <w:r>
        <w:rPr>
          <w:rFonts w:ascii="Arial" w:cs="Arial" w:eastAsia="Arial" w:hAnsi="Arial"/>
          <w:sz w:val="24"/>
          <w:szCs w:val="24"/>
        </w:rPr>
        <w:t xml:space="preserve">IVH: Primarily a disease of prematurity. Prevention is key (antenatal steroids, gentle handling, hemodynamic stability). Screen with cranial US at 7-14 days for all infants &lt;32 weeks.</w:t>
      </w:r>
    </w:p>
    <w:p>
      <w:pPr>
        <w:pStyle w:val="ListParagraph"/>
        <w:numPr>
          <w:ilvl w:val="0"/>
          <w:numId w:val="2"/>
        </w:numPr>
        <w:spacing w:after="60"/>
      </w:pPr>
      <w:r>
        <w:rPr>
          <w:rFonts w:ascii="Arial" w:cs="Arial" w:eastAsia="Arial" w:hAnsi="Arial"/>
          <w:sz w:val="24"/>
          <w:szCs w:val="24"/>
        </w:rPr>
        <w:t xml:space="preserve">Neonatal hypotonia: Distinguish central (alert, brisk DTRs, associated features) from peripheral (alert, absent DTRs, marked weakness). SMA is treatable — test urgently.</w:t>
      </w:r>
    </w:p>
    <w:p>
      <w:pPr>
        <w:pStyle w:val="ListParagraph"/>
        <w:numPr>
          <w:ilvl w:val="0"/>
          <w:numId w:val="2"/>
        </w:numPr>
        <w:spacing w:after="60"/>
      </w:pPr>
      <w:r>
        <w:rPr>
          <w:rFonts w:ascii="Arial" w:cs="Arial" w:eastAsia="Arial" w:hAnsi="Arial"/>
          <w:sz w:val="24"/>
          <w:szCs w:val="24"/>
        </w:rPr>
        <w:t xml:space="preserve">Avoid both hypothermia AND hyperthermia in encephalopathic infants. Maintain normoglycemia (50-100 mg/dL), normocapnia, and hemodynamic stability.</w:t>
      </w:r>
    </w:p>
    <w:p>
      <w:pPr>
        <w:pStyle w:val="ListParagraph"/>
        <w:numPr>
          <w:ilvl w:val="0"/>
          <w:numId w:val="2"/>
        </w:numPr>
        <w:spacing w:after="60"/>
      </w:pPr>
      <w:r>
        <w:rPr>
          <w:rFonts w:ascii="Arial" w:cs="Arial" w:eastAsia="Arial" w:hAnsi="Arial"/>
          <w:sz w:val="24"/>
          <w:szCs w:val="24"/>
        </w:rPr>
        <w:t xml:space="preserve">In the rural nursery: recognize the patterns, stabilize, and transfer early. Your rapid recognition and early cooling initiation directly determine long-term neurological outcome.</w:t>
      </w:r>
    </w:p>
    <w:p>
      <w:r>
        <w:br w:type="page"/>
      </w:r>
    </w:p>
    <w:p>
      <w:pPr>
        <w:pStyle w:val="Heading1"/>
      </w:pPr>
      <w:r>
        <w:t xml:space="preserve">References</w:t>
      </w:r>
    </w:p>
    <w:p>
      <w:pPr>
        <w:spacing w:after="120"/>
      </w:pPr>
      <w:r>
        <w:rPr>
          <w:rFonts w:ascii="Arial" w:cs="Arial" w:eastAsia="Arial" w:hAnsi="Arial"/>
          <w:sz w:val="24"/>
          <w:szCs w:val="24"/>
        </w:rPr>
        <w:t xml:space="preserve">1. Pressler RM, Abend NS, Auvin S, et al. Treatment of Seizures in the Neonate: Guidelines and Consensus-Based Recommendations. Epilepsia. 2023;64(10):2550-2570. doi:10.1111/epi.17745</w:t>
      </w:r>
    </w:p>
    <w:p>
      <w:pPr>
        <w:spacing w:after="120"/>
      </w:pPr>
      <w:r>
        <w:rPr>
          <w:rFonts w:ascii="Arial" w:cs="Arial" w:eastAsia="Arial" w:hAnsi="Arial"/>
          <w:sz w:val="24"/>
          <w:szCs w:val="24"/>
        </w:rPr>
        <w:t xml:space="preserve">2. Sharpe C, Reiner GE, Davis SL, et al. Levetiracetam Versus Phenobarbital for Neonatal Seizures: A Randomized Controlled Trial. Pediatrics. 2020;145(6):e20193723. doi:10.1542/peds.2019-3723</w:t>
      </w:r>
    </w:p>
    <w:p>
      <w:pPr>
        <w:spacing w:after="120"/>
      </w:pPr>
      <w:r>
        <w:rPr>
          <w:rFonts w:ascii="Arial" w:cs="Arial" w:eastAsia="Arial" w:hAnsi="Arial"/>
          <w:sz w:val="24"/>
          <w:szCs w:val="24"/>
        </w:rPr>
        <w:t xml:space="preserve">3. Shankaran S, Laptook AR, Ehrenkranz RA, et al. Whole-Body Hypothermia for Neonates With Hypoxic-Ischemic Encephalopathy. N Engl J Med. 2005;353(15):1574-1584.</w:t>
      </w:r>
    </w:p>
    <w:p>
      <w:pPr>
        <w:spacing w:after="120"/>
      </w:pPr>
      <w:r>
        <w:rPr>
          <w:rFonts w:ascii="Arial" w:cs="Arial" w:eastAsia="Arial" w:hAnsi="Arial"/>
          <w:sz w:val="24"/>
          <w:szCs w:val="24"/>
        </w:rPr>
        <w:t xml:space="preserve">4. AAP Committee on Fetus and Newborn, Section on Neurology. Therapeutic Hypothermia for Neonatal Hypoxic-Ischemic Encephalopathy. Pediatrics. 2026;157(2). [Updated Clinical Report]</w:t>
      </w:r>
    </w:p>
    <w:p>
      <w:pPr>
        <w:spacing w:after="120"/>
      </w:pPr>
      <w:r>
        <w:rPr>
          <w:rFonts w:ascii="Arial" w:cs="Arial" w:eastAsia="Arial" w:hAnsi="Arial"/>
          <w:sz w:val="24"/>
          <w:szCs w:val="24"/>
        </w:rPr>
        <w:t xml:space="preserve">5. Sarnat HB, Sarnat MS. Neonatal Encephalopathy Following Fetal Distress. Arch Neurol. 1976;33(10):696-705.</w:t>
      </w:r>
    </w:p>
    <w:p>
      <w:pPr>
        <w:spacing w:after="120"/>
      </w:pPr>
      <w:r>
        <w:rPr>
          <w:rFonts w:ascii="Arial" w:cs="Arial" w:eastAsia="Arial" w:hAnsi="Arial"/>
          <w:sz w:val="24"/>
          <w:szCs w:val="24"/>
        </w:rPr>
        <w:t xml:space="preserve">6. Volpe JJ. Neurology of the Newborn. 6th ed. Elsevier; 2018.</w:t>
      </w:r>
    </w:p>
    <w:p>
      <w:pPr>
        <w:spacing w:after="120"/>
      </w:pPr>
      <w:r>
        <w:rPr>
          <w:rFonts w:ascii="Arial" w:cs="Arial" w:eastAsia="Arial" w:hAnsi="Arial"/>
          <w:sz w:val="24"/>
          <w:szCs w:val="24"/>
        </w:rPr>
        <w:t xml:space="preserve">7. Papile LA, Burstein J, Burstein R, Koffler H. Incidence and Evolution of Subependymal and Intraventricular Hemorrhage. J Pediatr. 1978;92(4):529-534.</w:t>
      </w:r>
    </w:p>
    <w:p>
      <w:pPr>
        <w:spacing w:after="120"/>
      </w:pPr>
      <w:r>
        <w:rPr>
          <w:rFonts w:ascii="Arial" w:cs="Arial" w:eastAsia="Arial" w:hAnsi="Arial"/>
          <w:sz w:val="24"/>
          <w:szCs w:val="24"/>
        </w:rPr>
        <w:t xml:space="preserve">8. Dunbar M, Bhatt A, Engel J, et al. Perinatal Stroke. Semin Pediatr Neurol. 2021;40:100937.</w:t>
      </w:r>
    </w:p>
    <w:p>
      <w:pPr>
        <w:spacing w:after="120"/>
      </w:pPr>
      <w:r>
        <w:rPr>
          <w:rFonts w:ascii="Arial" w:cs="Arial" w:eastAsia="Arial" w:hAnsi="Arial"/>
          <w:sz w:val="24"/>
          <w:szCs w:val="24"/>
        </w:rPr>
        <w:t xml:space="preserve">9. Ferriero DM, Fullerton HJ, Bernard TJ, et al. Management of Stroke in Neonates and Children. Stroke. 2019;50(3):e51-e96.</w:t>
      </w:r>
    </w:p>
    <w:p>
      <w:pPr>
        <w:spacing w:after="120"/>
      </w:pPr>
      <w:r>
        <w:rPr>
          <w:rFonts w:ascii="Arial" w:cs="Arial" w:eastAsia="Arial" w:hAnsi="Arial"/>
          <w:sz w:val="24"/>
          <w:szCs w:val="24"/>
        </w:rPr>
        <w:t xml:space="preserve">10. Glass HC, Shellhaas RA, Wusthoff CJ, et al. Contemporary Profile of Seizures in Neonates. J Pediatr. 2016;174:98-103.</w:t>
      </w:r>
    </w:p>
    <w:p>
      <w:pPr>
        <w:spacing w:after="120"/>
      </w:pPr>
      <w:r>
        <w:rPr>
          <w:rFonts w:ascii="Arial" w:cs="Arial" w:eastAsia="Arial" w:hAnsi="Arial"/>
          <w:sz w:val="24"/>
          <w:szCs w:val="24"/>
        </w:rPr>
        <w:t xml:space="preserve">11. Russ JB, Simmons R, Glass HC. Neonatal Seizures: Epidemiology and Management. NeoReviews. 2021;22(2):e86-e101.</w:t>
      </w:r>
    </w:p>
    <w:p>
      <w:pPr>
        <w:spacing w:after="120"/>
      </w:pPr>
      <w:r>
        <w:rPr>
          <w:rFonts w:ascii="Arial" w:cs="Arial" w:eastAsia="Arial" w:hAnsi="Arial"/>
          <w:sz w:val="24"/>
          <w:szCs w:val="24"/>
        </w:rPr>
        <w:t xml:space="preserve">12. Natarajan G, McDonald SA, Shankaran S, et al. Numerical Sarnat Score vs Modified Sarnat Staging. J Perinatol. 2023;43(3):369-375.</w:t>
      </w:r>
    </w:p>
    <w:p>
      <w:pPr>
        <w:spacing w:after="120"/>
      </w:pPr>
      <w:r>
        <w:rPr>
          <w:rFonts w:ascii="Arial" w:cs="Arial" w:eastAsia="Arial" w:hAnsi="Arial"/>
          <w:sz w:val="24"/>
          <w:szCs w:val="24"/>
        </w:rPr>
        <w:t xml:space="preserve">13. Jacobs SE, Berg M, Hunt R, et al. Cooling for Newborns With HIE. Cochrane Database Syst Rev. 2013;(1):CD003311.</w:t>
      </w:r>
    </w:p>
    <w:p>
      <w:pPr>
        <w:spacing w:after="120"/>
      </w:pPr>
      <w:r>
        <w:rPr>
          <w:rFonts w:ascii="Arial" w:cs="Arial" w:eastAsia="Arial" w:hAnsi="Arial"/>
          <w:sz w:val="24"/>
          <w:szCs w:val="24"/>
        </w:rPr>
        <w:t xml:space="preserve">14. Stoll BJ, Hansen NI, Bell EF, et al. Trends in Care Practices, Morbidity, and Mortality. JAMA. 2015;314(10):1039-1051.</w:t>
      </w:r>
    </w:p>
    <w:p>
      <w:pPr>
        <w:spacing w:after="120"/>
      </w:pPr>
      <w:r>
        <w:rPr>
          <w:rFonts w:ascii="Arial" w:cs="Arial" w:eastAsia="Arial" w:hAnsi="Arial"/>
          <w:sz w:val="24"/>
          <w:szCs w:val="24"/>
        </w:rPr>
        <w:t xml:space="preserve">15. Scher MS. Neonatal Seizures and Brain Damage. Pediatr Neurol. 2003;29(5):381-390.</w:t>
      </w:r>
    </w:p>
    <w:p>
      <w:pPr>
        <w:spacing w:after="120"/>
      </w:pPr>
      <w:r>
        <w:rPr>
          <w:rFonts w:ascii="Arial" w:cs="Arial" w:eastAsia="Arial" w:hAnsi="Arial"/>
          <w:sz w:val="24"/>
          <w:szCs w:val="24"/>
        </w:rPr>
        <w:t xml:space="preserve">16. de Vries LS, Benders MJ, Groenendaal F. Progress in Neonatal Neurology. Neonatology. 2015;108(4):268-274.</w:t>
      </w:r>
    </w:p>
    <w:p>
      <w:pPr>
        <w:spacing w:after="120"/>
      </w:pPr>
      <w:r>
        <w:rPr>
          <w:rFonts w:ascii="Arial" w:cs="Arial" w:eastAsia="Arial" w:hAnsi="Arial"/>
          <w:sz w:val="24"/>
          <w:szCs w:val="24"/>
        </w:rPr>
        <w:t xml:space="preserve">17. Perlman JM, Wyllie J, Kattwinkel J, et al. Part 7: Neonatal Resuscitation. 2015 AHA Guidelines Update. Circulation. 2015;132(18 Suppl 2):S543-S560.</w:t>
      </w:r>
    </w:p>
    <w:p>
      <w:pPr>
        <w:spacing w:after="120"/>
      </w:pPr>
      <w:r>
        <w:rPr>
          <w:rFonts w:ascii="Arial" w:cs="Arial" w:eastAsia="Arial" w:hAnsi="Arial"/>
          <w:sz w:val="24"/>
          <w:szCs w:val="24"/>
        </w:rPr>
        <w:t xml:space="preserve">18. Kolnik SE, Sahota PK, Wu YW. Neonatal Encephalopathy. Semin Fetal Neonatal Med. 2021;26(5):101272.</w:t>
      </w:r>
    </w:p>
    <w:p>
      <w:pPr>
        <w:spacing w:after="120"/>
      </w:pPr>
      <w:r>
        <w:rPr>
          <w:rFonts w:ascii="Arial" w:cs="Arial" w:eastAsia="Arial" w:hAnsi="Arial"/>
          <w:sz w:val="24"/>
          <w:szCs w:val="24"/>
        </w:rPr>
        <w:t xml:space="preserve">19. Rennie JM, Boylan GB. Neonatal Seizures and Their Treatment. Curr Opin Neurol. 2003;16(2):177-181.</w:t>
      </w:r>
    </w:p>
    <w:p>
      <w:pPr>
        <w:spacing w:after="120"/>
      </w:pPr>
      <w:r>
        <w:rPr>
          <w:rFonts w:ascii="Arial" w:cs="Arial" w:eastAsia="Arial" w:hAnsi="Arial"/>
          <w:sz w:val="24"/>
          <w:szCs w:val="24"/>
        </w:rPr>
        <w:t xml:space="preserve">20. Hooper SB, Polglase GR, Roehr CC. Cardiopulmonary Changes With Aeration of the Newborn Lung. Paediatr Respir Rev. 2015;16(3):147-150.</w:t>
      </w:r>
    </w:p>
    <w:p>
      <w:pPr>
        <w:spacing w:after="120"/>
      </w:pPr>
      <w:r>
        <w:rPr>
          <w:rFonts w:ascii="Arial" w:cs="Arial" w:eastAsia="Arial" w:hAnsi="Arial"/>
          <w:sz w:val="24"/>
          <w:szCs w:val="24"/>
        </w:rPr>
        <w:t xml:space="preserve">21. Soul JS. Acute Neonatal Encephalopathy. Semin Pediatr Neurol. 2017;24(2):73-80.</w:t>
      </w:r>
    </w:p>
    <w:p>
      <w:pPr>
        <w:spacing w:after="120"/>
      </w:pPr>
      <w:r>
        <w:rPr>
          <w:rFonts w:ascii="Arial" w:cs="Arial" w:eastAsia="Arial" w:hAnsi="Arial"/>
          <w:sz w:val="24"/>
          <w:szCs w:val="24"/>
        </w:rPr>
        <w:t xml:space="preserve">22. Wusthoff CJ. How to Use: Amplitude-Integrated EEG in Neonates. Arch Dis Child Educ Pract Ed. 2015;100(1):17-20.</w:t>
      </w:r>
    </w:p>
    <w:p>
      <w:pPr>
        <w:spacing w:after="120"/>
      </w:pPr>
      <w:r>
        <w:rPr>
          <w:rFonts w:ascii="Arial" w:cs="Arial" w:eastAsia="Arial" w:hAnsi="Arial"/>
          <w:sz w:val="24"/>
          <w:szCs w:val="24"/>
        </w:rPr>
        <w:t xml:space="preserve">23. Kumar A, Maini K, Kadian R. Levetiracetam. StatPearls. Updated 2024.</w:t>
      </w:r>
    </w:p>
    <w:p>
      <w:pPr>
        <w:spacing w:after="120"/>
      </w:pPr>
      <w:r>
        <w:rPr>
          <w:rFonts w:ascii="Arial" w:cs="Arial" w:eastAsia="Arial" w:hAnsi="Arial"/>
          <w:sz w:val="24"/>
          <w:szCs w:val="24"/>
        </w:rPr>
        <w:t xml:space="preserve">24. Novak CM, Ozen M, Burd I. Perinatal Brain Injury: Mechanisms and Management. Clin Perinatol. 2018;45(2):357-375.</w:t>
      </w:r>
    </w:p>
    <w:p>
      <w:pPr>
        <w:spacing w:after="120"/>
      </w:pPr>
      <w:r>
        <w:rPr>
          <w:rFonts w:ascii="Arial" w:cs="Arial" w:eastAsia="Arial" w:hAnsi="Arial"/>
          <w:sz w:val="24"/>
          <w:szCs w:val="24"/>
        </w:rPr>
        <w:t xml:space="preserve">25. De Franco E, Moreno De Luca A. Genetic Testing in Neonatal Epilepsy. Semin Fetal Neonatal Med. 2018;23(5):344-352.</w:t>
      </w:r>
    </w:p>
    <w:p>
      <w:r>
        <w:br w:type="page"/>
      </w:r>
    </w:p>
    <w:p>
      <w:pPr>
        <w:pStyle w:val="Heading1"/>
      </w:pPr>
      <w:r>
        <w:t xml:space="preserve">Appendices</w:t>
      </w:r>
    </w:p>
    <w:p>
      <w:pPr>
        <w:pStyle w:val="Heading2"/>
      </w:pPr>
      <w:r>
        <w:t xml:space="preserve">Appendix A: Modified Sarnat Exam Quick Reference</w:t>
      </w:r>
    </w:p>
    <w:p>
      <w:pPr>
        <w:spacing w:after="120"/>
      </w:pPr>
      <w:r>
        <w:rPr>
          <w:rFonts w:ascii="Arial" w:cs="Arial" w:eastAsia="Arial" w:hAnsi="Arial"/>
          <w:sz w:val="24"/>
          <w:szCs w:val="24"/>
        </w:rPr>
        <w:t xml:space="preserve">Perform at 1+ hour of life. Assess 6 domains: Level of consciousness (alert vs lethargic vs comatose), spontaneous activity (normal vs decreased vs absent), tone (normal vs hypotonia vs flaccid), primitive reflexes: suck (normal vs weak vs absent) and Moro (normal vs weak/incomplete vs absent), and autonomic function: pupils (normal vs miosis vs fixed/dilated). Stage I (mild) = 1-2 mild abnormalities; Stage II (moderate) = multiple moderate abnormalities; Stage III (severe) = absent reflexes, flaccid, comatose. Stage II and III qualify for therapeutic hypothermia.</w:t>
      </w:r>
    </w:p>
    <w:p>
      <w:pPr>
        <w:pStyle w:val="Heading2"/>
      </w:pPr>
      <w:r>
        <w:t xml:space="preserve">Appendix B: Passive Cooling Protocol for Community Hospitals</w:t>
      </w:r>
    </w:p>
    <w:p>
      <w:pPr>
        <w:spacing w:after="120"/>
      </w:pPr>
      <w:r>
        <w:rPr>
          <w:rFonts w:ascii="Arial" w:cs="Arial" w:eastAsia="Arial" w:hAnsi="Arial"/>
          <w:sz w:val="24"/>
          <w:szCs w:val="24"/>
        </w:rPr>
        <w:t xml:space="preserve">Goal: Begin lowering core temperature toward 33-34 degrees Celsius while arranging transport to a cooling center. Steps: (1) Turn OFF radiant warmer servo control. (2) Remove hats, blankets, and warming devices. (3) Leave infant in diaper only on a transport isolette or open warmer (with heat OFF). (4) Monitor rectal temperature every 15 minutes. (5) If temperature drops below 33 degrees Celsius, cover infant partially to prevent overcooling. (6) If temperature is not falling (common in some infants), apply cool gel packs wrapped in a cloth to the trunk (NOT directly on skin). (7) Do NOT use ice or ice water. Do NOT actively cool below 32 degrees Celsius. (8) Document temperatures and communicate to the transport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Neurological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2026-03-19T01:37:44.720Z</dcterms:created>
  <dcterms:modified xsi:type="dcterms:W3CDTF">2026-03-19T01:37:44.720Z</dcterms:modified>
</cp:coreProperties>
</file>

<file path=docProps/custom.xml><?xml version="1.0" encoding="utf-8"?>
<Properties xmlns="http://schemas.openxmlformats.org/officeDocument/2006/custom-properties" xmlns:vt="http://schemas.openxmlformats.org/officeDocument/2006/docPropsVTypes"/>
</file>